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7"/>
        <w:gridCol w:w="425"/>
      </w:tblGrid>
      <w:tr w:rsidR="003E6AC3" w:rsidRPr="003C773C" w:rsidTr="003E6AC3">
        <w:trPr>
          <w:cantSplit/>
          <w:trHeight w:val="737"/>
        </w:trPr>
        <w:tc>
          <w:tcPr>
            <w:tcW w:w="8647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3E6AC3" w:rsidRPr="00520EF7" w:rsidRDefault="00580089" w:rsidP="003E6AC3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  <w:szCs w:val="28"/>
              </w:rPr>
            </w:pPr>
            <w:r w:rsidRPr="00520EF7">
              <w:rPr>
                <w:rFonts w:ascii="Century Gothic" w:hAnsi="Century Gothic"/>
                <w:color w:val="228B22"/>
                <w:sz w:val="28"/>
                <w:szCs w:val="28"/>
              </w:rPr>
              <w:t>Die Nachhaltigkeitsberichterstattung 2025 (Gliederung mit Unterpunkten) (in Anlehnung an Anlage F aus ESRS 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3E6AC3" w:rsidRPr="003C773C" w:rsidRDefault="00B46775" w:rsidP="003E6AC3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12"/>
                <w:szCs w:val="18"/>
              </w:rPr>
            </w:pPr>
            <w:r w:rsidRPr="00DF25C1">
              <w:rPr>
                <w:rFonts w:ascii="Century Gothic" w:hAnsi="Century Gothic"/>
                <w:b w:val="0"/>
                <w:color w:val="auto"/>
                <w:sz w:val="12"/>
                <w:szCs w:val="18"/>
              </w:rPr>
              <w:t>0</w:t>
            </w:r>
            <w:r w:rsidR="00520EF7" w:rsidRPr="00DF25C1">
              <w:rPr>
                <w:rFonts w:ascii="Century Gothic" w:hAnsi="Century Gothic"/>
                <w:b w:val="0"/>
                <w:color w:val="auto"/>
                <w:sz w:val="12"/>
                <w:szCs w:val="18"/>
              </w:rPr>
              <w:t>8</w:t>
            </w:r>
            <w:r w:rsidRPr="00DF25C1">
              <w:rPr>
                <w:rFonts w:ascii="Century Gothic" w:hAnsi="Century Gothic"/>
                <w:b w:val="0"/>
                <w:color w:val="auto"/>
                <w:sz w:val="12"/>
                <w:szCs w:val="18"/>
              </w:rPr>
              <w:t>/2024</w:t>
            </w:r>
          </w:p>
        </w:tc>
      </w:tr>
    </w:tbl>
    <w:p w:rsidR="003C773C" w:rsidRPr="003C773C" w:rsidRDefault="003C773C" w:rsidP="003E6AC3">
      <w:pPr>
        <w:spacing w:before="0"/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1769E9E" wp14:editId="0EAFC96D">
                <wp:simplePos x="0" y="0"/>
                <wp:positionH relativeFrom="column">
                  <wp:posOffset>260692</wp:posOffset>
                </wp:positionH>
                <wp:positionV relativeFrom="paragraph">
                  <wp:posOffset>124749</wp:posOffset>
                </wp:positionV>
                <wp:extent cx="5492685" cy="249555"/>
                <wp:effectExtent l="0" t="0" r="13335" b="1714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685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73C" w:rsidRPr="00A21BAE" w:rsidRDefault="00420E33" w:rsidP="003C773C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I. </w:t>
                            </w:r>
                            <w:r w:rsidR="003C773C" w:rsidRPr="00A21BAE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</w:t>
                            </w:r>
                            <w:r w:rsidR="0086018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AGEBERICHT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69E9E" id="Rechteck 7" o:spid="_x0000_s1026" style="position:absolute;left:0;text-align:left;margin-left:20.55pt;margin-top:9.8pt;width:432.5pt;height:19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" fillcolor="#a5a5a5 [2092]" strokecolor="black [3213]">
                <v:textbox>
                  <w:txbxContent>
                    <w:p w:rsidR="003C773C" w:rsidRPr="00A21BAE" w:rsidRDefault="00420E33" w:rsidP="003C773C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I. </w:t>
                      </w:r>
                      <w:r w:rsidR="003C773C" w:rsidRPr="00A21BAE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L</w:t>
                      </w:r>
                      <w:r w:rsidR="0086018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AGEBERICHT</w:t>
                      </w:r>
                    </w:p>
                  </w:txbxContent>
                </v:textbox>
              </v:rect>
            </w:pict>
          </mc:Fallback>
        </mc:AlternateContent>
      </w:r>
    </w:p>
    <w:p w:rsidR="003C773C" w:rsidRDefault="003C773C" w:rsidP="003E6AC3">
      <w:pPr>
        <w:spacing w:before="0"/>
        <w:rPr>
          <w:sz w:val="16"/>
          <w:szCs w:val="16"/>
        </w:rPr>
      </w:pPr>
    </w:p>
    <w:p w:rsidR="00DC5CF9" w:rsidRPr="003C773C" w:rsidRDefault="00D86F9E" w:rsidP="003E6AC3">
      <w:pPr>
        <w:spacing w:before="0"/>
        <w:rPr>
          <w:sz w:val="16"/>
          <w:szCs w:val="16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B3552C8" wp14:editId="77B5BAB0">
                <wp:simplePos x="0" y="0"/>
                <wp:positionH relativeFrom="column">
                  <wp:posOffset>-2946457</wp:posOffset>
                </wp:positionH>
                <wp:positionV relativeFrom="paragraph">
                  <wp:posOffset>4751704</wp:posOffset>
                </wp:positionV>
                <wp:extent cx="6159673" cy="249819"/>
                <wp:effectExtent l="2222" t="0" r="14923" b="14922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59673" cy="249819"/>
                        </a:xfrm>
                        <a:prstGeom prst="rect">
                          <a:avLst/>
                        </a:prstGeom>
                        <a:solidFill>
                          <a:srgbClr val="C5F1C5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73C" w:rsidRPr="00420E33" w:rsidRDefault="00C835DD" w:rsidP="003C773C">
                            <w:pPr>
                              <w:spacing w:before="0"/>
                              <w:jc w:val="center"/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</w:pPr>
                            <w:r w:rsidRPr="00420E33"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  <w:t>Nachhaltigkeitserklärung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552C8" id="Rechteck 8" o:spid="_x0000_s1027" style="position:absolute;left:0;text-align:left;margin-left:-232pt;margin-top:374.15pt;width:485pt;height:19.65pt;rotation:-9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" fillcolor="#c5f1c5" strokecolor="black [3213]">
                <v:textbox>
                  <w:txbxContent>
                    <w:p w:rsidR="003C773C" w:rsidRPr="00420E33" w:rsidRDefault="00C835DD" w:rsidP="003C773C">
                      <w:pPr>
                        <w:spacing w:before="0"/>
                        <w:jc w:val="center"/>
                        <w:rPr>
                          <w:b/>
                          <w:color w:val="228B22"/>
                          <w:sz w:val="16"/>
                          <w:szCs w:val="16"/>
                        </w:rPr>
                      </w:pPr>
                      <w:r w:rsidRPr="00420E33">
                        <w:rPr>
                          <w:b/>
                          <w:color w:val="228B22"/>
                          <w:sz w:val="16"/>
                          <w:szCs w:val="16"/>
                        </w:rPr>
                        <w:t>Nachhaltigkeitserklärung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7A41F1E" wp14:editId="3E4A65DD">
                <wp:simplePos x="0" y="0"/>
                <wp:positionH relativeFrom="column">
                  <wp:posOffset>-825609</wp:posOffset>
                </wp:positionH>
                <wp:positionV relativeFrom="paragraph">
                  <wp:posOffset>714957</wp:posOffset>
                </wp:positionV>
                <wp:extent cx="1922912" cy="249555"/>
                <wp:effectExtent l="0" t="1588" r="18733" b="18732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22912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73C" w:rsidRPr="00420E33" w:rsidRDefault="003C773C" w:rsidP="003C773C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0E33">
                              <w:rPr>
                                <w:b/>
                                <w:sz w:val="16"/>
                                <w:szCs w:val="16"/>
                              </w:rPr>
                              <w:t>Lagebericht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41F1E" id="Rechteck 6" o:spid="_x0000_s1028" style="position:absolute;left:0;text-align:left;margin-left:-65pt;margin-top:56.3pt;width:151.4pt;height:19.65pt;rotation:-9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" fillcolor="#a5a5a5 [2092]" strokecolor="black [3213]">
                <v:textbox>
                  <w:txbxContent>
                    <w:p w:rsidR="003C773C" w:rsidRPr="00420E33" w:rsidRDefault="003C773C" w:rsidP="003C773C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0E33">
                        <w:rPr>
                          <w:b/>
                          <w:sz w:val="16"/>
                          <w:szCs w:val="16"/>
                        </w:rPr>
                        <w:t>Lagebericht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pPr w:leftFromText="141" w:rightFromText="141" w:vertAnchor="text" w:tblpX="534" w:tblpY="1"/>
        <w:tblOverlap w:val="never"/>
        <w:tblW w:w="8646" w:type="dxa"/>
        <w:tblBorders>
          <w:top w:val="single" w:sz="6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11"/>
        <w:gridCol w:w="567"/>
        <w:gridCol w:w="993"/>
        <w:gridCol w:w="6575"/>
      </w:tblGrid>
      <w:tr w:rsidR="00580089" w:rsidRPr="003C773C" w:rsidTr="004D122B">
        <w:tc>
          <w:tcPr>
            <w:tcW w:w="8646" w:type="dxa"/>
            <w:gridSpan w:val="4"/>
          </w:tcPr>
          <w:p w:rsidR="00580089" w:rsidRPr="003C773C" w:rsidRDefault="00580089" w:rsidP="004D122B">
            <w:pPr>
              <w:pStyle w:val="Listenabsatz"/>
              <w:numPr>
                <w:ilvl w:val="0"/>
                <w:numId w:val="17"/>
              </w:numPr>
              <w:spacing w:before="0" w:after="120"/>
              <w:ind w:left="357" w:hanging="357"/>
              <w:contextualSpacing w:val="0"/>
              <w:rPr>
                <w:b/>
                <w:color w:val="228B22"/>
                <w:sz w:val="16"/>
                <w:szCs w:val="16"/>
              </w:rPr>
            </w:pPr>
            <w:r w:rsidRPr="003C773C">
              <w:rPr>
                <w:b/>
                <w:color w:val="228B22"/>
                <w:sz w:val="16"/>
                <w:szCs w:val="16"/>
              </w:rPr>
              <w:t>Geschäftsmodell</w:t>
            </w:r>
          </w:p>
          <w:p w:rsidR="00580089" w:rsidRPr="003C773C" w:rsidRDefault="0068002A" w:rsidP="004D122B">
            <w:pPr>
              <w:pStyle w:val="Listenabsatz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b/>
                <w:color w:val="228B22"/>
                <w:sz w:val="16"/>
                <w:szCs w:val="16"/>
              </w:rPr>
            </w:pPr>
            <w:r w:rsidRPr="003C773C">
              <w:rPr>
                <w:b/>
                <w:noProof/>
                <w:color w:val="00B0F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AF5821B" wp14:editId="078D0042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16999</wp:posOffset>
                      </wp:positionV>
                      <wp:extent cx="3280410" cy="782261"/>
                      <wp:effectExtent l="0" t="0" r="15240" b="1841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0410" cy="7822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A3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2BF6" w:rsidRPr="0068002A" w:rsidRDefault="00882BF6" w:rsidP="0068002A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8002A"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 xml:space="preserve">Unverbindliches Beispiel: </w:t>
                                  </w:r>
                                  <w:r w:rsidRPr="0068002A"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br/>
                                  </w:r>
                                  <w:r w:rsidRPr="0068002A">
                                    <w:rPr>
                                      <w:sz w:val="16"/>
                                    </w:rPr>
                                    <w:t xml:space="preserve">Aufgrund </w:t>
                                  </w:r>
                                  <w:r w:rsidRPr="0068002A">
                                    <w:rPr>
                                      <w:b/>
                                      <w:sz w:val="16"/>
                                    </w:rPr>
                                    <w:t>unternehmensindividueller</w:t>
                                  </w:r>
                                  <w:r w:rsidRPr="0068002A">
                                    <w:rPr>
                                      <w:sz w:val="16"/>
                                    </w:rPr>
                                    <w:t xml:space="preserve"> Wesentlichkeitsanalyse sind </w:t>
                                  </w:r>
                                  <w:r w:rsidRPr="0068002A">
                                    <w:rPr>
                                      <w:b/>
                                      <w:sz w:val="16"/>
                                    </w:rPr>
                                    <w:t>Umweltverschmutzung (ESRS E2), Biologische Vielfalt und Ökosysteme (ESRS E4), und betroffene Gemeinschaften (ESRS S3)</w:t>
                                  </w:r>
                                  <w:r w:rsidRPr="0068002A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68002A"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nicht wesentlich</w:t>
                                  </w:r>
                                  <w:r w:rsidR="00832F1A" w:rsidRPr="0068002A">
                                    <w:rPr>
                                      <w:color w:val="000000" w:themeColor="text1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582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9" type="#_x0000_t202" style="position:absolute;left:0;text-align:left;margin-left:167.95pt;margin-top:1.35pt;width:258.3pt;height:61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" fillcolor="#ffffa3" strokeweight=".5pt">
                      <v:textbox>
                        <w:txbxContent>
                          <w:p w:rsidR="00882BF6" w:rsidRPr="0068002A" w:rsidRDefault="00882BF6" w:rsidP="0068002A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8002A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Unverbindliches Beispiel: </w:t>
                            </w:r>
                            <w:r w:rsidRPr="0068002A">
                              <w:rPr>
                                <w:b/>
                                <w:color w:val="FF0000"/>
                                <w:sz w:val="16"/>
                              </w:rPr>
                              <w:br/>
                            </w:r>
                            <w:r w:rsidRPr="0068002A">
                              <w:rPr>
                                <w:sz w:val="16"/>
                              </w:rPr>
                              <w:t xml:space="preserve">Aufgrund </w:t>
                            </w:r>
                            <w:r w:rsidRPr="0068002A">
                              <w:rPr>
                                <w:b/>
                                <w:sz w:val="16"/>
                              </w:rPr>
                              <w:t>unternehmensindividueller</w:t>
                            </w:r>
                            <w:r w:rsidRPr="0068002A">
                              <w:rPr>
                                <w:sz w:val="16"/>
                              </w:rPr>
                              <w:t xml:space="preserve"> Wesentlichkeitsanalyse sind </w:t>
                            </w:r>
                            <w:r w:rsidRPr="0068002A">
                              <w:rPr>
                                <w:b/>
                                <w:sz w:val="16"/>
                              </w:rPr>
                              <w:t>Umweltverschmutzung (ESRS E2), Biologische Vielfalt und Ökosysteme (ESRS E4), und betroffene Gemeinschaften (ESRS S3)</w:t>
                            </w:r>
                            <w:r w:rsidRPr="0068002A">
                              <w:rPr>
                                <w:sz w:val="16"/>
                              </w:rPr>
                              <w:t xml:space="preserve"> </w:t>
                            </w:r>
                            <w:r w:rsidRPr="0068002A">
                              <w:rPr>
                                <w:b/>
                                <w:color w:val="FF0000"/>
                                <w:sz w:val="16"/>
                              </w:rPr>
                              <w:t>nicht wesentlich</w:t>
                            </w:r>
                            <w:r w:rsidR="00832F1A" w:rsidRPr="0068002A">
                              <w:rPr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089" w:rsidRPr="003C773C">
              <w:rPr>
                <w:b/>
                <w:color w:val="228B22"/>
                <w:sz w:val="16"/>
                <w:szCs w:val="16"/>
              </w:rPr>
              <w:t>Ziele und Strategien</w:t>
            </w:r>
          </w:p>
          <w:p w:rsidR="00580089" w:rsidRPr="003C773C" w:rsidRDefault="00580089" w:rsidP="004D122B">
            <w:pPr>
              <w:pStyle w:val="Listenabsatz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b/>
                <w:color w:val="228B22"/>
                <w:sz w:val="16"/>
                <w:szCs w:val="16"/>
              </w:rPr>
            </w:pPr>
            <w:r w:rsidRPr="003C773C">
              <w:rPr>
                <w:b/>
                <w:color w:val="228B22"/>
                <w:sz w:val="16"/>
                <w:szCs w:val="16"/>
              </w:rPr>
              <w:t>Steuerungssysteme</w:t>
            </w:r>
          </w:p>
          <w:p w:rsidR="00580089" w:rsidRPr="003C773C" w:rsidRDefault="00580089" w:rsidP="004D122B">
            <w:pPr>
              <w:pStyle w:val="Listenabsatz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b/>
                <w:color w:val="228B22"/>
                <w:sz w:val="16"/>
                <w:szCs w:val="16"/>
              </w:rPr>
            </w:pPr>
            <w:r w:rsidRPr="003C773C">
              <w:rPr>
                <w:b/>
                <w:color w:val="228B22"/>
                <w:sz w:val="16"/>
                <w:szCs w:val="16"/>
              </w:rPr>
              <w:t>Wirtschaftsbericht</w:t>
            </w:r>
          </w:p>
          <w:p w:rsidR="00580089" w:rsidRPr="003C773C" w:rsidRDefault="00580089" w:rsidP="004D122B">
            <w:pPr>
              <w:pStyle w:val="Listenabsatz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b/>
                <w:color w:val="228B22"/>
                <w:sz w:val="16"/>
                <w:szCs w:val="16"/>
              </w:rPr>
            </w:pPr>
            <w:r w:rsidRPr="003C773C">
              <w:rPr>
                <w:b/>
                <w:color w:val="228B22"/>
                <w:sz w:val="16"/>
                <w:szCs w:val="16"/>
              </w:rPr>
              <w:t>Prognosebericht</w:t>
            </w:r>
          </w:p>
          <w:p w:rsidR="00580089" w:rsidRPr="003C773C" w:rsidRDefault="0090763C" w:rsidP="004D122B">
            <w:pPr>
              <w:pStyle w:val="Listenabsatz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b/>
                <w:color w:val="228B22"/>
                <w:sz w:val="16"/>
                <w:szCs w:val="16"/>
              </w:rPr>
            </w:pPr>
            <w:r w:rsidRPr="003C773C">
              <w:rPr>
                <w:noProof/>
                <w:color w:val="FFFFFF" w:themeColor="background1"/>
                <w:sz w:val="16"/>
                <w:szCs w:val="16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5F24F7B" wp14:editId="1BE018AC">
                      <wp:simplePos x="0" y="0"/>
                      <wp:positionH relativeFrom="column">
                        <wp:posOffset>3862215</wp:posOffset>
                      </wp:positionH>
                      <wp:positionV relativeFrom="paragraph">
                        <wp:posOffset>25821</wp:posOffset>
                      </wp:positionV>
                      <wp:extent cx="1221740" cy="298450"/>
                      <wp:effectExtent l="723900" t="0" r="0" b="139700"/>
                      <wp:wrapNone/>
                      <wp:docPr id="10" name="Sprechblase: rechtecki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740" cy="298450"/>
                              </a:xfrm>
                              <a:prstGeom prst="wedgeRectCallout">
                                <a:avLst>
                                  <a:gd name="adj1" fmla="val -108669"/>
                                  <a:gd name="adj2" fmla="val 90391"/>
                                </a:avLst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763C" w:rsidRPr="00A15415" w:rsidRDefault="0090763C" w:rsidP="0090763C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Gesonderter Abschnitt im Lagebericht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24F7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rechblase: rechteckig 10" o:spid="_x0000_s1030" type="#_x0000_t61" style="position:absolute;left:0;text-align:left;margin-left:304.1pt;margin-top:2.05pt;width:96.2pt;height:23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" adj="-12673,30324" fillcolor="#c5f1c5" stroked="f" strokeweight="2pt">
                      <v:textbox inset="0,0,0,0">
                        <w:txbxContent>
                          <w:p w:rsidR="0090763C" w:rsidRPr="00A15415" w:rsidRDefault="0090763C" w:rsidP="0090763C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Gesonderter Abschnitt im Lagebericht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089" w:rsidRPr="003C773C">
              <w:rPr>
                <w:b/>
                <w:color w:val="228B22"/>
                <w:sz w:val="16"/>
                <w:szCs w:val="16"/>
              </w:rPr>
              <w:t>Risikoberichterstattung</w:t>
            </w:r>
          </w:p>
          <w:p w:rsidR="00580089" w:rsidRPr="003C773C" w:rsidRDefault="00580089" w:rsidP="004D122B">
            <w:pPr>
              <w:pStyle w:val="Listenabsatz"/>
              <w:numPr>
                <w:ilvl w:val="0"/>
                <w:numId w:val="17"/>
              </w:numPr>
              <w:ind w:left="357" w:hanging="357"/>
              <w:contextualSpacing w:val="0"/>
              <w:rPr>
                <w:sz w:val="16"/>
                <w:szCs w:val="16"/>
              </w:rPr>
            </w:pPr>
            <w:r w:rsidRPr="003C773C">
              <w:rPr>
                <w:b/>
                <w:color w:val="228B22"/>
                <w:sz w:val="16"/>
                <w:szCs w:val="16"/>
              </w:rPr>
              <w:t>Chancenberichterstattung</w:t>
            </w:r>
          </w:p>
        </w:tc>
      </w:tr>
      <w:tr w:rsidR="00796658" w:rsidRPr="003C773C" w:rsidTr="004D122B">
        <w:tc>
          <w:tcPr>
            <w:tcW w:w="511" w:type="dxa"/>
            <w:shd w:val="clear" w:color="auto" w:fill="C5F1C5"/>
          </w:tcPr>
          <w:p w:rsidR="00580089" w:rsidRPr="00A21BAE" w:rsidRDefault="0068002A" w:rsidP="004D122B">
            <w:pPr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A21BAE">
              <w:rPr>
                <w:b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8135" w:type="dxa"/>
            <w:gridSpan w:val="3"/>
            <w:shd w:val="clear" w:color="auto" w:fill="C5F1C5"/>
          </w:tcPr>
          <w:p w:rsidR="00580089" w:rsidRPr="00A21BAE" w:rsidRDefault="00580089" w:rsidP="004D122B">
            <w:pPr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A21BAE">
              <w:rPr>
                <w:b/>
                <w:color w:val="000000" w:themeColor="text1"/>
                <w:sz w:val="16"/>
                <w:szCs w:val="16"/>
              </w:rPr>
              <w:t>N</w:t>
            </w:r>
            <w:r w:rsidR="00860189">
              <w:rPr>
                <w:b/>
                <w:color w:val="000000" w:themeColor="text1"/>
                <w:sz w:val="16"/>
                <w:szCs w:val="16"/>
              </w:rPr>
              <w:t xml:space="preserve">ACHHALTIGKEITSBERICHTERSTATTUNG </w:t>
            </w:r>
            <w:r w:rsidRPr="00A21BAE">
              <w:rPr>
                <w:b/>
                <w:color w:val="000000" w:themeColor="text1"/>
                <w:sz w:val="16"/>
                <w:szCs w:val="16"/>
              </w:rPr>
              <w:t>(ESRS 1 T</w:t>
            </w:r>
            <w:r w:rsidR="00860189">
              <w:rPr>
                <w:b/>
                <w:color w:val="000000" w:themeColor="text1"/>
                <w:sz w:val="16"/>
                <w:szCs w:val="16"/>
              </w:rPr>
              <w:t>Z</w:t>
            </w:r>
            <w:r w:rsidRPr="00A21BAE">
              <w:rPr>
                <w:b/>
                <w:color w:val="000000" w:themeColor="text1"/>
                <w:sz w:val="16"/>
                <w:szCs w:val="16"/>
              </w:rPr>
              <w:t xml:space="preserve">. 116 </w:t>
            </w:r>
            <w:r w:rsidR="00860189">
              <w:rPr>
                <w:b/>
                <w:color w:val="000000" w:themeColor="text1"/>
                <w:sz w:val="16"/>
                <w:szCs w:val="16"/>
              </w:rPr>
              <w:t>FF</w:t>
            </w:r>
            <w:r w:rsidRPr="00A21BAE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4D122B" w:rsidRPr="003C773C" w:rsidTr="004D122B">
        <w:tc>
          <w:tcPr>
            <w:tcW w:w="511" w:type="dxa"/>
            <w:vMerge w:val="restart"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ESRS 2</w:t>
            </w:r>
          </w:p>
        </w:tc>
        <w:tc>
          <w:tcPr>
            <w:tcW w:w="6575" w:type="dxa"/>
          </w:tcPr>
          <w:p w:rsidR="004D122B" w:rsidRPr="003C773C" w:rsidRDefault="004D122B" w:rsidP="004D122B">
            <w:pPr>
              <w:spacing w:before="0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Allgemeine Angaben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color w:val="228B22"/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Spezifische themenbezogene Angabepflichten aus den themenbezogenen ESRS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D907D05" wp14:editId="4B18D792">
                      <wp:simplePos x="0" y="0"/>
                      <wp:positionH relativeFrom="column">
                        <wp:posOffset>-58738</wp:posOffset>
                      </wp:positionH>
                      <wp:positionV relativeFrom="paragraph">
                        <wp:posOffset>924560</wp:posOffset>
                      </wp:positionV>
                      <wp:extent cx="1028700" cy="480695"/>
                      <wp:effectExtent l="0" t="0" r="228600" b="0"/>
                      <wp:wrapNone/>
                      <wp:docPr id="3" name="Sprechblase: rechtecki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80695"/>
                              </a:xfrm>
                              <a:prstGeom prst="wedgeRectCallout">
                                <a:avLst>
                                  <a:gd name="adj1" fmla="val 70502"/>
                                  <a:gd name="adj2" fmla="val 28412"/>
                                </a:avLst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122B" w:rsidRPr="00860189" w:rsidRDefault="004D122B" w:rsidP="00C835DD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0189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Index-Tabelle </w:t>
                                  </w:r>
                                  <w:r w:rsidRPr="00860189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aller Disclosure-</w:t>
                                  </w:r>
                                  <w:proofErr w:type="spellStart"/>
                                  <w:r w:rsidRPr="00860189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Requirements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07D05" id="Sprechblase: rechteckig 3" o:spid="_x0000_s1031" type="#_x0000_t61" style="position:absolute;left:0;text-align:left;margin-left:-4.65pt;margin-top:72.8pt;width:81pt;height:37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" adj="26028,16937" fillcolor="#c5f1c5" stroked="f" strokeweight="2pt">
                      <v:textbox inset="0,0,0,0">
                        <w:txbxContent>
                          <w:p w:rsidR="004D122B" w:rsidRPr="00860189" w:rsidRDefault="004D122B" w:rsidP="00C835DD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018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Index-Tabelle </w:t>
                            </w:r>
                            <w:r w:rsidRPr="0086018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aller Disclosure-</w:t>
                            </w:r>
                            <w:proofErr w:type="spellStart"/>
                            <w:r w:rsidRPr="0086018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Requirements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773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312E312" wp14:editId="569DD3A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6986</wp:posOffset>
                      </wp:positionV>
                      <wp:extent cx="906145" cy="400050"/>
                      <wp:effectExtent l="0" t="0" r="236855" b="0"/>
                      <wp:wrapNone/>
                      <wp:docPr id="1" name="Sprechblase: rechtecki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145" cy="400050"/>
                              </a:xfrm>
                              <a:prstGeom prst="wedgeRectCallout">
                                <a:avLst>
                                  <a:gd name="adj1" fmla="val 74813"/>
                                  <a:gd name="adj2" fmla="val 17165"/>
                                </a:avLst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122B" w:rsidRPr="00C835DD" w:rsidRDefault="004D122B" w:rsidP="00C835DD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 w:rsidRPr="00C835DD"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 xml:space="preserve">Verweise </w:t>
                                  </w:r>
                                  <w:r w:rsidRPr="00C835DD">
                                    <w:rPr>
                                      <w:color w:val="000000" w:themeColor="text1"/>
                                      <w:sz w:val="16"/>
                                    </w:rPr>
                                    <w:t>möglich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2E312" id="Sprechblase: rechteckig 1" o:spid="_x0000_s1032" type="#_x0000_t61" style="position:absolute;left:0;text-align:left;margin-left:-.2pt;margin-top:.55pt;width:71.35pt;height:31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" adj="26960,14508" fillcolor="#c5f1c5" stroked="f" strokeweight="2pt">
                      <v:textbox>
                        <w:txbxContent>
                          <w:p w:rsidR="004D122B" w:rsidRPr="00C835DD" w:rsidRDefault="004D122B" w:rsidP="00C835DD">
                            <w:pPr>
                              <w:spacing w:before="0"/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C835DD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Verweise </w:t>
                            </w:r>
                            <w:r w:rsidRPr="00C835DD">
                              <w:rPr>
                                <w:color w:val="000000" w:themeColor="text1"/>
                                <w:sz w:val="16"/>
                              </w:rPr>
                              <w:t>möglich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jc w:val="left"/>
              <w:rPr>
                <w:i/>
                <w:color w:val="0070C0"/>
                <w:sz w:val="16"/>
                <w:szCs w:val="16"/>
              </w:rPr>
            </w:pPr>
            <w:r w:rsidRPr="003C773C">
              <w:rPr>
                <w:i/>
                <w:sz w:val="16"/>
                <w:szCs w:val="16"/>
              </w:rPr>
              <w:t>Beispiel</w:t>
            </w:r>
            <w:r w:rsidRPr="003C773C">
              <w:rPr>
                <w:sz w:val="16"/>
                <w:szCs w:val="16"/>
              </w:rPr>
              <w:t xml:space="preserve">: </w:t>
            </w:r>
            <w:r w:rsidRPr="003C773C">
              <w:rPr>
                <w:i/>
                <w:color w:val="0070C0"/>
                <w:sz w:val="16"/>
                <w:szCs w:val="16"/>
              </w:rPr>
              <w:t xml:space="preserve">Die folgenden Informationen werden </w:t>
            </w:r>
            <w:r w:rsidRPr="003C773C">
              <w:rPr>
                <w:b/>
                <w:i/>
                <w:color w:val="FFFFFF" w:themeColor="background1"/>
                <w:sz w:val="16"/>
                <w:szCs w:val="16"/>
                <w:highlight w:val="darkGreen"/>
              </w:rPr>
              <w:t>mittels Verweis</w:t>
            </w:r>
            <w:r w:rsidRPr="003C773C">
              <w:rPr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3C773C">
              <w:rPr>
                <w:i/>
                <w:color w:val="0070C0"/>
                <w:sz w:val="16"/>
                <w:szCs w:val="16"/>
              </w:rPr>
              <w:t xml:space="preserve">auf andere Teile des Lageberichts aufgenommen: 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20"/>
              </w:numPr>
              <w:spacing w:before="0"/>
              <w:jc w:val="left"/>
              <w:rPr>
                <w:i/>
                <w:color w:val="0070C0"/>
                <w:sz w:val="16"/>
                <w:szCs w:val="16"/>
              </w:rPr>
            </w:pPr>
            <w:r w:rsidRPr="003C773C">
              <w:rPr>
                <w:i/>
                <w:color w:val="0070C0"/>
                <w:sz w:val="16"/>
                <w:szCs w:val="16"/>
              </w:rPr>
              <w:t>Im Nachhaltigkeitsbericht enthaltene Einheiten – Konsolidierungskreis im Konzernanhang Abschnitt X.XX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20"/>
              </w:numPr>
              <w:spacing w:before="0"/>
              <w:jc w:val="left"/>
              <w:rPr>
                <w:i/>
                <w:color w:val="0070C0"/>
                <w:sz w:val="16"/>
                <w:szCs w:val="16"/>
              </w:rPr>
            </w:pPr>
            <w:r w:rsidRPr="003C773C">
              <w:rPr>
                <w:i/>
                <w:color w:val="0070C0"/>
                <w:sz w:val="16"/>
                <w:szCs w:val="16"/>
              </w:rPr>
              <w:t>Vorsitzender des höchsten Kontrollorgans – Konzernanhang Angaben zu Organmitgliedern Abschnitt X.XY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20"/>
              </w:numPr>
              <w:spacing w:before="0"/>
              <w:jc w:val="left"/>
              <w:rPr>
                <w:sz w:val="16"/>
                <w:szCs w:val="16"/>
              </w:rPr>
            </w:pPr>
            <w:r w:rsidRPr="003C773C">
              <w:rPr>
                <w:i/>
                <w:color w:val="0070C0"/>
                <w:sz w:val="16"/>
                <w:szCs w:val="16"/>
              </w:rPr>
              <w:t>….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sz w:val="16"/>
                <w:szCs w:val="16"/>
              </w:rPr>
            </w:pPr>
            <w:r w:rsidRPr="003C773C">
              <w:rPr>
                <w:noProof/>
                <w:color w:val="FFFFFF" w:themeColor="background1"/>
                <w:sz w:val="16"/>
                <w:szCs w:val="16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FCD644A" wp14:editId="058D54AF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210185</wp:posOffset>
                      </wp:positionV>
                      <wp:extent cx="1890395" cy="323850"/>
                      <wp:effectExtent l="609600" t="0" r="0" b="38100"/>
                      <wp:wrapNone/>
                      <wp:docPr id="4" name="Sprechblase: rechtecki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0588" y="5567363"/>
                                <a:ext cx="1890395" cy="323850"/>
                              </a:xfrm>
                              <a:prstGeom prst="wedgeRectCallout">
                                <a:avLst>
                                  <a:gd name="adj1" fmla="val -81621"/>
                                  <a:gd name="adj2" fmla="val 57023"/>
                                </a:avLst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122B" w:rsidRPr="00A15415" w:rsidRDefault="004D122B" w:rsidP="00C835DD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A15415">
                                    <w:rPr>
                                      <w:color w:val="000000" w:themeColor="text1"/>
                                      <w:sz w:val="16"/>
                                    </w:rPr>
                                    <w:t xml:space="preserve">Liste mit </w:t>
                                  </w:r>
                                  <w:r w:rsidRPr="00A15415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allen Datenpunkten</w:t>
                                  </w:r>
                                  <w:r w:rsidRPr="00A15415">
                                    <w:rPr>
                                      <w:color w:val="000000" w:themeColor="text1"/>
                                      <w:sz w:val="16"/>
                                    </w:rPr>
                                    <w:t xml:space="preserve"> gem. 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br/>
                                  </w:r>
                                  <w:r w:rsidRPr="00A15415">
                                    <w:rPr>
                                      <w:color w:val="000000" w:themeColor="text1"/>
                                      <w:sz w:val="16"/>
                                    </w:rPr>
                                    <w:t>Anlage B, die v.a. Banken benötigen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D644A" id="Sprechblase: rechteckig 4" o:spid="_x0000_s1033" type="#_x0000_t61" style="position:absolute;margin-left:183.1pt;margin-top:16.55pt;width:148.8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" adj="-6830,23117" fillcolor="#c5f1c5" stroked="f" strokeweight="2pt">
                      <v:textbox inset="0,0,0,0">
                        <w:txbxContent>
                          <w:p w:rsidR="004D122B" w:rsidRPr="00A15415" w:rsidRDefault="004D122B" w:rsidP="00C835DD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15415">
                              <w:rPr>
                                <w:color w:val="000000" w:themeColor="text1"/>
                                <w:sz w:val="16"/>
                              </w:rPr>
                              <w:t xml:space="preserve">Liste mit </w:t>
                            </w:r>
                            <w:r w:rsidRPr="00A15415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allen Datenpunkten</w:t>
                            </w:r>
                            <w:r w:rsidRPr="00A15415">
                              <w:rPr>
                                <w:color w:val="000000" w:themeColor="text1"/>
                                <w:sz w:val="16"/>
                              </w:rPr>
                              <w:t xml:space="preserve"> gem.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br/>
                            </w:r>
                            <w:r w:rsidRPr="00A15415">
                              <w:rPr>
                                <w:color w:val="000000" w:themeColor="text1"/>
                                <w:sz w:val="16"/>
                              </w:rPr>
                              <w:t>Anlage B, die v.a. Banken benötigen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773C">
              <w:rPr>
                <w:sz w:val="16"/>
                <w:szCs w:val="16"/>
              </w:rPr>
              <w:t>Zusätzliche Angabepflichten aus sektorspezifischen ESRS (noch nicht veröffentlicht)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b/>
                <w:color w:val="FFFFFF" w:themeColor="background1"/>
                <w:sz w:val="16"/>
                <w:szCs w:val="16"/>
              </w:rPr>
            </w:pPr>
            <w:r w:rsidRPr="003C773C">
              <w:rPr>
                <w:b/>
                <w:color w:val="FFFFFF" w:themeColor="background1"/>
                <w:sz w:val="16"/>
                <w:szCs w:val="16"/>
                <w:highlight w:val="darkGreen"/>
              </w:rPr>
              <w:t>Liste der erfüllten Angabepflichten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b/>
                <w:sz w:val="16"/>
                <w:szCs w:val="16"/>
              </w:rPr>
            </w:pPr>
            <w:r w:rsidRPr="003C773C">
              <w:rPr>
                <w:b/>
                <w:color w:val="FFFFFF" w:themeColor="background1"/>
                <w:sz w:val="16"/>
                <w:szCs w:val="16"/>
                <w:highlight w:val="darkGreen"/>
              </w:rPr>
              <w:t>Tabelle aller Datenpunkte, die sich aus anderen EU-Rechtsvorschriften ergeben</w:t>
            </w:r>
            <w:r w:rsidRPr="003C773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3C773C">
              <w:rPr>
                <w:b/>
                <w:sz w:val="16"/>
                <w:szCs w:val="16"/>
              </w:rPr>
              <w:t>(ESRS 2 Anlage B)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b/>
                <w:color w:val="FFFFFF" w:themeColor="background1"/>
                <w:sz w:val="16"/>
                <w:szCs w:val="16"/>
                <w:highlight w:val="darkGreen"/>
              </w:rPr>
            </w:pPr>
            <w:r w:rsidRPr="003C773C">
              <w:rPr>
                <w:sz w:val="16"/>
                <w:szCs w:val="16"/>
              </w:rPr>
              <w:t>Hinweis: Themenbereiche ESRS E2, E4, S3 hier nicht wesentlich</w:t>
            </w:r>
          </w:p>
        </w:tc>
      </w:tr>
      <w:tr w:rsidR="004D122B" w:rsidRPr="003C773C" w:rsidTr="004D122B">
        <w:trPr>
          <w:trHeight w:val="227"/>
        </w:trPr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4D122B" w:rsidRPr="003C773C" w:rsidRDefault="004D122B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174"/>
              <w:jc w:val="left"/>
              <w:rPr>
                <w:sz w:val="16"/>
                <w:szCs w:val="16"/>
              </w:rPr>
            </w:pP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4D122B" w:rsidRPr="003C773C" w:rsidRDefault="004D122B" w:rsidP="004D122B">
            <w:pPr>
              <w:spacing w:before="0"/>
              <w:jc w:val="center"/>
              <w:rPr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noProof/>
                <w:color w:val="FFFFFF" w:themeColor="background1"/>
                <w:sz w:val="16"/>
                <w:szCs w:val="16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9F68356" wp14:editId="211931D7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-142875</wp:posOffset>
                      </wp:positionV>
                      <wp:extent cx="1890395" cy="323850"/>
                      <wp:effectExtent l="609600" t="0" r="0" b="38100"/>
                      <wp:wrapNone/>
                      <wp:docPr id="11" name="Sprechblase: rechtecki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0395" cy="323850"/>
                              </a:xfrm>
                              <a:prstGeom prst="wedgeRectCallout">
                                <a:avLst>
                                  <a:gd name="adj1" fmla="val -81621"/>
                                  <a:gd name="adj2" fmla="val 57023"/>
                                </a:avLst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122B" w:rsidRPr="00A15415" w:rsidRDefault="004D122B" w:rsidP="00340F21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40F21"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Vier</w:t>
                                  </w:r>
                                  <w:r w:rsidRPr="00340F21">
                                    <w:rPr>
                                      <w:color w:val="FF0000"/>
                                      <w:sz w:val="16"/>
                                    </w:rPr>
                                    <w:t xml:space="preserve"> </w:t>
                                  </w:r>
                                  <w:r w:rsidRPr="00340F21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Berichtsbereiche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68356" id="Sprechblase: rechteckig 11" o:spid="_x0000_s1034" type="#_x0000_t61" style="position:absolute;margin-left:56.6pt;margin-top:-11.25pt;width:148.8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" adj="-6830,23117" fillcolor="#c5f1c5" stroked="f" strokeweight="2pt">
                      <v:textbox inset="0,0,0,0">
                        <w:txbxContent>
                          <w:p w:rsidR="004D122B" w:rsidRPr="00A15415" w:rsidRDefault="004D122B" w:rsidP="00340F2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40F21">
                              <w:rPr>
                                <w:b/>
                                <w:color w:val="FF0000"/>
                                <w:sz w:val="16"/>
                              </w:rPr>
                              <w:t>Vier</w:t>
                            </w:r>
                            <w:r w:rsidRPr="00340F21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340F21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Berichtsbereiche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D122B" w:rsidRPr="003C773C" w:rsidRDefault="004D122B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4D122B" w:rsidRPr="003C773C" w:rsidRDefault="004D122B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ESRS 1 Tz. 113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 xml:space="preserve">Angaben nach </w:t>
            </w:r>
            <w:r w:rsidRPr="003C773C">
              <w:rPr>
                <w:b/>
                <w:color w:val="FFFFFF" w:themeColor="background1"/>
                <w:sz w:val="16"/>
                <w:szCs w:val="16"/>
                <w:highlight w:val="darkGreen"/>
              </w:rPr>
              <w:t>Artikel 8 der Verordnung 2020/852</w:t>
            </w:r>
            <w:r w:rsidRPr="003C773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3C773C">
              <w:rPr>
                <w:b/>
                <w:color w:val="000000" w:themeColor="text1"/>
                <w:sz w:val="16"/>
                <w:szCs w:val="16"/>
              </w:rPr>
              <w:t>(Taxonomie-Verordnung)</w:t>
            </w:r>
          </w:p>
        </w:tc>
      </w:tr>
      <w:tr w:rsidR="004D122B" w:rsidRPr="003C773C" w:rsidTr="004D122B">
        <w:tc>
          <w:tcPr>
            <w:tcW w:w="511" w:type="dxa"/>
            <w:vMerge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Kennzahlen</w:t>
            </w:r>
            <w:r w:rsidRPr="003C773C">
              <w:rPr>
                <w:sz w:val="16"/>
                <w:szCs w:val="16"/>
              </w:rPr>
              <w:t>: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proofErr w:type="spellStart"/>
            <w:r w:rsidRPr="003C773C">
              <w:rPr>
                <w:sz w:val="16"/>
                <w:szCs w:val="16"/>
              </w:rPr>
              <w:t>Taxonomiefähige</w:t>
            </w:r>
            <w:proofErr w:type="spellEnd"/>
            <w:r w:rsidRPr="003C773C">
              <w:rPr>
                <w:sz w:val="16"/>
                <w:szCs w:val="16"/>
              </w:rPr>
              <w:t xml:space="preserve"> und </w:t>
            </w:r>
            <w:proofErr w:type="spellStart"/>
            <w:r w:rsidRPr="003C773C">
              <w:rPr>
                <w:sz w:val="16"/>
                <w:szCs w:val="16"/>
              </w:rPr>
              <w:t>taxonomiekonforme</w:t>
            </w:r>
            <w:proofErr w:type="spellEnd"/>
            <w:r w:rsidRPr="003C773C">
              <w:rPr>
                <w:sz w:val="16"/>
                <w:szCs w:val="16"/>
              </w:rPr>
              <w:t xml:space="preserve"> Umsätze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CapEx (</w:t>
            </w:r>
            <w:proofErr w:type="spellStart"/>
            <w:r w:rsidRPr="003C773C">
              <w:rPr>
                <w:sz w:val="16"/>
                <w:szCs w:val="16"/>
              </w:rPr>
              <w:t>Taxonomiefähige</w:t>
            </w:r>
            <w:proofErr w:type="spellEnd"/>
            <w:r w:rsidRPr="003C773C">
              <w:rPr>
                <w:sz w:val="16"/>
                <w:szCs w:val="16"/>
              </w:rPr>
              <w:t xml:space="preserve"> und </w:t>
            </w:r>
            <w:proofErr w:type="spellStart"/>
            <w:r w:rsidRPr="003C773C">
              <w:rPr>
                <w:sz w:val="16"/>
                <w:szCs w:val="16"/>
              </w:rPr>
              <w:t>taxonomiefähige</w:t>
            </w:r>
            <w:proofErr w:type="spellEnd"/>
            <w:r w:rsidRPr="003C773C">
              <w:rPr>
                <w:sz w:val="16"/>
                <w:szCs w:val="16"/>
              </w:rPr>
              <w:t xml:space="preserve"> </w:t>
            </w:r>
            <w:proofErr w:type="spellStart"/>
            <w:r w:rsidRPr="003C773C">
              <w:rPr>
                <w:sz w:val="16"/>
                <w:szCs w:val="16"/>
              </w:rPr>
              <w:t>Investitionsausagen</w:t>
            </w:r>
            <w:proofErr w:type="spellEnd"/>
            <w:r w:rsidRPr="003C773C">
              <w:rPr>
                <w:sz w:val="16"/>
                <w:szCs w:val="16"/>
              </w:rPr>
              <w:t>)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OpEx (</w:t>
            </w:r>
            <w:proofErr w:type="spellStart"/>
            <w:r w:rsidRPr="003C773C">
              <w:rPr>
                <w:sz w:val="16"/>
                <w:szCs w:val="16"/>
              </w:rPr>
              <w:t>Taxonimiefähige</w:t>
            </w:r>
            <w:proofErr w:type="spellEnd"/>
            <w:r w:rsidRPr="003C773C">
              <w:rPr>
                <w:sz w:val="16"/>
                <w:szCs w:val="16"/>
              </w:rPr>
              <w:t xml:space="preserve"> und </w:t>
            </w:r>
            <w:proofErr w:type="spellStart"/>
            <w:r w:rsidRPr="003C773C">
              <w:rPr>
                <w:sz w:val="16"/>
                <w:szCs w:val="16"/>
              </w:rPr>
              <w:t>taxonomiekonforme</w:t>
            </w:r>
            <w:proofErr w:type="spellEnd"/>
            <w:r w:rsidRPr="003C773C">
              <w:rPr>
                <w:sz w:val="16"/>
                <w:szCs w:val="16"/>
              </w:rPr>
              <w:t xml:space="preserve"> Betriebsausgaben)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ESRS E1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Klimawandel</w:t>
            </w:r>
          </w:p>
        </w:tc>
      </w:tr>
      <w:tr w:rsidR="004D122B" w:rsidRPr="003C773C" w:rsidTr="004D122B">
        <w:tc>
          <w:tcPr>
            <w:tcW w:w="511" w:type="dxa"/>
            <w:vMerge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4D122B" w:rsidRPr="003C773C" w:rsidRDefault="004D122B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Merge w:val="restart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Angabepflichten aus dem </w:t>
            </w:r>
            <w:r w:rsidRPr="003C773C">
              <w:rPr>
                <w:b/>
                <w:sz w:val="16"/>
                <w:szCs w:val="16"/>
              </w:rPr>
              <w:t>themenbezogenen ESRS E1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Management der Auswirkungen, Risiken und Chancen 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Parameter und Ziele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Angabepflicht aus dem ESRS E1</w:t>
            </w:r>
          </w:p>
        </w:tc>
      </w:tr>
      <w:tr w:rsidR="004D122B" w:rsidRPr="003C773C" w:rsidTr="004D122B">
        <w:tc>
          <w:tcPr>
            <w:tcW w:w="511" w:type="dxa"/>
            <w:vMerge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4D122B" w:rsidRPr="003C773C" w:rsidRDefault="004D122B" w:rsidP="004D122B">
            <w:pPr>
              <w:spacing w:before="0"/>
              <w:jc w:val="center"/>
              <w:rPr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Merge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4D122B" w:rsidRPr="003C773C" w:rsidTr="004D122B">
        <w:tc>
          <w:tcPr>
            <w:tcW w:w="511" w:type="dxa"/>
            <w:vMerge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4D122B" w:rsidRPr="003C773C" w:rsidRDefault="004D122B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Merge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4D122B" w:rsidRPr="003C773C" w:rsidTr="004D122B">
        <w:trPr>
          <w:cantSplit/>
        </w:trPr>
        <w:tc>
          <w:tcPr>
            <w:tcW w:w="511" w:type="dxa"/>
            <w:vMerge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4D122B" w:rsidRPr="003C773C" w:rsidRDefault="004D122B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E99D667" wp14:editId="4EC30A54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-141605</wp:posOffset>
                      </wp:positionV>
                      <wp:extent cx="2751455" cy="363855"/>
                      <wp:effectExtent l="704850" t="0" r="0" b="0"/>
                      <wp:wrapNone/>
                      <wp:docPr id="5" name="Sprechblase: rechtecki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455" cy="363855"/>
                              </a:xfrm>
                              <a:prstGeom prst="wedgeRectCallout">
                                <a:avLst>
                                  <a:gd name="adj1" fmla="val -75627"/>
                                  <a:gd name="adj2" fmla="val -43050"/>
                                </a:avLst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122B" w:rsidRPr="00340F21" w:rsidRDefault="004D122B" w:rsidP="00476363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40F21">
                                    <w:rPr>
                                      <w:color w:val="000000" w:themeColor="text1"/>
                                      <w:sz w:val="14"/>
                                    </w:rPr>
                                    <w:t>In den einzelnen themenbezogenen Standards</w:t>
                                  </w:r>
                                  <w:r w:rsidRPr="00340F21"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  <w:t xml:space="preserve">: Untergliederung in die </w:t>
                                  </w:r>
                                  <w:r w:rsidRPr="00340F21"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primären Berichtsbestandteile</w:t>
                                  </w:r>
                                  <w:r w:rsidRPr="00340F21">
                                    <w:rPr>
                                      <w:color w:val="FF0000"/>
                                      <w:sz w:val="14"/>
                                    </w:rPr>
                                    <w:t xml:space="preserve"> </w:t>
                                  </w:r>
                                  <w:r w:rsidRPr="00340F21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und darunter dann die einschlägigen </w:t>
                                  </w:r>
                                  <w:r w:rsidRPr="00340F21"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  <w:t>Datenpunkte</w:t>
                                  </w:r>
                                  <w:r w:rsidRPr="00340F21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offenlegen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9D667" id="Sprechblase: rechteckig 5" o:spid="_x0000_s1035" type="#_x0000_t61" style="position:absolute;margin-left:90.05pt;margin-top:-11.15pt;width:216.65pt;height:2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" adj="-5535,1501" fillcolor="#c5f1c5" stroked="f" strokeweight="2pt">
                      <v:textbox inset="0,0,0,0">
                        <w:txbxContent>
                          <w:p w:rsidR="004D122B" w:rsidRPr="00340F21" w:rsidRDefault="004D122B" w:rsidP="00476363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40F21">
                              <w:rPr>
                                <w:color w:val="000000" w:themeColor="text1"/>
                                <w:sz w:val="14"/>
                              </w:rPr>
                              <w:t>In den einzelnen themenbezogenen Standards</w:t>
                            </w:r>
                            <w:r w:rsidRPr="00340F2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 xml:space="preserve">: Untergliederung in die </w:t>
                            </w:r>
                            <w:r w:rsidRPr="00340F21">
                              <w:rPr>
                                <w:b/>
                                <w:color w:val="FF0000"/>
                                <w:sz w:val="14"/>
                              </w:rPr>
                              <w:t>primären Berichtsbestandteile</w:t>
                            </w:r>
                            <w:r w:rsidRPr="00340F21">
                              <w:rPr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 w:rsidRPr="00340F21">
                              <w:rPr>
                                <w:color w:val="000000" w:themeColor="text1"/>
                                <w:sz w:val="14"/>
                              </w:rPr>
                              <w:t xml:space="preserve">und darunter dann die einschlägigen </w:t>
                            </w:r>
                            <w:r w:rsidRPr="00340F2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Datenpunkte</w:t>
                            </w:r>
                            <w:r w:rsidRPr="00340F21">
                              <w:rPr>
                                <w:color w:val="000000" w:themeColor="text1"/>
                                <w:sz w:val="14"/>
                              </w:rPr>
                              <w:t xml:space="preserve"> offenlegen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122B" w:rsidRPr="003C773C" w:rsidTr="004D122B">
        <w:trPr>
          <w:trHeight w:val="170"/>
        </w:trPr>
        <w:tc>
          <w:tcPr>
            <w:tcW w:w="511" w:type="dxa"/>
            <w:vMerge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Zusätzliche Angabepflicht aus </w:t>
            </w:r>
            <w:r w:rsidRPr="003C773C">
              <w:rPr>
                <w:b/>
                <w:sz w:val="16"/>
                <w:szCs w:val="16"/>
              </w:rPr>
              <w:t>sektorspezifischen</w:t>
            </w:r>
            <w:r w:rsidRPr="003C773C">
              <w:rPr>
                <w:sz w:val="16"/>
                <w:szCs w:val="16"/>
              </w:rPr>
              <w:t xml:space="preserve"> ESRS</w:t>
            </w:r>
          </w:p>
        </w:tc>
      </w:tr>
      <w:tr w:rsidR="004D122B" w:rsidRPr="003C773C" w:rsidTr="004D122B">
        <w:trPr>
          <w:trHeight w:val="170"/>
        </w:trPr>
        <w:tc>
          <w:tcPr>
            <w:tcW w:w="511" w:type="dxa"/>
            <w:vMerge/>
            <w:tcBorders>
              <w:bottom w:val="single" w:sz="6" w:space="0" w:color="FFFFFF" w:themeColor="background1"/>
            </w:tcBorders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Mögliche zusätzliche </w:t>
            </w:r>
            <w:r w:rsidRPr="003C773C">
              <w:rPr>
                <w:b/>
                <w:sz w:val="16"/>
                <w:szCs w:val="16"/>
              </w:rPr>
              <w:t>unternehmensspezifischen</w:t>
            </w:r>
            <w:r w:rsidRPr="003C773C">
              <w:rPr>
                <w:sz w:val="16"/>
                <w:szCs w:val="16"/>
              </w:rPr>
              <w:t xml:space="preserve"> Informationen</w:t>
            </w:r>
          </w:p>
        </w:tc>
      </w:tr>
      <w:tr w:rsidR="00AB4A99" w:rsidRPr="003C773C" w:rsidTr="004D122B">
        <w:trPr>
          <w:trHeight w:hRule="exact" w:val="283"/>
        </w:trPr>
        <w:tc>
          <w:tcPr>
            <w:tcW w:w="511" w:type="dxa"/>
            <w:vMerge w:val="restar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B4A99" w:rsidRDefault="00AB4A99" w:rsidP="004D122B"/>
        </w:tc>
        <w:tc>
          <w:tcPr>
            <w:tcW w:w="567" w:type="dxa"/>
            <w:shd w:val="clear" w:color="auto" w:fill="D9D9D9" w:themeFill="background1" w:themeFillShade="D9"/>
          </w:tcPr>
          <w:p w:rsidR="00AB4A99" w:rsidRPr="004D122B" w:rsidRDefault="00AB4A99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B4A99" w:rsidRPr="004D122B" w:rsidRDefault="00340F21" w:rsidP="004D122B">
            <w:pPr>
              <w:spacing w:before="0"/>
              <w:rPr>
                <w:sz w:val="16"/>
                <w:szCs w:val="16"/>
              </w:rPr>
            </w:pPr>
            <w:r w:rsidRPr="004D122B">
              <w:rPr>
                <w:b/>
                <w:color w:val="000000" w:themeColor="text1"/>
                <w:sz w:val="16"/>
                <w:szCs w:val="16"/>
              </w:rPr>
              <w:t>ESRS E3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AB4A99" w:rsidRPr="004D122B" w:rsidRDefault="00340F21" w:rsidP="004D122B">
            <w:pPr>
              <w:spacing w:before="0"/>
              <w:rPr>
                <w:sz w:val="16"/>
                <w:szCs w:val="16"/>
              </w:rPr>
            </w:pPr>
            <w:r w:rsidRPr="004D122B">
              <w:rPr>
                <w:b/>
                <w:color w:val="000000" w:themeColor="text1"/>
                <w:sz w:val="16"/>
                <w:szCs w:val="16"/>
              </w:rPr>
              <w:t>Wasser- und Meeresressourcen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Merge w:val="restart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Angabepflichten aus dem </w:t>
            </w:r>
            <w:r w:rsidRPr="003C773C">
              <w:rPr>
                <w:b/>
                <w:sz w:val="16"/>
                <w:szCs w:val="16"/>
              </w:rPr>
              <w:t>themenbezogenen ESRS E5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Management der Auswirkungen, Risiken und Chancen 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Parameter und Ziele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Angabepflicht aus dem ESRS E5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Zusätzliche Angabepflicht aus </w:t>
            </w:r>
            <w:r w:rsidRPr="003C773C">
              <w:rPr>
                <w:b/>
                <w:sz w:val="16"/>
                <w:szCs w:val="16"/>
              </w:rPr>
              <w:t>sektorspezifischen</w:t>
            </w:r>
            <w:r w:rsidRPr="003C773C">
              <w:rPr>
                <w:sz w:val="16"/>
                <w:szCs w:val="16"/>
              </w:rPr>
              <w:t xml:space="preserve"> ESRS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Mögliche zusätzliche </w:t>
            </w:r>
            <w:r w:rsidRPr="003C773C">
              <w:rPr>
                <w:b/>
                <w:sz w:val="16"/>
                <w:szCs w:val="16"/>
              </w:rPr>
              <w:t>unternehmensspezifischen</w:t>
            </w:r>
            <w:r w:rsidRPr="003C773C">
              <w:rPr>
                <w:sz w:val="16"/>
                <w:szCs w:val="16"/>
              </w:rPr>
              <w:t xml:space="preserve"> Informationen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ESRS S1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796658" w:rsidRPr="003C773C" w:rsidRDefault="00796658" w:rsidP="004D122B">
            <w:pPr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Eigene Belegschaft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Merge w:val="restart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Angabepflichten aus dem </w:t>
            </w:r>
            <w:r w:rsidRPr="003C773C">
              <w:rPr>
                <w:b/>
                <w:sz w:val="16"/>
                <w:szCs w:val="16"/>
              </w:rPr>
              <w:t>themenbezogenen ESRS S1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Management der Auswirkungen, Risiken und Chancen 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Parameter und Ziele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Angabepflicht aus dem ESRS S1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Zusätzliche Angabepflicht aus </w:t>
            </w:r>
            <w:r w:rsidRPr="003C773C">
              <w:rPr>
                <w:b/>
                <w:sz w:val="16"/>
                <w:szCs w:val="16"/>
              </w:rPr>
              <w:t>sektorspezifischen</w:t>
            </w:r>
            <w:r w:rsidRPr="003C773C">
              <w:rPr>
                <w:sz w:val="16"/>
                <w:szCs w:val="16"/>
              </w:rPr>
              <w:t xml:space="preserve"> ESRS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Mögliche zusätzliche </w:t>
            </w:r>
            <w:r w:rsidRPr="003C773C">
              <w:rPr>
                <w:b/>
                <w:sz w:val="16"/>
                <w:szCs w:val="16"/>
              </w:rPr>
              <w:t>unternehmensspezifischen</w:t>
            </w:r>
            <w:r w:rsidRPr="003C773C">
              <w:rPr>
                <w:sz w:val="16"/>
                <w:szCs w:val="16"/>
              </w:rPr>
              <w:t xml:space="preserve"> Informationen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ESRS S2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796658" w:rsidRPr="003C773C" w:rsidRDefault="00796658" w:rsidP="004D122B">
            <w:pPr>
              <w:spacing w:before="0"/>
              <w:contextualSpacing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Arbeitskräfte in der Wertschöpfungskette</w:t>
            </w:r>
          </w:p>
        </w:tc>
      </w:tr>
      <w:tr w:rsidR="00796658" w:rsidRPr="003C773C" w:rsidTr="004D122B">
        <w:trPr>
          <w:trHeight w:val="20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Merge w:val="restart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Angabepflichten aus dem </w:t>
            </w:r>
            <w:r w:rsidRPr="003C773C">
              <w:rPr>
                <w:b/>
                <w:sz w:val="16"/>
                <w:szCs w:val="16"/>
              </w:rPr>
              <w:t>themenbezogenen ESRS S2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Management der Auswirkungen, Risiken und Chancen 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Parameter und Ziele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Angabepflicht aus dem ESRS S2</w:t>
            </w: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rPr>
          <w:trHeight w:val="57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Zusätzliche Angabepflicht aus </w:t>
            </w:r>
            <w:r w:rsidRPr="003C773C">
              <w:rPr>
                <w:b/>
                <w:sz w:val="16"/>
                <w:szCs w:val="16"/>
              </w:rPr>
              <w:t>sektorspezifischen</w:t>
            </w:r>
            <w:r w:rsidRPr="003C773C">
              <w:rPr>
                <w:sz w:val="16"/>
                <w:szCs w:val="16"/>
              </w:rPr>
              <w:t xml:space="preserve"> ESRS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Mögliche zusätzliche </w:t>
            </w:r>
            <w:r w:rsidRPr="003C773C">
              <w:rPr>
                <w:b/>
                <w:sz w:val="16"/>
                <w:szCs w:val="16"/>
              </w:rPr>
              <w:t>unternehmensspezifischen</w:t>
            </w:r>
            <w:r w:rsidRPr="003C773C">
              <w:rPr>
                <w:sz w:val="16"/>
                <w:szCs w:val="16"/>
              </w:rPr>
              <w:t xml:space="preserve"> Informationen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ESRS S4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796658" w:rsidRPr="003C773C" w:rsidRDefault="00796658" w:rsidP="004D122B">
            <w:pPr>
              <w:spacing w:before="0"/>
              <w:contextualSpacing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Verbraucher und Endnutzer</w:t>
            </w: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Merge w:val="restart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Angabepflichten aus dem </w:t>
            </w:r>
            <w:r w:rsidRPr="003C773C">
              <w:rPr>
                <w:b/>
                <w:sz w:val="16"/>
                <w:szCs w:val="16"/>
              </w:rPr>
              <w:t>themenbezogenen ESRS S4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Management der Auswirkungen, Risiken und Chancen 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Parameter und Ziele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Angabepflicht aus dem ESRS S4</w:t>
            </w: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Zusätzliche Angabepflicht aus </w:t>
            </w:r>
            <w:r w:rsidRPr="003C773C">
              <w:rPr>
                <w:b/>
                <w:sz w:val="16"/>
                <w:szCs w:val="16"/>
              </w:rPr>
              <w:t>sektorspezifischen</w:t>
            </w:r>
            <w:r w:rsidRPr="003C773C">
              <w:rPr>
                <w:sz w:val="16"/>
                <w:szCs w:val="16"/>
              </w:rPr>
              <w:t xml:space="preserve"> ESRS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Mögliche zusätzliche </w:t>
            </w:r>
            <w:r w:rsidRPr="003C773C">
              <w:rPr>
                <w:b/>
                <w:sz w:val="16"/>
                <w:szCs w:val="16"/>
              </w:rPr>
              <w:t>unternehmensspezifischen</w:t>
            </w:r>
            <w:r w:rsidRPr="003C773C">
              <w:rPr>
                <w:sz w:val="16"/>
                <w:szCs w:val="16"/>
              </w:rPr>
              <w:t xml:space="preserve"> Informationen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ESRS G1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796658" w:rsidRPr="003C773C" w:rsidRDefault="00796658" w:rsidP="004D122B">
            <w:pPr>
              <w:spacing w:before="0"/>
              <w:contextualSpacing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Unternehmenspolitik</w:t>
            </w: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Merge w:val="restart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Angabepflichten aus dem </w:t>
            </w:r>
            <w:r w:rsidRPr="003C773C">
              <w:rPr>
                <w:b/>
                <w:sz w:val="16"/>
                <w:szCs w:val="16"/>
              </w:rPr>
              <w:t>themenbezogenen ESRS G1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Management der Auswirkungen, Risiken und Chancen 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Parameter und Ziele</w:t>
            </w:r>
          </w:p>
          <w:p w:rsidR="00340F21" w:rsidRPr="00340F21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Angabepflicht aus dem ESRS G1</w:t>
            </w: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rPr>
          <w:trHeight w:val="113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Zusätzliche Angabepflicht aus </w:t>
            </w:r>
            <w:r w:rsidRPr="003C773C">
              <w:rPr>
                <w:b/>
                <w:sz w:val="16"/>
                <w:szCs w:val="16"/>
              </w:rPr>
              <w:t>sektorspezifischen</w:t>
            </w:r>
            <w:r w:rsidRPr="003C773C">
              <w:rPr>
                <w:sz w:val="16"/>
                <w:szCs w:val="16"/>
              </w:rPr>
              <w:t xml:space="preserve"> ESRS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Mögliche zusätzliche </w:t>
            </w:r>
            <w:r w:rsidRPr="003C773C">
              <w:rPr>
                <w:b/>
                <w:sz w:val="16"/>
                <w:szCs w:val="16"/>
              </w:rPr>
              <w:t>unternehmensspezifischen</w:t>
            </w:r>
            <w:r w:rsidRPr="003C773C">
              <w:rPr>
                <w:sz w:val="16"/>
                <w:szCs w:val="16"/>
              </w:rPr>
              <w:t xml:space="preserve"> Informationen</w:t>
            </w:r>
          </w:p>
        </w:tc>
      </w:tr>
    </w:tbl>
    <w:p w:rsidR="00DB3534" w:rsidRPr="003C773C" w:rsidRDefault="00340F21" w:rsidP="008A5560">
      <w:pPr>
        <w:spacing w:before="0"/>
        <w:rPr>
          <w:sz w:val="17"/>
          <w:szCs w:val="17"/>
        </w:rPr>
      </w:pPr>
      <w:r w:rsidRPr="00226F1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7F479A" wp14:editId="5FEAD628">
                <wp:simplePos x="0" y="0"/>
                <wp:positionH relativeFrom="column">
                  <wp:posOffset>-3931603</wp:posOffset>
                </wp:positionH>
                <wp:positionV relativeFrom="paragraph">
                  <wp:posOffset>3964912</wp:posOffset>
                </wp:positionV>
                <wp:extent cx="8126095" cy="233681"/>
                <wp:effectExtent l="2858" t="0" r="11112" b="11113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26095" cy="233681"/>
                        </a:xfrm>
                        <a:prstGeom prst="rect">
                          <a:avLst/>
                        </a:prstGeom>
                        <a:solidFill>
                          <a:srgbClr val="C5F1C5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A99" w:rsidRPr="00420E33" w:rsidRDefault="00AB4A99" w:rsidP="00AB4A99">
                            <w:pPr>
                              <w:spacing w:before="0"/>
                              <w:jc w:val="center"/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</w:pPr>
                            <w:r w:rsidRPr="00420E33"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  <w:t>Nachhaltigkeitserklärung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F479A" id="Rechteck 15" o:spid="_x0000_s1036" style="position:absolute;left:0;text-align:left;margin-left:-309.6pt;margin-top:312.2pt;width:639.85pt;height:18.4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" fillcolor="#c5f1c5" strokecolor="black [3213]">
                <v:textbox>
                  <w:txbxContent>
                    <w:p w:rsidR="00AB4A99" w:rsidRPr="00420E33" w:rsidRDefault="00AB4A99" w:rsidP="00AB4A99">
                      <w:pPr>
                        <w:spacing w:before="0"/>
                        <w:jc w:val="center"/>
                        <w:rPr>
                          <w:b/>
                          <w:color w:val="228B22"/>
                          <w:sz w:val="16"/>
                          <w:szCs w:val="16"/>
                        </w:rPr>
                      </w:pPr>
                      <w:r w:rsidRPr="00420E33">
                        <w:rPr>
                          <w:b/>
                          <w:color w:val="228B22"/>
                          <w:sz w:val="16"/>
                          <w:szCs w:val="16"/>
                        </w:rPr>
                        <w:t>Nachhaltigkeitserklärung</w:t>
                      </w:r>
                    </w:p>
                  </w:txbxContent>
                </v:textbox>
              </v:rect>
            </w:pict>
          </mc:Fallback>
        </mc:AlternateContent>
      </w:r>
      <w:r w:rsidR="00AB4A99">
        <w:rPr>
          <w:noProof/>
          <w:sz w:val="20"/>
        </w:rPr>
        <w:br w:type="textWrapping" w:clear="all"/>
      </w:r>
      <w:r w:rsidR="00C6024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263341</wp:posOffset>
                </wp:positionH>
                <wp:positionV relativeFrom="paragraph">
                  <wp:posOffset>-1624798</wp:posOffset>
                </wp:positionV>
                <wp:extent cx="5492703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7D894" id="Gerader Verbinder 13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-127.95pt" to="453.25pt,-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" strokecolor="white [3212]"/>
            </w:pict>
          </mc:Fallback>
        </mc:AlternateContent>
      </w:r>
      <w:r w:rsidR="00C6024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263341</wp:posOffset>
                </wp:positionH>
                <wp:positionV relativeFrom="paragraph">
                  <wp:posOffset>-6740496</wp:posOffset>
                </wp:positionV>
                <wp:extent cx="5495039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0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DFC96" id="Gerader Verbinder 12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-530.75pt" to="453.45pt,-5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" strokecolor="white [3212]"/>
            </w:pict>
          </mc:Fallback>
        </mc:AlternateContent>
      </w:r>
    </w:p>
    <w:sectPr w:rsidR="00DB3534" w:rsidRPr="003C773C" w:rsidSect="00C1766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851" w:right="1701" w:bottom="1134" w:left="1134" w:header="113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857" w:rsidRDefault="00BA4857">
      <w:pPr>
        <w:spacing w:before="0"/>
      </w:pPr>
      <w:r>
        <w:separator/>
      </w:r>
    </w:p>
  </w:endnote>
  <w:endnote w:type="continuationSeparator" w:id="0">
    <w:p w:rsidR="00BA4857" w:rsidRDefault="00BA48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C17669" w:rsidTr="00886670">
      <w:trPr>
        <w:trHeight w:hRule="exact" w:val="1191"/>
      </w:trPr>
      <w:tc>
        <w:tcPr>
          <w:tcW w:w="2265" w:type="dxa"/>
          <w:vAlign w:val="bottom"/>
          <w:hideMark/>
        </w:tcPr>
        <w:p w:rsidR="00C17669" w:rsidRDefault="00C17669" w:rsidP="00C17669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1509956458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C17669" w:rsidRDefault="00C17669" w:rsidP="00C17669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5 2024</w:t>
          </w:r>
        </w:p>
      </w:tc>
      <w:tc>
        <w:tcPr>
          <w:tcW w:w="2266" w:type="dxa"/>
          <w:vAlign w:val="bottom"/>
          <w:hideMark/>
        </w:tcPr>
        <w:p w:rsidR="00C17669" w:rsidRDefault="00C17669" w:rsidP="00C17669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4BB71097" wp14:editId="49044659">
                <wp:extent cx="1125855" cy="431800"/>
                <wp:effectExtent l="0" t="0" r="0" b="635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C17669" w:rsidRDefault="00C17669" w:rsidP="00C17669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440BA7D6" wp14:editId="0E329EFA">
                <wp:extent cx="1151255" cy="431800"/>
                <wp:effectExtent l="0" t="0" r="0" b="635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C17669" w:rsidRDefault="00C17669" w:rsidP="00C17669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Praxishilfe 0/3</w:t>
          </w:r>
        </w:p>
        <w:p w:rsidR="00C17669" w:rsidRDefault="00C17669" w:rsidP="00C17669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01.09.2024</w:t>
          </w:r>
        </w:p>
      </w:tc>
    </w:tr>
  </w:tbl>
  <w:p w:rsidR="007506E6" w:rsidRPr="00C17669" w:rsidRDefault="007506E6" w:rsidP="00C17669">
    <w:pPr>
      <w:pStyle w:val="Fuzeile"/>
      <w:spacing w:before="0"/>
      <w:rPr>
        <w:rFonts w:eastAsiaTheme="minorHAnsi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C17669" w:rsidTr="00886670">
      <w:trPr>
        <w:trHeight w:hRule="exact" w:val="1191"/>
      </w:trPr>
      <w:tc>
        <w:tcPr>
          <w:tcW w:w="2265" w:type="dxa"/>
          <w:vAlign w:val="bottom"/>
          <w:hideMark/>
        </w:tcPr>
        <w:p w:rsidR="00C17669" w:rsidRDefault="00C17669" w:rsidP="00C17669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C17669" w:rsidRDefault="00C17669" w:rsidP="00C17669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ESG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5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 2024</w:t>
          </w:r>
        </w:p>
      </w:tc>
      <w:tc>
        <w:tcPr>
          <w:tcW w:w="2266" w:type="dxa"/>
          <w:vAlign w:val="bottom"/>
          <w:hideMark/>
        </w:tcPr>
        <w:p w:rsidR="00C17669" w:rsidRDefault="00C17669" w:rsidP="00C17669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681D321A" wp14:editId="4317F785">
                <wp:extent cx="1125855" cy="431800"/>
                <wp:effectExtent l="0" t="0" r="0" b="635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C17669" w:rsidRDefault="00C17669" w:rsidP="00C17669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097F8EA0" wp14:editId="7D8F336A">
                <wp:extent cx="1151255" cy="431800"/>
                <wp:effectExtent l="0" t="0" r="0" b="635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C17669" w:rsidRDefault="00C17669" w:rsidP="00C17669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0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3</w:t>
          </w:r>
        </w:p>
        <w:p w:rsidR="00C17669" w:rsidRDefault="00C17669" w:rsidP="00C17669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</w:t>
          </w:r>
          <w:r>
            <w:rPr>
              <w:rFonts w:eastAsiaTheme="minorHAnsi" w:cstheme="minorBidi"/>
              <w:sz w:val="20"/>
              <w:lang w:eastAsia="en-US"/>
            </w:rPr>
            <w:t>9</w:t>
          </w:r>
          <w:r>
            <w:rPr>
              <w:rFonts w:eastAsiaTheme="minorHAnsi" w:cstheme="minorBidi"/>
              <w:sz w:val="20"/>
              <w:lang w:eastAsia="en-US"/>
            </w:rPr>
            <w:t>.2024</w:t>
          </w:r>
        </w:p>
      </w:tc>
    </w:tr>
  </w:tbl>
  <w:p w:rsidR="007506E6" w:rsidRPr="00C17669" w:rsidRDefault="007506E6" w:rsidP="00C17669">
    <w:pPr>
      <w:pStyle w:val="Fuzeile"/>
      <w:spacing w:before="0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857" w:rsidRDefault="00BA4857" w:rsidP="00EE217B">
      <w:pPr>
        <w:pStyle w:val="Fuzeile"/>
      </w:pPr>
    </w:p>
    <w:p w:rsidR="00BA4857" w:rsidRPr="00EE217B" w:rsidRDefault="00BA4857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BA4857" w:rsidRDefault="00BA4857" w:rsidP="00711AB6">
      <w:pPr>
        <w:spacing w:before="0"/>
        <w:jc w:val="center"/>
      </w:pPr>
    </w:p>
    <w:p w:rsidR="00BA4857" w:rsidRPr="00711AB6" w:rsidRDefault="00BA4857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65F75" w:rsidRDefault="007506E6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3E6AC3" w:rsidRDefault="007506E6" w:rsidP="003E6AC3">
    <w:pPr>
      <w:pStyle w:val="Kopfzeile"/>
      <w:pBdr>
        <w:bottom w:val="none" w:sz="0" w:space="0" w:color="auto"/>
      </w:pBdr>
      <w:spacing w:before="0"/>
      <w:rPr>
        <w:sz w:val="2"/>
        <w:szCs w:val="2"/>
      </w:rPr>
    </w:pPr>
    <w:r w:rsidRPr="003E6AC3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C8A312D"/>
    <w:multiLevelType w:val="hybridMultilevel"/>
    <w:tmpl w:val="546AB8DE"/>
    <w:lvl w:ilvl="0" w:tplc="168C52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5BBA"/>
    <w:multiLevelType w:val="hybridMultilevel"/>
    <w:tmpl w:val="91B8D7BA"/>
    <w:lvl w:ilvl="0" w:tplc="168C52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729461A3"/>
    <w:multiLevelType w:val="hybridMultilevel"/>
    <w:tmpl w:val="D4C2D5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E296A"/>
    <w:multiLevelType w:val="hybridMultilevel"/>
    <w:tmpl w:val="A2C6035E"/>
    <w:lvl w:ilvl="0" w:tplc="84D6825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228B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6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12"/>
  </w:num>
  <w:num w:numId="17">
    <w:abstractNumId w:val="18"/>
  </w:num>
  <w:num w:numId="18">
    <w:abstractNumId w:val="8"/>
  </w:num>
  <w:num w:numId="19">
    <w:abstractNumId w:val="13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4857"/>
    <w:rsid w:val="00002230"/>
    <w:rsid w:val="00002EED"/>
    <w:rsid w:val="000030A9"/>
    <w:rsid w:val="00014725"/>
    <w:rsid w:val="0001477C"/>
    <w:rsid w:val="0002748A"/>
    <w:rsid w:val="0003242D"/>
    <w:rsid w:val="0004061E"/>
    <w:rsid w:val="0004274B"/>
    <w:rsid w:val="000503CF"/>
    <w:rsid w:val="0005326E"/>
    <w:rsid w:val="000616B8"/>
    <w:rsid w:val="00064F40"/>
    <w:rsid w:val="00075E7C"/>
    <w:rsid w:val="00080B9A"/>
    <w:rsid w:val="00086B8A"/>
    <w:rsid w:val="0009344D"/>
    <w:rsid w:val="00097B2B"/>
    <w:rsid w:val="000B1337"/>
    <w:rsid w:val="000B6274"/>
    <w:rsid w:val="000E26F7"/>
    <w:rsid w:val="00111AC6"/>
    <w:rsid w:val="001205E2"/>
    <w:rsid w:val="00143F11"/>
    <w:rsid w:val="00165A53"/>
    <w:rsid w:val="00180880"/>
    <w:rsid w:val="00184E10"/>
    <w:rsid w:val="0019585B"/>
    <w:rsid w:val="001A1B58"/>
    <w:rsid w:val="001B3F50"/>
    <w:rsid w:val="001B7E25"/>
    <w:rsid w:val="001C0D6B"/>
    <w:rsid w:val="001C1789"/>
    <w:rsid w:val="001D0989"/>
    <w:rsid w:val="001D22E2"/>
    <w:rsid w:val="001D719D"/>
    <w:rsid w:val="001E1F96"/>
    <w:rsid w:val="001E38E2"/>
    <w:rsid w:val="001E7A82"/>
    <w:rsid w:val="001F04DD"/>
    <w:rsid w:val="002065BE"/>
    <w:rsid w:val="0021047B"/>
    <w:rsid w:val="00213C34"/>
    <w:rsid w:val="00216331"/>
    <w:rsid w:val="00257647"/>
    <w:rsid w:val="002717FB"/>
    <w:rsid w:val="00271976"/>
    <w:rsid w:val="002737AD"/>
    <w:rsid w:val="002824E9"/>
    <w:rsid w:val="00283F41"/>
    <w:rsid w:val="00284FA6"/>
    <w:rsid w:val="00285560"/>
    <w:rsid w:val="00285C0D"/>
    <w:rsid w:val="00290924"/>
    <w:rsid w:val="0029592F"/>
    <w:rsid w:val="002A064F"/>
    <w:rsid w:val="002B17CE"/>
    <w:rsid w:val="002B298F"/>
    <w:rsid w:val="002B37AC"/>
    <w:rsid w:val="002D04E4"/>
    <w:rsid w:val="002D0908"/>
    <w:rsid w:val="002D709F"/>
    <w:rsid w:val="002D7E2D"/>
    <w:rsid w:val="002F09D8"/>
    <w:rsid w:val="002F6B99"/>
    <w:rsid w:val="002F771F"/>
    <w:rsid w:val="00304799"/>
    <w:rsid w:val="00340216"/>
    <w:rsid w:val="00340F21"/>
    <w:rsid w:val="00342964"/>
    <w:rsid w:val="00352142"/>
    <w:rsid w:val="00360F3D"/>
    <w:rsid w:val="00364269"/>
    <w:rsid w:val="00376DCD"/>
    <w:rsid w:val="00382BCD"/>
    <w:rsid w:val="003932A1"/>
    <w:rsid w:val="003A1D6E"/>
    <w:rsid w:val="003A6FEB"/>
    <w:rsid w:val="003B420D"/>
    <w:rsid w:val="003C5269"/>
    <w:rsid w:val="003C773C"/>
    <w:rsid w:val="003E348F"/>
    <w:rsid w:val="003E5835"/>
    <w:rsid w:val="003E6AC3"/>
    <w:rsid w:val="003F1B18"/>
    <w:rsid w:val="004076E9"/>
    <w:rsid w:val="0041402E"/>
    <w:rsid w:val="00416098"/>
    <w:rsid w:val="00420E33"/>
    <w:rsid w:val="004248A0"/>
    <w:rsid w:val="00433509"/>
    <w:rsid w:val="00440D21"/>
    <w:rsid w:val="00445BB8"/>
    <w:rsid w:val="0044742E"/>
    <w:rsid w:val="00451074"/>
    <w:rsid w:val="00454705"/>
    <w:rsid w:val="00465DB3"/>
    <w:rsid w:val="00476363"/>
    <w:rsid w:val="004867BC"/>
    <w:rsid w:val="0049126F"/>
    <w:rsid w:val="004B2234"/>
    <w:rsid w:val="004B5526"/>
    <w:rsid w:val="004B5A8E"/>
    <w:rsid w:val="004B6415"/>
    <w:rsid w:val="004C3F5D"/>
    <w:rsid w:val="004C60FF"/>
    <w:rsid w:val="004D122B"/>
    <w:rsid w:val="004D43D5"/>
    <w:rsid w:val="004D6C91"/>
    <w:rsid w:val="004E699D"/>
    <w:rsid w:val="004F1C26"/>
    <w:rsid w:val="004F1E92"/>
    <w:rsid w:val="0050152B"/>
    <w:rsid w:val="005060F4"/>
    <w:rsid w:val="00516C43"/>
    <w:rsid w:val="00520EF7"/>
    <w:rsid w:val="0052103B"/>
    <w:rsid w:val="00525CDB"/>
    <w:rsid w:val="00527267"/>
    <w:rsid w:val="0053054D"/>
    <w:rsid w:val="00534A4B"/>
    <w:rsid w:val="005473EF"/>
    <w:rsid w:val="0055136F"/>
    <w:rsid w:val="0055156D"/>
    <w:rsid w:val="00554B77"/>
    <w:rsid w:val="00567521"/>
    <w:rsid w:val="0057696D"/>
    <w:rsid w:val="00580089"/>
    <w:rsid w:val="00583AA1"/>
    <w:rsid w:val="005913EC"/>
    <w:rsid w:val="005921A2"/>
    <w:rsid w:val="005967E6"/>
    <w:rsid w:val="005B57D7"/>
    <w:rsid w:val="005B7F7F"/>
    <w:rsid w:val="005C1C85"/>
    <w:rsid w:val="005C5708"/>
    <w:rsid w:val="005D1825"/>
    <w:rsid w:val="005D26BD"/>
    <w:rsid w:val="005D2A74"/>
    <w:rsid w:val="005E07BD"/>
    <w:rsid w:val="005E7803"/>
    <w:rsid w:val="005F6F40"/>
    <w:rsid w:val="00632C1A"/>
    <w:rsid w:val="006454CF"/>
    <w:rsid w:val="00646E1B"/>
    <w:rsid w:val="0065198F"/>
    <w:rsid w:val="006521FF"/>
    <w:rsid w:val="00665F75"/>
    <w:rsid w:val="0066763B"/>
    <w:rsid w:val="0068002A"/>
    <w:rsid w:val="006822ED"/>
    <w:rsid w:val="00684B37"/>
    <w:rsid w:val="006B5F1C"/>
    <w:rsid w:val="006C4228"/>
    <w:rsid w:val="006D45A1"/>
    <w:rsid w:val="006E24F6"/>
    <w:rsid w:val="006E7126"/>
    <w:rsid w:val="007026D1"/>
    <w:rsid w:val="00711AB6"/>
    <w:rsid w:val="00716DD5"/>
    <w:rsid w:val="00720E5C"/>
    <w:rsid w:val="00742EA1"/>
    <w:rsid w:val="00744772"/>
    <w:rsid w:val="007506E6"/>
    <w:rsid w:val="007626C5"/>
    <w:rsid w:val="00763FC1"/>
    <w:rsid w:val="007648E0"/>
    <w:rsid w:val="00765666"/>
    <w:rsid w:val="0078728B"/>
    <w:rsid w:val="00790130"/>
    <w:rsid w:val="00796513"/>
    <w:rsid w:val="00796658"/>
    <w:rsid w:val="007A060E"/>
    <w:rsid w:val="007A3E0C"/>
    <w:rsid w:val="007B1945"/>
    <w:rsid w:val="007D3976"/>
    <w:rsid w:val="007E0249"/>
    <w:rsid w:val="007F3A7C"/>
    <w:rsid w:val="00802ED4"/>
    <w:rsid w:val="00805892"/>
    <w:rsid w:val="00806F33"/>
    <w:rsid w:val="0081072B"/>
    <w:rsid w:val="008248D3"/>
    <w:rsid w:val="00825605"/>
    <w:rsid w:val="00831EAE"/>
    <w:rsid w:val="00832F1A"/>
    <w:rsid w:val="008471C9"/>
    <w:rsid w:val="00855B99"/>
    <w:rsid w:val="00860189"/>
    <w:rsid w:val="00862DDF"/>
    <w:rsid w:val="00870FFE"/>
    <w:rsid w:val="00872C95"/>
    <w:rsid w:val="00872F5F"/>
    <w:rsid w:val="0087591D"/>
    <w:rsid w:val="0088020C"/>
    <w:rsid w:val="00882BF6"/>
    <w:rsid w:val="00884570"/>
    <w:rsid w:val="00891EEA"/>
    <w:rsid w:val="008976BA"/>
    <w:rsid w:val="008A5560"/>
    <w:rsid w:val="008C44B0"/>
    <w:rsid w:val="008D1A8E"/>
    <w:rsid w:val="008E0D82"/>
    <w:rsid w:val="008E0FC7"/>
    <w:rsid w:val="008F75E7"/>
    <w:rsid w:val="009075A9"/>
    <w:rsid w:val="0090763C"/>
    <w:rsid w:val="009212B4"/>
    <w:rsid w:val="0095198B"/>
    <w:rsid w:val="00970211"/>
    <w:rsid w:val="009760D0"/>
    <w:rsid w:val="0099236A"/>
    <w:rsid w:val="009A6E64"/>
    <w:rsid w:val="009C2FF2"/>
    <w:rsid w:val="009C6EFB"/>
    <w:rsid w:val="009D429E"/>
    <w:rsid w:val="009E1FB1"/>
    <w:rsid w:val="009F6E01"/>
    <w:rsid w:val="00A06317"/>
    <w:rsid w:val="00A15415"/>
    <w:rsid w:val="00A21712"/>
    <w:rsid w:val="00A21BAE"/>
    <w:rsid w:val="00A237ED"/>
    <w:rsid w:val="00A31197"/>
    <w:rsid w:val="00A5114A"/>
    <w:rsid w:val="00A613A1"/>
    <w:rsid w:val="00A649A3"/>
    <w:rsid w:val="00A7113B"/>
    <w:rsid w:val="00A75CE3"/>
    <w:rsid w:val="00A8486F"/>
    <w:rsid w:val="00A87FE5"/>
    <w:rsid w:val="00A946ED"/>
    <w:rsid w:val="00AA65D6"/>
    <w:rsid w:val="00AB4A99"/>
    <w:rsid w:val="00AC17EE"/>
    <w:rsid w:val="00AE290A"/>
    <w:rsid w:val="00AF1983"/>
    <w:rsid w:val="00B13741"/>
    <w:rsid w:val="00B15817"/>
    <w:rsid w:val="00B1680D"/>
    <w:rsid w:val="00B22993"/>
    <w:rsid w:val="00B261B2"/>
    <w:rsid w:val="00B46775"/>
    <w:rsid w:val="00B6345C"/>
    <w:rsid w:val="00B73242"/>
    <w:rsid w:val="00B77530"/>
    <w:rsid w:val="00BA02EC"/>
    <w:rsid w:val="00BA1533"/>
    <w:rsid w:val="00BA1564"/>
    <w:rsid w:val="00BA4857"/>
    <w:rsid w:val="00BA7590"/>
    <w:rsid w:val="00BC6A51"/>
    <w:rsid w:val="00BD2864"/>
    <w:rsid w:val="00BD37FF"/>
    <w:rsid w:val="00BD62C0"/>
    <w:rsid w:val="00BE368B"/>
    <w:rsid w:val="00BF0354"/>
    <w:rsid w:val="00BF2B89"/>
    <w:rsid w:val="00BF7EB9"/>
    <w:rsid w:val="00C17669"/>
    <w:rsid w:val="00C24E59"/>
    <w:rsid w:val="00C30D7D"/>
    <w:rsid w:val="00C43D74"/>
    <w:rsid w:val="00C470A2"/>
    <w:rsid w:val="00C60245"/>
    <w:rsid w:val="00C61048"/>
    <w:rsid w:val="00C77609"/>
    <w:rsid w:val="00C835DD"/>
    <w:rsid w:val="00C8522D"/>
    <w:rsid w:val="00C91AC1"/>
    <w:rsid w:val="00C940C7"/>
    <w:rsid w:val="00CA5FDE"/>
    <w:rsid w:val="00CA6FFC"/>
    <w:rsid w:val="00CB24C7"/>
    <w:rsid w:val="00CC19EF"/>
    <w:rsid w:val="00CD1A9A"/>
    <w:rsid w:val="00CD4117"/>
    <w:rsid w:val="00CE4E86"/>
    <w:rsid w:val="00CE73C2"/>
    <w:rsid w:val="00CE7663"/>
    <w:rsid w:val="00D13BD1"/>
    <w:rsid w:val="00D35799"/>
    <w:rsid w:val="00D45365"/>
    <w:rsid w:val="00D61222"/>
    <w:rsid w:val="00D86F9E"/>
    <w:rsid w:val="00DA6374"/>
    <w:rsid w:val="00DB2D42"/>
    <w:rsid w:val="00DB3534"/>
    <w:rsid w:val="00DB3B77"/>
    <w:rsid w:val="00DC5CF9"/>
    <w:rsid w:val="00DD3447"/>
    <w:rsid w:val="00DD5810"/>
    <w:rsid w:val="00DE10AB"/>
    <w:rsid w:val="00DE2B44"/>
    <w:rsid w:val="00DE65C9"/>
    <w:rsid w:val="00DF25C1"/>
    <w:rsid w:val="00DF7989"/>
    <w:rsid w:val="00E016C0"/>
    <w:rsid w:val="00E211D2"/>
    <w:rsid w:val="00E342CA"/>
    <w:rsid w:val="00E368C3"/>
    <w:rsid w:val="00E50734"/>
    <w:rsid w:val="00E54CF5"/>
    <w:rsid w:val="00E57522"/>
    <w:rsid w:val="00E57793"/>
    <w:rsid w:val="00E61BCD"/>
    <w:rsid w:val="00E63ED8"/>
    <w:rsid w:val="00E77518"/>
    <w:rsid w:val="00EA2412"/>
    <w:rsid w:val="00EA2ACF"/>
    <w:rsid w:val="00EA74B3"/>
    <w:rsid w:val="00EC00F0"/>
    <w:rsid w:val="00EE217B"/>
    <w:rsid w:val="00EF2558"/>
    <w:rsid w:val="00F029CC"/>
    <w:rsid w:val="00F02A61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C636C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BA1545E"/>
  <w15:docId w15:val="{A67FC317-507A-44FF-9C89-05D513B8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4F78C8A-684D-4609-B1AC-BF3E1A26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</Template>
  <TotalTime>0</TotalTime>
  <Pages>2</Pages>
  <Words>461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Benz, Sarah - LÖSLE</dc:creator>
  <cp:lastModifiedBy>Sauer, Timo - LÖSLE</cp:lastModifiedBy>
  <cp:revision>61</cp:revision>
  <cp:lastPrinted>2024-08-12T09:25:00Z</cp:lastPrinted>
  <dcterms:created xsi:type="dcterms:W3CDTF">2024-02-08T10:51:00Z</dcterms:created>
  <dcterms:modified xsi:type="dcterms:W3CDTF">2024-10-09T13:18:00Z</dcterms:modified>
</cp:coreProperties>
</file>