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420"/>
        <w:gridCol w:w="652"/>
      </w:tblGrid>
      <w:tr w:rsidR="009C434D" w:rsidRPr="003F4DFC" w14:paraId="3D3F4F94" w14:textId="77777777" w:rsidTr="007A40EE">
        <w:trPr>
          <w:cantSplit/>
          <w:trHeight w:val="621"/>
        </w:trPr>
        <w:tc>
          <w:tcPr>
            <w:tcW w:w="8420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24B5330" w14:textId="77777777" w:rsidR="009C434D" w:rsidRPr="0001258C" w:rsidRDefault="000774BE" w:rsidP="007A40EE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</w:rPr>
            </w:pPr>
            <w:bookmarkStart w:id="0" w:name="_GoBack"/>
            <w:bookmarkEnd w:id="0"/>
            <w:r w:rsidRPr="00CD2617">
              <w:rPr>
                <w:rFonts w:ascii="Century Gothic" w:hAnsi="Century Gothic"/>
                <w:color w:val="00B0F0"/>
              </w:rPr>
              <w:t>Aufbewahrungsfristen für</w:t>
            </w:r>
            <w:r w:rsidR="008741E5">
              <w:rPr>
                <w:rFonts w:ascii="Century Gothic" w:hAnsi="Century Gothic"/>
                <w:color w:val="00B0F0"/>
              </w:rPr>
              <w:t xml:space="preserve"> </w:t>
            </w:r>
            <w:r w:rsidRPr="00CD2617">
              <w:rPr>
                <w:rFonts w:ascii="Century Gothic" w:hAnsi="Century Gothic"/>
                <w:color w:val="00B0F0"/>
              </w:rPr>
              <w:t>Geschäftsunterlage</w:t>
            </w:r>
            <w:r w:rsidR="002D2082" w:rsidRPr="00CD2617">
              <w:rPr>
                <w:rFonts w:ascii="Century Gothic" w:hAnsi="Century Gothic"/>
                <w:color w:val="00B0F0"/>
              </w:rPr>
              <w:t>n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1EC31668" w14:textId="77777777" w:rsidR="009C434D" w:rsidRPr="007A40EE" w:rsidRDefault="00CF5F54" w:rsidP="002D208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B0F0"/>
                <w:sz w:val="10"/>
                <w:szCs w:val="10"/>
              </w:rPr>
            </w:pPr>
            <w:r w:rsidRPr="007A40EE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0</w:t>
            </w:r>
            <w:r w:rsidR="000774BE" w:rsidRPr="007A40EE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6</w:t>
            </w:r>
            <w:r w:rsidRPr="007A40EE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/202</w:t>
            </w:r>
            <w:r w:rsidR="002D2082" w:rsidRPr="007A40EE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5</w:t>
            </w:r>
          </w:p>
        </w:tc>
      </w:tr>
    </w:tbl>
    <w:p w14:paraId="40DCA94C" w14:textId="77777777" w:rsidR="00696DCA" w:rsidRPr="007900AC" w:rsidRDefault="00710984" w:rsidP="0002197E">
      <w:pPr>
        <w:shd w:val="clear" w:color="auto" w:fill="FFFFA3"/>
        <w:rPr>
          <w:color w:val="000000" w:themeColor="text1"/>
          <w:sz w:val="20"/>
        </w:rPr>
      </w:pPr>
      <w:r w:rsidRPr="0002197E">
        <w:rPr>
          <w:b/>
          <w:sz w:val="20"/>
        </w:rPr>
        <w:t>Aufbewahrungspflicht:</w:t>
      </w:r>
      <w:r w:rsidR="0002197E">
        <w:rPr>
          <w:sz w:val="20"/>
        </w:rPr>
        <w:br/>
      </w:r>
      <w:r w:rsidRPr="007900AC">
        <w:rPr>
          <w:sz w:val="20"/>
        </w:rPr>
        <w:t xml:space="preserve">Unterlagen aus 2014, 2016 und 2018 </w:t>
      </w:r>
      <w:r w:rsidR="007900AC" w:rsidRPr="007900AC">
        <w:rPr>
          <w:sz w:val="20"/>
        </w:rPr>
        <w:t xml:space="preserve">(oder früher) </w:t>
      </w:r>
      <w:r w:rsidRPr="007900AC">
        <w:rPr>
          <w:sz w:val="20"/>
        </w:rPr>
        <w:t>können ab dem 01.01.202</w:t>
      </w:r>
      <w:r w:rsidR="00F30B8A" w:rsidRPr="007900AC">
        <w:rPr>
          <w:sz w:val="20"/>
        </w:rPr>
        <w:t xml:space="preserve">5 </w:t>
      </w:r>
      <w:r w:rsidR="001678C1" w:rsidRPr="007900AC">
        <w:rPr>
          <w:sz w:val="20"/>
        </w:rPr>
        <w:t>v</w:t>
      </w:r>
      <w:r w:rsidRPr="007900AC">
        <w:rPr>
          <w:sz w:val="20"/>
        </w:rPr>
        <w:t>ernichtet werden</w:t>
      </w:r>
      <w:r w:rsidR="00763BE6">
        <w:rPr>
          <w:sz w:val="20"/>
        </w:rPr>
        <w:t>, soweit nicht</w:t>
      </w:r>
      <w:r w:rsidRPr="007900AC">
        <w:rPr>
          <w:color w:val="000000" w:themeColor="text1"/>
          <w:sz w:val="20"/>
        </w:rPr>
        <w:t xml:space="preserve"> </w:t>
      </w:r>
      <w:r w:rsidR="007900AC">
        <w:rPr>
          <w:color w:val="000000" w:themeColor="text1"/>
          <w:sz w:val="20"/>
        </w:rPr>
        <w:t>ein Sonderfall zur Verlängerung der Aufbewahrungspflicht vorliegt (z. B. begonnene Außenprüfung, vorläufige Steuerfestsetzung, anhängige steuerstraf- und bußgeldrechtliche Ermittlungen)</w:t>
      </w:r>
      <w:r w:rsidR="00763BE6">
        <w:rPr>
          <w:color w:val="000000" w:themeColor="text1"/>
          <w:sz w:val="20"/>
        </w:rPr>
        <w:t>.</w:t>
      </w:r>
    </w:p>
    <w:p w14:paraId="6C579BDA" w14:textId="77777777" w:rsidR="00696DCA" w:rsidRPr="00912423" w:rsidRDefault="00696DCA" w:rsidP="009F4E43">
      <w:pPr>
        <w:rPr>
          <w:color w:val="000000" w:themeColor="text1"/>
          <w:sz w:val="12"/>
          <w:szCs w:val="1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2835"/>
      </w:tblGrid>
      <w:tr w:rsidR="00730541" w:rsidRPr="003F4DFC" w14:paraId="3F8A46D3" w14:textId="77777777" w:rsidTr="000D52D4">
        <w:trPr>
          <w:trHeight w:val="538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7802F2D4" w14:textId="77777777" w:rsidR="00730541" w:rsidRPr="00A600E3" w:rsidRDefault="00730541" w:rsidP="00423FF6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  <w:r w:rsidRPr="00A600E3">
              <w:rPr>
                <w:b/>
                <w:color w:val="FFFFFF" w:themeColor="background1"/>
                <w:sz w:val="20"/>
                <w:szCs w:val="23"/>
              </w:rPr>
              <w:t>10 Jahre</w:t>
            </w:r>
            <w:r w:rsidRPr="00A600E3">
              <w:rPr>
                <w:b/>
                <w:color w:val="FFFFFF" w:themeColor="background1"/>
                <w:sz w:val="20"/>
                <w:szCs w:val="23"/>
              </w:rPr>
              <w:br/>
              <w:t xml:space="preserve"> 2014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42A99F1" w14:textId="77777777" w:rsidR="00730541" w:rsidRPr="00A600E3" w:rsidRDefault="00730541" w:rsidP="00423FF6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11606DD2" w14:textId="77777777" w:rsidR="00730541" w:rsidRPr="00A600E3" w:rsidRDefault="00730541" w:rsidP="00423FF6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  <w:r w:rsidRPr="00A600E3">
              <w:rPr>
                <w:b/>
                <w:color w:val="FFFFFF" w:themeColor="background1"/>
                <w:sz w:val="20"/>
                <w:szCs w:val="23"/>
              </w:rPr>
              <w:t xml:space="preserve">8 Jahre </w:t>
            </w:r>
            <w:r w:rsidRPr="00A600E3">
              <w:rPr>
                <w:b/>
                <w:color w:val="FFFFFF" w:themeColor="background1"/>
                <w:sz w:val="20"/>
                <w:szCs w:val="23"/>
              </w:rPr>
              <w:br/>
              <w:t>2016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B61DEC4" w14:textId="77777777" w:rsidR="00730541" w:rsidRPr="00A600E3" w:rsidRDefault="00730541" w:rsidP="00423FF6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34ABD800" w14:textId="77777777" w:rsidR="00730541" w:rsidRPr="00A600E3" w:rsidRDefault="00730541" w:rsidP="00423FF6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  <w:r w:rsidRPr="00A600E3">
              <w:rPr>
                <w:b/>
                <w:color w:val="FFFFFF" w:themeColor="background1"/>
                <w:sz w:val="20"/>
                <w:szCs w:val="23"/>
              </w:rPr>
              <w:t xml:space="preserve">6 Jahre </w:t>
            </w:r>
            <w:r w:rsidRPr="00A600E3">
              <w:rPr>
                <w:b/>
                <w:color w:val="FFFFFF" w:themeColor="background1"/>
                <w:sz w:val="20"/>
                <w:szCs w:val="23"/>
              </w:rPr>
              <w:br/>
              <w:t>2018</w:t>
            </w:r>
          </w:p>
        </w:tc>
      </w:tr>
      <w:tr w:rsidR="00730541" w:rsidRPr="00F30B8A" w14:paraId="6E9C5F89" w14:textId="77777777" w:rsidTr="000D52D4">
        <w:trPr>
          <w:trHeight w:val="57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36CBE9CA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Abschreibungsberechnunge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D4BBC1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4733BEFE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Abrechnungsunterlagen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(soweit Buchungsbelege)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32F4FC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68ED31CC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Abtretungserklärungen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nach Erledigung</w:t>
            </w:r>
          </w:p>
        </w:tc>
      </w:tr>
      <w:tr w:rsidR="00730541" w:rsidRPr="00F30B8A" w14:paraId="44996886" w14:textId="77777777" w:rsidTr="000D52D4">
        <w:trPr>
          <w:trHeight w:val="57"/>
        </w:trPr>
        <w:tc>
          <w:tcPr>
            <w:tcW w:w="2835" w:type="dxa"/>
            <w:vAlign w:val="center"/>
          </w:tcPr>
          <w:p w14:paraId="0009F15A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Änderungsnachweise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der EDV-Buchführung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87CB070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8968A6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Aktenvermerke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(soweit Buchungsbelege)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804CA9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109EB6D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Angebote, die zu einem Auftrag geführt haben</w:t>
            </w:r>
          </w:p>
        </w:tc>
      </w:tr>
      <w:tr w:rsidR="00730541" w:rsidRPr="00F30B8A" w14:paraId="1BB92308" w14:textId="77777777" w:rsidTr="005620E3">
        <w:trPr>
          <w:trHeight w:val="57"/>
        </w:trPr>
        <w:tc>
          <w:tcPr>
            <w:tcW w:w="2835" w:type="dxa"/>
            <w:vAlign w:val="center"/>
          </w:tcPr>
          <w:p w14:paraId="4C4BB1CC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Akkreditive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F0C624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EDFD30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Ausgangsrechnungen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616F76C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1ED408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Ausfuhrunterlagen</w:t>
            </w:r>
          </w:p>
        </w:tc>
      </w:tr>
      <w:tr w:rsidR="00730541" w:rsidRPr="00F30B8A" w14:paraId="75830095" w14:textId="77777777" w:rsidTr="005620E3">
        <w:trPr>
          <w:trHeight w:val="57"/>
        </w:trPr>
        <w:tc>
          <w:tcPr>
            <w:tcW w:w="2835" w:type="dxa"/>
            <w:vAlign w:val="center"/>
          </w:tcPr>
          <w:p w14:paraId="2881A181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Anlagenvermögensbücher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und -karteien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01DA32A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C0938CE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Außendienstabrechnungen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(soweit Buchungsbelege)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D519AA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2467F00" w14:textId="77777777" w:rsidR="00730541" w:rsidRPr="00F30B8A" w:rsidRDefault="00730541" w:rsidP="0078048F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Bankbürgschaften</w:t>
            </w:r>
          </w:p>
        </w:tc>
      </w:tr>
      <w:tr w:rsidR="002454FE" w:rsidRPr="00F30B8A" w14:paraId="4CCCF0F7" w14:textId="77777777" w:rsidTr="005620E3">
        <w:trPr>
          <w:trHeight w:val="57"/>
        </w:trPr>
        <w:tc>
          <w:tcPr>
            <w:tcW w:w="2835" w:type="dxa"/>
            <w:vAlign w:val="center"/>
          </w:tcPr>
          <w:p w14:paraId="3DBA4F5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Arbeitsanweisungen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für EDV-Buchführung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817B3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60CDF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Bankbelege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C94BA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E68FD5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Bestell- und Auftragsunterlagen</w:t>
            </w:r>
          </w:p>
        </w:tc>
      </w:tr>
      <w:tr w:rsidR="002454FE" w:rsidRPr="00F30B8A" w14:paraId="1C81DDB1" w14:textId="77777777" w:rsidTr="005620E3">
        <w:trPr>
          <w:trHeight w:val="57"/>
        </w:trPr>
        <w:tc>
          <w:tcPr>
            <w:tcW w:w="2835" w:type="dxa"/>
            <w:vAlign w:val="center"/>
          </w:tcPr>
          <w:p w14:paraId="6D450A4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Betriebsabrechnungen mit Belegen als Bewertungsunterlagen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A7F16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E4CB7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Belege, soweit Buchungsgrundlage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5E864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51F07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Betriebsprüfungsberichte</w:t>
            </w:r>
          </w:p>
        </w:tc>
      </w:tr>
      <w:tr w:rsidR="002454FE" w:rsidRPr="00F30B8A" w14:paraId="79A764DF" w14:textId="77777777" w:rsidTr="000D52D4">
        <w:trPr>
          <w:trHeight w:val="57"/>
        </w:trPr>
        <w:tc>
          <w:tcPr>
            <w:tcW w:w="2835" w:type="dxa"/>
            <w:vAlign w:val="center"/>
          </w:tcPr>
          <w:p w14:paraId="3D22A37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Bewertungsunterlagen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E53C94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951F6C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Betriebskostenrechnungen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(soweit Buchungsbeleg)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73D65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EF21F4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Darlehensunterlagen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(nach Ablauf des Vertrages) </w:t>
            </w:r>
          </w:p>
        </w:tc>
      </w:tr>
      <w:tr w:rsidR="002454FE" w:rsidRPr="00F30B8A" w14:paraId="24B87960" w14:textId="77777777" w:rsidTr="000D52D4">
        <w:trPr>
          <w:trHeight w:val="57"/>
        </w:trPr>
        <w:tc>
          <w:tcPr>
            <w:tcW w:w="2835" w:type="dxa"/>
            <w:vAlign w:val="center"/>
          </w:tcPr>
          <w:p w14:paraId="25D5BD0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Bilanzen (Jahresabschlüsse)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3C2168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7E80AF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Bewirtungsrechnungen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(soweit Buchungsbelege)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F9AD9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484C64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Einfuhrunterlagen </w:t>
            </w:r>
          </w:p>
        </w:tc>
      </w:tr>
      <w:tr w:rsidR="002454FE" w:rsidRPr="00F30B8A" w14:paraId="688E9A04" w14:textId="77777777" w:rsidTr="000D52D4">
        <w:trPr>
          <w:trHeight w:val="57"/>
        </w:trPr>
        <w:tc>
          <w:tcPr>
            <w:tcW w:w="2835" w:type="dxa"/>
            <w:vAlign w:val="center"/>
          </w:tcPr>
          <w:p w14:paraId="5415260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Bilanzunterlagen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609F54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7CD299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Buchungsanweisungen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C24C8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CFF488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Essenmarkenabrechnungen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keine Buchungsbelege) </w:t>
            </w:r>
          </w:p>
        </w:tc>
      </w:tr>
      <w:tr w:rsidR="002454FE" w:rsidRPr="00F30B8A" w14:paraId="5B26201E" w14:textId="77777777" w:rsidTr="005620E3">
        <w:trPr>
          <w:trHeight w:val="57"/>
        </w:trPr>
        <w:tc>
          <w:tcPr>
            <w:tcW w:w="2835" w:type="dxa"/>
            <w:vAlign w:val="center"/>
          </w:tcPr>
          <w:p w14:paraId="41B77B2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Datenträger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mit Jahresabschlussbestandteilen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FD1A2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6E13BD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Buchungsbelege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9C1494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724D5A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Exportunterlagen </w:t>
            </w:r>
          </w:p>
        </w:tc>
      </w:tr>
      <w:tr w:rsidR="002454FE" w:rsidRPr="00F30B8A" w14:paraId="72D89EA5" w14:textId="77777777" w:rsidTr="005620E3">
        <w:trPr>
          <w:trHeight w:val="57"/>
        </w:trPr>
        <w:tc>
          <w:tcPr>
            <w:tcW w:w="2835" w:type="dxa"/>
            <w:vAlign w:val="center"/>
          </w:tcPr>
          <w:p w14:paraId="60AB09D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Debitorenlisten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Bilanzunterlage)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A49ED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26EB15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Datenträger mit Buchungsbelegen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962D8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B5D3C2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Finanzberichte </w:t>
            </w:r>
          </w:p>
        </w:tc>
      </w:tr>
      <w:tr w:rsidR="002454FE" w:rsidRPr="00F30B8A" w14:paraId="0A941764" w14:textId="77777777" w:rsidTr="005620E3">
        <w:trPr>
          <w:trHeight w:val="57"/>
        </w:trPr>
        <w:tc>
          <w:tcPr>
            <w:tcW w:w="2835" w:type="dxa"/>
            <w:vAlign w:val="center"/>
          </w:tcPr>
          <w:p w14:paraId="7B4B061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Dokumentation der EDV-Programme und Systeme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34AA3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7208E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Depotauszüge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nicht Inventare)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CD078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0A6659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Frachtbriefe</w:t>
            </w:r>
          </w:p>
        </w:tc>
      </w:tr>
      <w:tr w:rsidR="002454FE" w:rsidRPr="0078048F" w14:paraId="1365CE17" w14:textId="77777777" w:rsidTr="005620E3">
        <w:trPr>
          <w:trHeight w:val="61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E52206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Einheitswertunterlagen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B138C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DB7B5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Doppel von Rechnungen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(über steuerfreie inner-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gemeinschaftliche Lieferungen)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B168A2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BF993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Geschäftsbriefe (soweit nicht für die Besteuerung bedeutsam) </w:t>
            </w:r>
          </w:p>
        </w:tc>
      </w:tr>
      <w:tr w:rsidR="002454FE" w:rsidRPr="0078048F" w14:paraId="4642CD55" w14:textId="77777777" w:rsidTr="005620E3">
        <w:trPr>
          <w:trHeight w:val="376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3A00C8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Einnahmenüberschussrechnung 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E0DEF3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79EC5B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Eingangsrechnungen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146BF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77F35E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Geschenknachweise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(soweit nicht Buchungsbeleg)</w:t>
            </w:r>
          </w:p>
        </w:tc>
      </w:tr>
      <w:tr w:rsidR="002454FE" w:rsidRPr="0078048F" w14:paraId="02A964E2" w14:textId="77777777" w:rsidTr="005620E3">
        <w:trPr>
          <w:trHeight w:val="37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127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Eröffnungsbilanzen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EEE32B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D0A4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Fahrtkostenerstattungsunterlagen 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20E1B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F4C9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Handelsbriefe (soweit nicht für die Besteuerung bedeutsam) </w:t>
            </w:r>
          </w:p>
        </w:tc>
      </w:tr>
      <w:tr w:rsidR="002454FE" w:rsidRPr="0078048F" w14:paraId="05FBEE3F" w14:textId="77777777" w:rsidTr="005620E3">
        <w:trPr>
          <w:trHeight w:val="376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78FF337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Geschäftsberichte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7258E7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5C9712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Fehlerprotokolle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bei EDV-Buchführung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C07D4B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377621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Handelsregisterauszüge </w:t>
            </w:r>
          </w:p>
        </w:tc>
      </w:tr>
      <w:tr w:rsidR="002454FE" w:rsidRPr="0078048F" w14:paraId="55FE234E" w14:textId="77777777" w:rsidTr="005620E3">
        <w:trPr>
          <w:trHeight w:val="376"/>
        </w:trPr>
        <w:tc>
          <w:tcPr>
            <w:tcW w:w="2835" w:type="dxa"/>
            <w:vAlign w:val="center"/>
          </w:tcPr>
          <w:p w14:paraId="2CEF961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Gewinn- und Verlustrechnung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(Jahresrechnung)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5DDAD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1A0D51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Gehaltslisten (Buchungsbeleg)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1D0BD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F5CCBA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Investitionszulage (Unterlagen) </w:t>
            </w:r>
          </w:p>
        </w:tc>
      </w:tr>
      <w:tr w:rsidR="002454FE" w:rsidRPr="0078048F" w14:paraId="5E1C1171" w14:textId="77777777" w:rsidTr="005620E3">
        <w:trPr>
          <w:trHeight w:val="376"/>
        </w:trPr>
        <w:tc>
          <w:tcPr>
            <w:tcW w:w="2835" w:type="dxa"/>
            <w:vAlign w:val="center"/>
          </w:tcPr>
          <w:p w14:paraId="119D4C9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Grundbuchauszüge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8F195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ECCD19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Gutschriften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91484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A8F7F8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Kalkulationsunterlagen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(außer für Herstellkosten) </w:t>
            </w:r>
          </w:p>
        </w:tc>
      </w:tr>
      <w:tr w:rsidR="002454FE" w:rsidRPr="0078048F" w14:paraId="45D10E14" w14:textId="77777777" w:rsidTr="000D52D4">
        <w:trPr>
          <w:trHeight w:val="376"/>
        </w:trPr>
        <w:tc>
          <w:tcPr>
            <w:tcW w:w="2835" w:type="dxa"/>
            <w:vAlign w:val="center"/>
          </w:tcPr>
          <w:p w14:paraId="75D60D1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Grundstücksverzeichnis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Inventar)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C2156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3BC2AF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Kassenberichte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4CA47E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35963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Kassenzettel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keine Buchungsbelege) </w:t>
            </w:r>
          </w:p>
        </w:tc>
      </w:tr>
      <w:tr w:rsidR="002454FE" w:rsidRPr="0078048F" w14:paraId="342E49D5" w14:textId="77777777" w:rsidTr="000D52D4">
        <w:trPr>
          <w:trHeight w:val="376"/>
        </w:trPr>
        <w:tc>
          <w:tcPr>
            <w:tcW w:w="2835" w:type="dxa"/>
            <w:vAlign w:val="center"/>
          </w:tcPr>
          <w:p w14:paraId="0015FB6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Handelsbücher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5A1B4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9D50E2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Kassenbücher und -blätter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8C6E04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F6581B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Mahnungen und Mahnbescheide </w:t>
            </w:r>
          </w:p>
        </w:tc>
      </w:tr>
    </w:tbl>
    <w:p w14:paraId="635A3E86" w14:textId="77777777" w:rsidR="00606221" w:rsidRDefault="00606221">
      <w:r>
        <w:br w:type="page"/>
      </w: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2835"/>
      </w:tblGrid>
      <w:tr w:rsidR="002454FE" w:rsidRPr="003F4DFC" w14:paraId="159CFA97" w14:textId="77777777" w:rsidTr="000D52D4">
        <w:trPr>
          <w:trHeight w:val="538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6ED34FFC" w14:textId="77777777" w:rsidR="002454FE" w:rsidRPr="00A600E3" w:rsidRDefault="002454FE" w:rsidP="002454F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  <w:r w:rsidRPr="00A600E3">
              <w:rPr>
                <w:b/>
                <w:color w:val="FFFFFF" w:themeColor="background1"/>
                <w:sz w:val="20"/>
                <w:szCs w:val="23"/>
              </w:rPr>
              <w:lastRenderedPageBreak/>
              <w:t>10 Jahre</w:t>
            </w:r>
            <w:r w:rsidRPr="00A600E3">
              <w:rPr>
                <w:b/>
                <w:color w:val="FFFFFF" w:themeColor="background1"/>
                <w:sz w:val="20"/>
                <w:szCs w:val="23"/>
              </w:rPr>
              <w:br/>
              <w:t xml:space="preserve"> 2014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BB06E0F" w14:textId="77777777" w:rsidR="002454FE" w:rsidRPr="00A600E3" w:rsidRDefault="002454FE" w:rsidP="002454F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7A7B047F" w14:textId="77777777" w:rsidR="002454FE" w:rsidRPr="00A600E3" w:rsidRDefault="002454FE" w:rsidP="002454F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  <w:r w:rsidRPr="00A600E3">
              <w:rPr>
                <w:b/>
                <w:color w:val="FFFFFF" w:themeColor="background1"/>
                <w:sz w:val="20"/>
                <w:szCs w:val="23"/>
              </w:rPr>
              <w:t xml:space="preserve">8 Jahre </w:t>
            </w:r>
            <w:r w:rsidRPr="00A600E3">
              <w:rPr>
                <w:b/>
                <w:color w:val="FFFFFF" w:themeColor="background1"/>
                <w:sz w:val="20"/>
                <w:szCs w:val="23"/>
              </w:rPr>
              <w:br/>
              <w:t>2016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C686E2D" w14:textId="77777777" w:rsidR="002454FE" w:rsidRPr="00A600E3" w:rsidRDefault="002454FE" w:rsidP="002454F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00B0F0"/>
            <w:vAlign w:val="center"/>
          </w:tcPr>
          <w:p w14:paraId="2D579FDF" w14:textId="77777777" w:rsidR="002454FE" w:rsidRPr="00A600E3" w:rsidRDefault="002454FE" w:rsidP="002454FE">
            <w:pPr>
              <w:spacing w:before="0"/>
              <w:jc w:val="center"/>
              <w:rPr>
                <w:b/>
                <w:color w:val="FFFFFF" w:themeColor="background1"/>
                <w:sz w:val="20"/>
                <w:szCs w:val="23"/>
              </w:rPr>
            </w:pPr>
            <w:r w:rsidRPr="00A600E3">
              <w:rPr>
                <w:b/>
                <w:color w:val="FFFFFF" w:themeColor="background1"/>
                <w:sz w:val="20"/>
                <w:szCs w:val="23"/>
              </w:rPr>
              <w:t xml:space="preserve">6 Jahre </w:t>
            </w:r>
            <w:r w:rsidRPr="00A600E3">
              <w:rPr>
                <w:b/>
                <w:color w:val="FFFFFF" w:themeColor="background1"/>
                <w:sz w:val="20"/>
                <w:szCs w:val="23"/>
              </w:rPr>
              <w:br/>
              <w:t>2018</w:t>
            </w:r>
          </w:p>
        </w:tc>
      </w:tr>
      <w:tr w:rsidR="002454FE" w:rsidRPr="0078048F" w14:paraId="11731133" w14:textId="77777777" w:rsidTr="000D52D4">
        <w:trPr>
          <w:trHeight w:val="376"/>
        </w:trPr>
        <w:tc>
          <w:tcPr>
            <w:tcW w:w="2835" w:type="dxa"/>
            <w:vAlign w:val="center"/>
          </w:tcPr>
          <w:p w14:paraId="42463EC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Hauptabschlussübersicht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(wenn anstelle der Bilanz)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BE2726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94B3EF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Kontenpläne und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Kontenplanänderungen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B855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F80F6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Preislisten </w:t>
            </w:r>
          </w:p>
        </w:tc>
      </w:tr>
      <w:tr w:rsidR="002454FE" w:rsidRPr="0078048F" w14:paraId="2D526A11" w14:textId="77777777" w:rsidTr="000D52D4">
        <w:trPr>
          <w:trHeight w:val="376"/>
        </w:trPr>
        <w:tc>
          <w:tcPr>
            <w:tcW w:w="2835" w:type="dxa"/>
            <w:vAlign w:val="center"/>
          </w:tcPr>
          <w:p w14:paraId="066788E7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Inventar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FBC24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15A39F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Kontenregister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6EE72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2A70AB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Prozessakten </w:t>
            </w:r>
          </w:p>
        </w:tc>
      </w:tr>
      <w:tr w:rsidR="002454FE" w:rsidRPr="0078048F" w14:paraId="60B393FE" w14:textId="77777777" w:rsidTr="008C7BD3">
        <w:trPr>
          <w:trHeight w:val="376"/>
        </w:trPr>
        <w:tc>
          <w:tcPr>
            <w:tcW w:w="2835" w:type="dxa"/>
            <w:vAlign w:val="center"/>
          </w:tcPr>
          <w:p w14:paraId="4DBBDD6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Jahresabschlüsse und Erläuterungen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28857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C95EF8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Kontoauszüge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1366E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65EDF9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Registrierkassenstreifen </w:t>
            </w:r>
          </w:p>
        </w:tc>
      </w:tr>
      <w:tr w:rsidR="002454FE" w:rsidRPr="0078048F" w14:paraId="573CCCE0" w14:textId="77777777" w:rsidTr="000D52D4">
        <w:trPr>
          <w:trHeight w:val="376"/>
        </w:trPr>
        <w:tc>
          <w:tcPr>
            <w:tcW w:w="2835" w:type="dxa"/>
            <w:vAlign w:val="center"/>
          </w:tcPr>
          <w:p w14:paraId="64415AB4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Journale für Hauptbuch und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Kontokorrent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A4186A7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ED797A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Kreditunterlagen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E1931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BD5E19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Schriftwechsel (allgemein) </w:t>
            </w:r>
          </w:p>
        </w:tc>
      </w:tr>
      <w:tr w:rsidR="002454FE" w:rsidRPr="0078048F" w14:paraId="22E47BDC" w14:textId="77777777" w:rsidTr="000D52D4">
        <w:trPr>
          <w:trHeight w:val="376"/>
        </w:trPr>
        <w:tc>
          <w:tcPr>
            <w:tcW w:w="2835" w:type="dxa"/>
            <w:vAlign w:val="center"/>
          </w:tcPr>
          <w:p w14:paraId="528C97F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Konzernabschlüsse,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Konzernlageberichte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AFFDAE" w14:textId="77777777" w:rsidR="002454FE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8A3F99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Lagerbuchführungen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AA052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95262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Überstundenlisten </w:t>
            </w:r>
          </w:p>
        </w:tc>
      </w:tr>
      <w:tr w:rsidR="002454FE" w:rsidRPr="0078048F" w14:paraId="5BDA102A" w14:textId="77777777" w:rsidTr="000D52D4">
        <w:trPr>
          <w:trHeight w:val="376"/>
        </w:trPr>
        <w:tc>
          <w:tcPr>
            <w:tcW w:w="2835" w:type="dxa"/>
            <w:vAlign w:val="center"/>
          </w:tcPr>
          <w:p w14:paraId="32705F6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Lageberichte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C09641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F508BA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Lieferscheine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09AD2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E4583B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Versicherungspolicen </w:t>
            </w:r>
          </w:p>
        </w:tc>
      </w:tr>
      <w:tr w:rsidR="002454FE" w:rsidRPr="0078048F" w14:paraId="67B01E59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57AB068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Organisationsunterlagen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der EDV-Buchführung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27539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ABFD30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Lohnbelege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0F8C5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B877C1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Zollbelege </w:t>
            </w:r>
          </w:p>
        </w:tc>
      </w:tr>
      <w:tr w:rsidR="002454FE" w:rsidRPr="0078048F" w14:paraId="131ACDE4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6A892BA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Programmbeschreibung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der EDV-Buchführung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5D628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9A280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Lohnlisten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FEF4A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BFC8F8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0F8E55A4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06595EE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Prüfungsbericht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zur Jahresabschlussprüfung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996FF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268761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Miet- und Pachtunterlagen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C86849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F99EFB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2D205D98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6278285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Sachkonten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6B0F23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D49FD6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Nachnahmebelege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8C34A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FCE019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72C97688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4DB3523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Saldenbilanzen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667C3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DB95C6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Quittungen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B1B657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11467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4A37B76D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35D532C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Steuerunterlagen und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Steuererklärungen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F0A8B7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94EF0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Rechnungen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A3C6F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41524F5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2186A784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5684A41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Umsatzsteuervoranmeldungen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97075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201E61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Reisekostenabrechnungen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E56E8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5CF01D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36D1B84F" w14:textId="77777777" w:rsidTr="002454FE">
        <w:trPr>
          <w:trHeight w:val="376"/>
        </w:trPr>
        <w:tc>
          <w:tcPr>
            <w:tcW w:w="2835" w:type="dxa"/>
            <w:tcBorders>
              <w:bottom w:val="nil"/>
            </w:tcBorders>
            <w:vAlign w:val="center"/>
          </w:tcPr>
          <w:p w14:paraId="45D54A1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Verbindlichkeiten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(Zusammenstellungen)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885E1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48DD332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Schadensunterlagen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EC0C44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D9F642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4F32DE58" w14:textId="77777777" w:rsidTr="002454FE">
        <w:trPr>
          <w:trHeight w:val="376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2698728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Verkaufsbücher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6DCDD4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2C7E075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Schecks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9ED9AA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2B53F6E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21005A74" w14:textId="77777777" w:rsidTr="002454FE">
        <w:trPr>
          <w:trHeight w:val="376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D88B02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Vermögensverzeichnis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DBC93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1DC37AEF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Spendenbescheinigungen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4FD38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472BE6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157E0C7D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259ADB7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Warenbestandsaufnahmen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(Inventuren)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E287C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D808AF4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Telefonkostennachweise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5F976B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940C97A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206AD423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1FB1CF9C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Zwischenbilanz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(bei Gesellschafterwechsel oder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Umstellung des Wirtschaftsjahres)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764FF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CE77F37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Überweisungsbelege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0846D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091475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52FFFED0" w14:textId="77777777" w:rsidTr="008C7BD3">
        <w:trPr>
          <w:trHeight w:val="376"/>
        </w:trPr>
        <w:tc>
          <w:tcPr>
            <w:tcW w:w="2835" w:type="dxa"/>
            <w:vAlign w:val="center"/>
          </w:tcPr>
          <w:p w14:paraId="3D58FC0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C9BD6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B7349D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Versand- und Frachtunterlagen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0E3C26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CA4A2A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0EB921D8" w14:textId="77777777" w:rsidTr="008C7BD3">
        <w:trPr>
          <w:trHeight w:val="376"/>
        </w:trPr>
        <w:tc>
          <w:tcPr>
            <w:tcW w:w="2835" w:type="dxa"/>
            <w:vAlign w:val="center"/>
          </w:tcPr>
          <w:p w14:paraId="41DF430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1A8E9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EDC77F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Verträge (soweit Buchungsbeleg)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F415E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0F9157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79515AC6" w14:textId="77777777" w:rsidTr="008C7BD3">
        <w:trPr>
          <w:trHeight w:val="376"/>
        </w:trPr>
        <w:tc>
          <w:tcPr>
            <w:tcW w:w="2835" w:type="dxa"/>
            <w:vAlign w:val="center"/>
          </w:tcPr>
          <w:p w14:paraId="6F540401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2A7E79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A428ED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Wareneingangs- und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br/>
            </w: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-ausgangsbücher (Buchungsbeleg)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6ED8B8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7D0C6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  <w:tr w:rsidR="002454FE" w:rsidRPr="0078048F" w14:paraId="67CC9207" w14:textId="77777777" w:rsidTr="002454FE">
        <w:trPr>
          <w:trHeight w:val="376"/>
        </w:trPr>
        <w:tc>
          <w:tcPr>
            <w:tcW w:w="2835" w:type="dxa"/>
            <w:vAlign w:val="center"/>
          </w:tcPr>
          <w:p w14:paraId="41146733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6C7E060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CF79C56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F30B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Wechsel (soweit Buchungsbelege)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358ACD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1AA22E" w14:textId="77777777" w:rsidR="002454FE" w:rsidRPr="00F30B8A" w:rsidRDefault="002454FE" w:rsidP="002454FE">
            <w:pPr>
              <w:pStyle w:val="Default"/>
              <w:spacing w:before="60" w:after="60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2E0B1626" w14:textId="77777777" w:rsidR="00696DCA" w:rsidRPr="00B11708" w:rsidRDefault="00696DCA" w:rsidP="00F30B8A">
      <w:pPr>
        <w:spacing w:beforeLines="40" w:before="96" w:afterLines="40" w:after="96"/>
        <w:rPr>
          <w:color w:val="000000" w:themeColor="text1"/>
          <w:sz w:val="12"/>
          <w:szCs w:val="12"/>
        </w:rPr>
      </w:pPr>
    </w:p>
    <w:tbl>
      <w:tblPr>
        <w:tblStyle w:val="Tabellenraster"/>
        <w:tblW w:w="0" w:type="auto"/>
        <w:tblInd w:w="85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351"/>
      </w:tblGrid>
      <w:tr w:rsidR="00756EBB" w14:paraId="7F3463C8" w14:textId="77777777" w:rsidTr="001A1B5C">
        <w:tc>
          <w:tcPr>
            <w:tcW w:w="7351" w:type="dxa"/>
            <w:tcBorders>
              <w:top w:val="single" w:sz="8" w:space="0" w:color="D99594" w:themeColor="accent2" w:themeTint="99"/>
              <w:left w:val="single" w:sz="8" w:space="0" w:color="D99594" w:themeColor="accent2" w:themeTint="99"/>
              <w:bottom w:val="single" w:sz="8" w:space="0" w:color="D99594" w:themeColor="accent2" w:themeTint="99"/>
              <w:right w:val="single" w:sz="8" w:space="0" w:color="D99594" w:themeColor="accent2" w:themeTint="99"/>
            </w:tcBorders>
            <w:shd w:val="clear" w:color="auto" w:fill="F2DBDB"/>
          </w:tcPr>
          <w:p w14:paraId="7A5D7017" w14:textId="77777777" w:rsidR="00756EBB" w:rsidRDefault="00756EBB" w:rsidP="002846B7">
            <w:pPr>
              <w:pStyle w:val="Standardeinzug"/>
              <w:spacing w:before="0"/>
              <w:ind w:left="0"/>
            </w:pPr>
            <w:bookmarkStart w:id="1" w:name="_Hlk200454177"/>
            <w:r w:rsidRPr="00036A2E">
              <w:rPr>
                <w:b/>
              </w:rPr>
              <w:t>Hinweis</w:t>
            </w:r>
            <w:r>
              <w:t xml:space="preserve">: </w:t>
            </w:r>
          </w:p>
          <w:p w14:paraId="6DA21CB6" w14:textId="77777777" w:rsidR="00756EBB" w:rsidRDefault="00756EBB" w:rsidP="001A1B5C">
            <w:pPr>
              <w:pStyle w:val="Standardeinzug"/>
              <w:ind w:left="0"/>
            </w:pPr>
            <w:r>
              <w:t>Die aufgeführten Aufbewahrungsfristen (nach Steuer- und Handelsrecht) dienen ausschließlich der allgemeinen Orientierung und erheben keinen Anspruch auf Vollständigkeit, insbesondere hinsichtlich spezialgesetzlicher Regelungen.</w:t>
            </w:r>
          </w:p>
        </w:tc>
      </w:tr>
      <w:bookmarkEnd w:id="1"/>
    </w:tbl>
    <w:p w14:paraId="17E4DEA1" w14:textId="77777777" w:rsidR="00756EBB" w:rsidRPr="00F30B8A" w:rsidRDefault="00756EBB" w:rsidP="00606221">
      <w:pPr>
        <w:spacing w:beforeLines="40" w:before="96" w:afterLines="40" w:after="96"/>
        <w:rPr>
          <w:color w:val="000000" w:themeColor="text1"/>
          <w:sz w:val="16"/>
          <w:szCs w:val="16"/>
        </w:rPr>
      </w:pPr>
    </w:p>
    <w:sectPr w:rsidR="00756EBB" w:rsidRPr="00F30B8A" w:rsidSect="00E5626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3C05" w14:textId="77777777" w:rsidR="004A5981" w:rsidRDefault="004A5981">
      <w:pPr>
        <w:spacing w:before="0"/>
      </w:pPr>
      <w:r>
        <w:separator/>
      </w:r>
    </w:p>
  </w:endnote>
  <w:endnote w:type="continuationSeparator" w:id="0">
    <w:p w14:paraId="72DCCAA8" w14:textId="77777777" w:rsidR="004A5981" w:rsidRDefault="004A598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E5626F" w:rsidRPr="0009625D" w14:paraId="6C0DB58A" w14:textId="77777777" w:rsidTr="00CA0D27">
      <w:trPr>
        <w:trHeight w:hRule="exact" w:val="567"/>
      </w:trPr>
      <w:tc>
        <w:tcPr>
          <w:tcW w:w="2694" w:type="dxa"/>
          <w:vAlign w:val="bottom"/>
        </w:tcPr>
        <w:p w14:paraId="2AA836A7" w14:textId="77777777" w:rsidR="00E5626F" w:rsidRPr="005F3383" w:rsidRDefault="00E5626F" w:rsidP="00E5626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53839804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245791E" w14:textId="77777777" w:rsidR="00E5626F" w:rsidRPr="005F3383" w:rsidRDefault="00E5626F" w:rsidP="00E5626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0E441C37" w14:textId="77777777" w:rsidR="00E5626F" w:rsidRDefault="00E5626F" w:rsidP="00E5626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64FA5243" wp14:editId="7232BA2A">
                <wp:extent cx="1134775" cy="324000"/>
                <wp:effectExtent l="0" t="0" r="825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65FB12D0" w14:textId="77777777" w:rsidR="00E5626F" w:rsidRPr="0009625D" w:rsidRDefault="00E5626F" w:rsidP="00E5626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10/1</w:t>
          </w:r>
        </w:p>
      </w:tc>
    </w:tr>
  </w:tbl>
  <w:p w14:paraId="5189A2E3" w14:textId="48E4E3FF" w:rsidR="007506E6" w:rsidRPr="00E5626F" w:rsidRDefault="007506E6" w:rsidP="00E5626F">
    <w:pPr>
      <w:pStyle w:val="Fuzeile"/>
      <w:spacing w:before="0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E5626F" w:rsidRPr="0009625D" w14:paraId="33EE90D5" w14:textId="77777777" w:rsidTr="00E5626F">
      <w:trPr>
        <w:trHeight w:hRule="exact" w:val="567"/>
      </w:trPr>
      <w:tc>
        <w:tcPr>
          <w:tcW w:w="2694" w:type="dxa"/>
          <w:vAlign w:val="bottom"/>
        </w:tcPr>
        <w:p w14:paraId="2632B558" w14:textId="77777777" w:rsidR="00E5626F" w:rsidRPr="005F3383" w:rsidRDefault="00E5626F" w:rsidP="00E5626F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263C4F8" w14:textId="77777777" w:rsidR="00E5626F" w:rsidRPr="005F3383" w:rsidRDefault="00E5626F" w:rsidP="00E5626F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4B79B3">
            <w:rPr>
              <w:rFonts w:eastAsiaTheme="minorHAnsi" w:cstheme="minorBidi"/>
              <w:b/>
              <w:color w:val="00B0F0"/>
              <w:sz w:val="20"/>
              <w:szCs w:val="18"/>
              <w:lang w:eastAsia="en-US"/>
            </w:rPr>
            <w:t>UWP 2 2025</w:t>
          </w:r>
        </w:p>
      </w:tc>
      <w:tc>
        <w:tcPr>
          <w:tcW w:w="4143" w:type="dxa"/>
          <w:vAlign w:val="bottom"/>
        </w:tcPr>
        <w:p w14:paraId="488802F5" w14:textId="77777777" w:rsidR="00E5626F" w:rsidRDefault="00E5626F" w:rsidP="00E5626F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  <w:lang w:eastAsia="en-US"/>
            </w:rPr>
            <w:drawing>
              <wp:inline distT="0" distB="0" distL="0" distR="0" wp14:anchorId="62370435" wp14:editId="73A9545F">
                <wp:extent cx="1134775" cy="324000"/>
                <wp:effectExtent l="0" t="0" r="825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775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24E658EF" w14:textId="54FDC9D9" w:rsidR="00E5626F" w:rsidRPr="0009625D" w:rsidRDefault="00E5626F" w:rsidP="00E5626F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10/1</w:t>
          </w:r>
        </w:p>
      </w:tc>
    </w:tr>
  </w:tbl>
  <w:p w14:paraId="2403DE66" w14:textId="5B2E9C65" w:rsidR="007506E6" w:rsidRPr="00E5626F" w:rsidRDefault="007506E6" w:rsidP="00E5626F">
    <w:pPr>
      <w:pStyle w:val="Fuzeile"/>
      <w:spacing w:before="0"/>
      <w:rPr>
        <w:rFonts w:eastAsiaTheme="minorHAns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F3BE3" w14:textId="77777777" w:rsidR="004A5981" w:rsidRDefault="004A5981" w:rsidP="00EE217B">
      <w:pPr>
        <w:pStyle w:val="Fuzeile"/>
      </w:pPr>
    </w:p>
    <w:p w14:paraId="226964FC" w14:textId="77777777" w:rsidR="004A5981" w:rsidRPr="00EE217B" w:rsidRDefault="004A598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AB46A6F" w14:textId="77777777" w:rsidR="004A5981" w:rsidRDefault="004A5981" w:rsidP="00711AB6">
      <w:pPr>
        <w:spacing w:before="0"/>
        <w:jc w:val="center"/>
      </w:pPr>
    </w:p>
    <w:p w14:paraId="26641817" w14:textId="77777777" w:rsidR="004A5981" w:rsidRPr="00711AB6" w:rsidRDefault="004A598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6AFCB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EB42F" w14:textId="77777777" w:rsidR="007506E6" w:rsidRDefault="007506E6" w:rsidP="00870FFE">
    <w:pPr>
      <w:pStyle w:val="Kopfzeile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DF0A8C"/>
    <w:multiLevelType w:val="hybridMultilevel"/>
    <w:tmpl w:val="E1F03EF4"/>
    <w:lvl w:ilvl="0" w:tplc="4C802398">
      <w:start w:val="1"/>
      <w:numFmt w:val="bullet"/>
      <w:lvlText w:val="-"/>
      <w:lvlJc w:val="left"/>
      <w:pPr>
        <w:ind w:left="432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F1F6A"/>
    <w:multiLevelType w:val="hybridMultilevel"/>
    <w:tmpl w:val="DB76E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62820"/>
    <w:multiLevelType w:val="hybridMultilevel"/>
    <w:tmpl w:val="1376F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7"/>
  </w:num>
  <w:num w:numId="12">
    <w:abstractNumId w:val="9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0"/>
  </w:num>
  <w:num w:numId="18">
    <w:abstractNumId w:val="12"/>
  </w:num>
  <w:num w:numId="19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81"/>
    <w:rsid w:val="000006A7"/>
    <w:rsid w:val="00002230"/>
    <w:rsid w:val="00002EED"/>
    <w:rsid w:val="000030A9"/>
    <w:rsid w:val="0001258C"/>
    <w:rsid w:val="0001477C"/>
    <w:rsid w:val="0002197E"/>
    <w:rsid w:val="0002748A"/>
    <w:rsid w:val="00027C83"/>
    <w:rsid w:val="0003242D"/>
    <w:rsid w:val="00032470"/>
    <w:rsid w:val="0003664F"/>
    <w:rsid w:val="0004061E"/>
    <w:rsid w:val="00047570"/>
    <w:rsid w:val="000503CF"/>
    <w:rsid w:val="0005326E"/>
    <w:rsid w:val="000616B8"/>
    <w:rsid w:val="00064F40"/>
    <w:rsid w:val="00075E7C"/>
    <w:rsid w:val="000774BE"/>
    <w:rsid w:val="00080B9A"/>
    <w:rsid w:val="00086B8A"/>
    <w:rsid w:val="0009344D"/>
    <w:rsid w:val="00093DB8"/>
    <w:rsid w:val="00097B2B"/>
    <w:rsid w:val="000B1337"/>
    <w:rsid w:val="000D52D4"/>
    <w:rsid w:val="000E26F7"/>
    <w:rsid w:val="00111AC6"/>
    <w:rsid w:val="001205E2"/>
    <w:rsid w:val="00143F11"/>
    <w:rsid w:val="00165A53"/>
    <w:rsid w:val="0016714D"/>
    <w:rsid w:val="001678C1"/>
    <w:rsid w:val="00173570"/>
    <w:rsid w:val="00180880"/>
    <w:rsid w:val="00184E10"/>
    <w:rsid w:val="0019585B"/>
    <w:rsid w:val="001A1B58"/>
    <w:rsid w:val="001B2095"/>
    <w:rsid w:val="001B213F"/>
    <w:rsid w:val="001B3F50"/>
    <w:rsid w:val="001B7E25"/>
    <w:rsid w:val="001C0D6B"/>
    <w:rsid w:val="001C1789"/>
    <w:rsid w:val="001D0B67"/>
    <w:rsid w:val="001D22E2"/>
    <w:rsid w:val="001E1F96"/>
    <w:rsid w:val="001E357E"/>
    <w:rsid w:val="001E38E2"/>
    <w:rsid w:val="001E7A82"/>
    <w:rsid w:val="001F04DD"/>
    <w:rsid w:val="002065BE"/>
    <w:rsid w:val="0021047B"/>
    <w:rsid w:val="00213C34"/>
    <w:rsid w:val="00224C9E"/>
    <w:rsid w:val="002274FD"/>
    <w:rsid w:val="002454FE"/>
    <w:rsid w:val="00257647"/>
    <w:rsid w:val="0026413B"/>
    <w:rsid w:val="002676C6"/>
    <w:rsid w:val="002717FB"/>
    <w:rsid w:val="00272757"/>
    <w:rsid w:val="00283F41"/>
    <w:rsid w:val="002846B7"/>
    <w:rsid w:val="00284FA6"/>
    <w:rsid w:val="00285560"/>
    <w:rsid w:val="00285C0D"/>
    <w:rsid w:val="00290924"/>
    <w:rsid w:val="0029592F"/>
    <w:rsid w:val="00296CF1"/>
    <w:rsid w:val="002A064F"/>
    <w:rsid w:val="002B17CE"/>
    <w:rsid w:val="002B298F"/>
    <w:rsid w:val="002B37AC"/>
    <w:rsid w:val="002D0908"/>
    <w:rsid w:val="002D2082"/>
    <w:rsid w:val="002D7E2D"/>
    <w:rsid w:val="002E59B7"/>
    <w:rsid w:val="002F09D8"/>
    <w:rsid w:val="002F6B99"/>
    <w:rsid w:val="002F771F"/>
    <w:rsid w:val="00304799"/>
    <w:rsid w:val="00340216"/>
    <w:rsid w:val="00342964"/>
    <w:rsid w:val="00352142"/>
    <w:rsid w:val="00360F3D"/>
    <w:rsid w:val="00364269"/>
    <w:rsid w:val="00376DCD"/>
    <w:rsid w:val="00382BCD"/>
    <w:rsid w:val="003932A1"/>
    <w:rsid w:val="003A6FEB"/>
    <w:rsid w:val="003B0469"/>
    <w:rsid w:val="003B420D"/>
    <w:rsid w:val="003D3BE0"/>
    <w:rsid w:val="003E348F"/>
    <w:rsid w:val="003E5835"/>
    <w:rsid w:val="003F1B18"/>
    <w:rsid w:val="003F4DFC"/>
    <w:rsid w:val="004076E9"/>
    <w:rsid w:val="00412650"/>
    <w:rsid w:val="0041402E"/>
    <w:rsid w:val="00416098"/>
    <w:rsid w:val="00423FF6"/>
    <w:rsid w:val="004248A0"/>
    <w:rsid w:val="0043282E"/>
    <w:rsid w:val="00433509"/>
    <w:rsid w:val="00440D21"/>
    <w:rsid w:val="00445BB8"/>
    <w:rsid w:val="0044742E"/>
    <w:rsid w:val="00452AA7"/>
    <w:rsid w:val="00454705"/>
    <w:rsid w:val="0045493E"/>
    <w:rsid w:val="00457D85"/>
    <w:rsid w:val="00465DB3"/>
    <w:rsid w:val="004867BC"/>
    <w:rsid w:val="0049126F"/>
    <w:rsid w:val="004966BB"/>
    <w:rsid w:val="004A598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0E02"/>
    <w:rsid w:val="00534A4B"/>
    <w:rsid w:val="005473EF"/>
    <w:rsid w:val="0055136F"/>
    <w:rsid w:val="0055156D"/>
    <w:rsid w:val="005620E3"/>
    <w:rsid w:val="00567521"/>
    <w:rsid w:val="00583AA1"/>
    <w:rsid w:val="00586AA2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06221"/>
    <w:rsid w:val="006070D4"/>
    <w:rsid w:val="00632C1A"/>
    <w:rsid w:val="00635476"/>
    <w:rsid w:val="006454CF"/>
    <w:rsid w:val="0065198F"/>
    <w:rsid w:val="006521FF"/>
    <w:rsid w:val="00665F75"/>
    <w:rsid w:val="0066763B"/>
    <w:rsid w:val="0068397E"/>
    <w:rsid w:val="00684B37"/>
    <w:rsid w:val="00696DCA"/>
    <w:rsid w:val="006C4228"/>
    <w:rsid w:val="006D45A1"/>
    <w:rsid w:val="006E24F6"/>
    <w:rsid w:val="006E7126"/>
    <w:rsid w:val="006F0AAE"/>
    <w:rsid w:val="006F1B17"/>
    <w:rsid w:val="00701C4A"/>
    <w:rsid w:val="007026D1"/>
    <w:rsid w:val="00710984"/>
    <w:rsid w:val="00711AB6"/>
    <w:rsid w:val="00716DD5"/>
    <w:rsid w:val="00720E5C"/>
    <w:rsid w:val="00730541"/>
    <w:rsid w:val="00742EA1"/>
    <w:rsid w:val="00744772"/>
    <w:rsid w:val="007506E6"/>
    <w:rsid w:val="00756EBB"/>
    <w:rsid w:val="00762057"/>
    <w:rsid w:val="007626C5"/>
    <w:rsid w:val="00763BE6"/>
    <w:rsid w:val="00763FC1"/>
    <w:rsid w:val="007648E0"/>
    <w:rsid w:val="00765666"/>
    <w:rsid w:val="0078048F"/>
    <w:rsid w:val="0078728B"/>
    <w:rsid w:val="007900AC"/>
    <w:rsid w:val="00790130"/>
    <w:rsid w:val="007958BB"/>
    <w:rsid w:val="00795A4F"/>
    <w:rsid w:val="00796513"/>
    <w:rsid w:val="007A060E"/>
    <w:rsid w:val="007A16F1"/>
    <w:rsid w:val="007A3E0C"/>
    <w:rsid w:val="007A40EE"/>
    <w:rsid w:val="007B1945"/>
    <w:rsid w:val="007C5430"/>
    <w:rsid w:val="007D3976"/>
    <w:rsid w:val="007E0249"/>
    <w:rsid w:val="007F3A7C"/>
    <w:rsid w:val="00802ED4"/>
    <w:rsid w:val="00805892"/>
    <w:rsid w:val="00805A45"/>
    <w:rsid w:val="0081072B"/>
    <w:rsid w:val="008248D3"/>
    <w:rsid w:val="008471C9"/>
    <w:rsid w:val="00855B99"/>
    <w:rsid w:val="00862DDF"/>
    <w:rsid w:val="00870FFE"/>
    <w:rsid w:val="00872C00"/>
    <w:rsid w:val="00872C95"/>
    <w:rsid w:val="00872F5F"/>
    <w:rsid w:val="008741E5"/>
    <w:rsid w:val="0087591D"/>
    <w:rsid w:val="0088020C"/>
    <w:rsid w:val="00884570"/>
    <w:rsid w:val="00891EEA"/>
    <w:rsid w:val="008976BA"/>
    <w:rsid w:val="008A5560"/>
    <w:rsid w:val="008C44B0"/>
    <w:rsid w:val="008C7BD3"/>
    <w:rsid w:val="008D1A8E"/>
    <w:rsid w:val="008D7510"/>
    <w:rsid w:val="008E0D82"/>
    <w:rsid w:val="008E0FC7"/>
    <w:rsid w:val="008E1F62"/>
    <w:rsid w:val="008F1BF3"/>
    <w:rsid w:val="008F75E7"/>
    <w:rsid w:val="009075A9"/>
    <w:rsid w:val="00912423"/>
    <w:rsid w:val="009212B4"/>
    <w:rsid w:val="0095198B"/>
    <w:rsid w:val="00970211"/>
    <w:rsid w:val="009760D0"/>
    <w:rsid w:val="0099102A"/>
    <w:rsid w:val="0099236A"/>
    <w:rsid w:val="009A6E64"/>
    <w:rsid w:val="009B4EE0"/>
    <w:rsid w:val="009C2EE1"/>
    <w:rsid w:val="009C2FF2"/>
    <w:rsid w:val="009C434D"/>
    <w:rsid w:val="009C6EFB"/>
    <w:rsid w:val="009D429E"/>
    <w:rsid w:val="009E1FB1"/>
    <w:rsid w:val="009F4E43"/>
    <w:rsid w:val="009F6E01"/>
    <w:rsid w:val="00A06317"/>
    <w:rsid w:val="00A10F2C"/>
    <w:rsid w:val="00A237ED"/>
    <w:rsid w:val="00A31197"/>
    <w:rsid w:val="00A5114A"/>
    <w:rsid w:val="00A600E3"/>
    <w:rsid w:val="00A613A1"/>
    <w:rsid w:val="00A649A3"/>
    <w:rsid w:val="00A7113B"/>
    <w:rsid w:val="00A75CE3"/>
    <w:rsid w:val="00A8486F"/>
    <w:rsid w:val="00A87FE5"/>
    <w:rsid w:val="00A93324"/>
    <w:rsid w:val="00A946ED"/>
    <w:rsid w:val="00AA5A24"/>
    <w:rsid w:val="00AA65D6"/>
    <w:rsid w:val="00AC17EE"/>
    <w:rsid w:val="00AE290A"/>
    <w:rsid w:val="00AF1983"/>
    <w:rsid w:val="00B04898"/>
    <w:rsid w:val="00B04976"/>
    <w:rsid w:val="00B11708"/>
    <w:rsid w:val="00B13741"/>
    <w:rsid w:val="00B15817"/>
    <w:rsid w:val="00B1680D"/>
    <w:rsid w:val="00B22993"/>
    <w:rsid w:val="00B261B2"/>
    <w:rsid w:val="00B342E7"/>
    <w:rsid w:val="00B36F6E"/>
    <w:rsid w:val="00B6345C"/>
    <w:rsid w:val="00B73242"/>
    <w:rsid w:val="00B75445"/>
    <w:rsid w:val="00B77530"/>
    <w:rsid w:val="00BA02EC"/>
    <w:rsid w:val="00BA0DF3"/>
    <w:rsid w:val="00BA1533"/>
    <w:rsid w:val="00BA1564"/>
    <w:rsid w:val="00BA7590"/>
    <w:rsid w:val="00BC6A51"/>
    <w:rsid w:val="00BD2864"/>
    <w:rsid w:val="00BD37FF"/>
    <w:rsid w:val="00BD62C0"/>
    <w:rsid w:val="00BE368B"/>
    <w:rsid w:val="00BE6137"/>
    <w:rsid w:val="00BF0354"/>
    <w:rsid w:val="00BF2B89"/>
    <w:rsid w:val="00BF7EB9"/>
    <w:rsid w:val="00C148CA"/>
    <w:rsid w:val="00C24E59"/>
    <w:rsid w:val="00C30D7D"/>
    <w:rsid w:val="00C37044"/>
    <w:rsid w:val="00C43D74"/>
    <w:rsid w:val="00C470A2"/>
    <w:rsid w:val="00C519D3"/>
    <w:rsid w:val="00C61048"/>
    <w:rsid w:val="00C8522D"/>
    <w:rsid w:val="00C91AC1"/>
    <w:rsid w:val="00C940C7"/>
    <w:rsid w:val="00CA5FDE"/>
    <w:rsid w:val="00CA6FFC"/>
    <w:rsid w:val="00CB24C7"/>
    <w:rsid w:val="00CC19EF"/>
    <w:rsid w:val="00CD1A9A"/>
    <w:rsid w:val="00CD2617"/>
    <w:rsid w:val="00CD4117"/>
    <w:rsid w:val="00CE02DD"/>
    <w:rsid w:val="00CE73C2"/>
    <w:rsid w:val="00CF5F54"/>
    <w:rsid w:val="00D13BD1"/>
    <w:rsid w:val="00D45365"/>
    <w:rsid w:val="00D56663"/>
    <w:rsid w:val="00D61222"/>
    <w:rsid w:val="00D70A8F"/>
    <w:rsid w:val="00D71A05"/>
    <w:rsid w:val="00DA4F05"/>
    <w:rsid w:val="00DA6374"/>
    <w:rsid w:val="00DB3534"/>
    <w:rsid w:val="00DB3B77"/>
    <w:rsid w:val="00DB44B0"/>
    <w:rsid w:val="00DC5CF9"/>
    <w:rsid w:val="00DD3447"/>
    <w:rsid w:val="00DD5810"/>
    <w:rsid w:val="00DE10AB"/>
    <w:rsid w:val="00DE2B44"/>
    <w:rsid w:val="00E016C0"/>
    <w:rsid w:val="00E04EE3"/>
    <w:rsid w:val="00E05034"/>
    <w:rsid w:val="00E211D2"/>
    <w:rsid w:val="00E323D9"/>
    <w:rsid w:val="00E342CA"/>
    <w:rsid w:val="00E368C3"/>
    <w:rsid w:val="00E50734"/>
    <w:rsid w:val="00E54CF5"/>
    <w:rsid w:val="00E5626F"/>
    <w:rsid w:val="00E57522"/>
    <w:rsid w:val="00E57793"/>
    <w:rsid w:val="00E61BCD"/>
    <w:rsid w:val="00E64D10"/>
    <w:rsid w:val="00E7573C"/>
    <w:rsid w:val="00E77518"/>
    <w:rsid w:val="00E844A0"/>
    <w:rsid w:val="00EA2ACF"/>
    <w:rsid w:val="00EA74B3"/>
    <w:rsid w:val="00EC00F0"/>
    <w:rsid w:val="00EC2B32"/>
    <w:rsid w:val="00EC6E52"/>
    <w:rsid w:val="00EE217B"/>
    <w:rsid w:val="00EF2558"/>
    <w:rsid w:val="00F029CC"/>
    <w:rsid w:val="00F02A61"/>
    <w:rsid w:val="00F2421E"/>
    <w:rsid w:val="00F30B8A"/>
    <w:rsid w:val="00F3121A"/>
    <w:rsid w:val="00F35247"/>
    <w:rsid w:val="00F43427"/>
    <w:rsid w:val="00F508B7"/>
    <w:rsid w:val="00F516AA"/>
    <w:rsid w:val="00F51F9C"/>
    <w:rsid w:val="00F523A0"/>
    <w:rsid w:val="00F579A0"/>
    <w:rsid w:val="00F607DD"/>
    <w:rsid w:val="00F672A4"/>
    <w:rsid w:val="00F67FF5"/>
    <w:rsid w:val="00F84841"/>
    <w:rsid w:val="00F87375"/>
    <w:rsid w:val="00F920AB"/>
    <w:rsid w:val="00F9512C"/>
    <w:rsid w:val="00FA1E51"/>
    <w:rsid w:val="00FB19BE"/>
    <w:rsid w:val="00FB74D4"/>
    <w:rsid w:val="00FC1D47"/>
    <w:rsid w:val="00FC5333"/>
    <w:rsid w:val="00FD0600"/>
    <w:rsid w:val="00FD6CCC"/>
    <w:rsid w:val="00FE6355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9A47215"/>
  <w15:docId w15:val="{8FD84ACB-396B-43E8-90C0-1D10E42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link w:val="FunotentextZchn"/>
    <w:uiPriority w:val="99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styleId="Platzhaltertext">
    <w:name w:val="Placeholder Text"/>
    <w:basedOn w:val="Absatz-Standardschriftart"/>
    <w:uiPriority w:val="99"/>
    <w:semiHidden/>
    <w:rsid w:val="00E64D10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04976"/>
    <w:rPr>
      <w:rFonts w:ascii="Futura Md BT" w:hAnsi="Futura Md BT"/>
      <w:b/>
      <w:color w:val="00A7DE"/>
      <w:kern w:val="28"/>
      <w:sz w:val="32"/>
    </w:rPr>
  </w:style>
  <w:style w:type="paragraph" w:customStyle="1" w:styleId="Default">
    <w:name w:val="Default"/>
    <w:rsid w:val="00696D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56EBB"/>
    <w:rPr>
      <w:rFonts w:ascii="Century Gothic" w:hAnsi="Century Gothic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95DB1078-FB6C-4E7D-9369-AFF6FB65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2</Pages>
  <Words>342</Words>
  <Characters>3984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Pede, Sascha - LÖSLE</cp:lastModifiedBy>
  <cp:revision>93</cp:revision>
  <cp:lastPrinted>2025-08-12T12:50:00Z</cp:lastPrinted>
  <dcterms:created xsi:type="dcterms:W3CDTF">2025-01-24T06:22:00Z</dcterms:created>
  <dcterms:modified xsi:type="dcterms:W3CDTF">2025-08-29T06:57:00Z</dcterms:modified>
</cp:coreProperties>
</file>