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ayout w:type="fixed"/>
        <w:tblLook w:val="04A0" w:firstRow="1" w:lastRow="0" w:firstColumn="1" w:lastColumn="0" w:noHBand="0" w:noVBand="1"/>
      </w:tblPr>
      <w:tblGrid>
        <w:gridCol w:w="8647"/>
        <w:gridCol w:w="425"/>
      </w:tblGrid>
      <w:tr w:rsidR="00181773" w:rsidRPr="00DE5B92" w:rsidTr="00B66516">
        <w:trPr>
          <w:cantSplit/>
          <w:trHeight w:val="774"/>
        </w:trPr>
        <w:tc>
          <w:tcPr>
            <w:tcW w:w="8647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181773" w:rsidRPr="003953DF" w:rsidRDefault="003953DF" w:rsidP="00181773">
            <w:pPr>
              <w:spacing w:before="60" w:after="60"/>
              <w:jc w:val="left"/>
              <w:rPr>
                <w:b/>
                <w:color w:val="FFFFFF" w:themeColor="background1"/>
                <w:sz w:val="32"/>
                <w:szCs w:val="32"/>
              </w:rPr>
            </w:pPr>
            <w:r w:rsidRPr="003953DF">
              <w:rPr>
                <w:b/>
                <w:color w:val="00B0F0"/>
                <w:sz w:val="32"/>
                <w:szCs w:val="32"/>
              </w:rPr>
              <w:t xml:space="preserve">Praxisfall: Vertragliche Rücknahmeverpflichtung von Feuerlöschern durch die </w:t>
            </w:r>
            <w:proofErr w:type="spellStart"/>
            <w:r w:rsidRPr="003953DF">
              <w:rPr>
                <w:b/>
                <w:color w:val="00B0F0"/>
                <w:sz w:val="32"/>
                <w:szCs w:val="32"/>
              </w:rPr>
              <w:t>FireSafe</w:t>
            </w:r>
            <w:proofErr w:type="spellEnd"/>
            <w:r w:rsidRPr="003953DF">
              <w:rPr>
                <w:b/>
                <w:color w:val="00B0F0"/>
                <w:sz w:val="32"/>
                <w:szCs w:val="32"/>
              </w:rPr>
              <w:t xml:space="preserve"> GmbH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</w:tcPr>
          <w:p w:rsidR="00181773" w:rsidRPr="00181773" w:rsidRDefault="00181773" w:rsidP="00181773">
            <w:pPr>
              <w:spacing w:before="0"/>
              <w:ind w:left="113" w:right="113"/>
              <w:jc w:val="center"/>
              <w:rPr>
                <w:b/>
                <w:color w:val="FFFFFF" w:themeColor="background1"/>
                <w:sz w:val="12"/>
                <w:szCs w:val="12"/>
              </w:rPr>
            </w:pPr>
            <w:r w:rsidRPr="00181773">
              <w:rPr>
                <w:color w:val="00B0F0"/>
                <w:sz w:val="12"/>
                <w:szCs w:val="12"/>
                <w:shd w:val="clear" w:color="auto" w:fill="00B0F0"/>
              </w:rPr>
              <w:t>05/2025</w:t>
            </w:r>
          </w:p>
        </w:tc>
      </w:tr>
    </w:tbl>
    <w:p w:rsidR="00F3121A" w:rsidRDefault="00E36B17" w:rsidP="008A5560">
      <w:pPr>
        <w:spacing w:before="0"/>
        <w:rPr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4435475</wp:posOffset>
            </wp:positionH>
            <wp:positionV relativeFrom="paragraph">
              <wp:posOffset>174625</wp:posOffset>
            </wp:positionV>
            <wp:extent cx="1072515" cy="107251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07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786A" w:rsidRDefault="00C8785F" w:rsidP="00E378AE">
      <w:pPr>
        <w:pStyle w:val="StandardWeb"/>
        <w:spacing w:before="120" w:beforeAutospacing="0" w:after="0" w:afterAutospacing="0"/>
        <w:rPr>
          <w:rStyle w:val="Fett"/>
          <w:rFonts w:ascii="Century Gothic" w:hAnsi="Century Gothic"/>
          <w:color w:val="00B0F0"/>
          <w:sz w:val="20"/>
          <w:szCs w:val="19"/>
        </w:rPr>
      </w:pPr>
      <w:r>
        <w:rPr>
          <w:rStyle w:val="Fett"/>
          <w:rFonts w:ascii="Century Gothic" w:hAnsi="Century Gothic"/>
          <w:color w:val="00B0F0"/>
          <w:sz w:val="20"/>
          <w:szCs w:val="19"/>
        </w:rPr>
        <w:t>A. Fallbeschreibung:</w:t>
      </w:r>
    </w:p>
    <w:p w:rsidR="00C8785F" w:rsidRDefault="00E378AE" w:rsidP="00E378AE">
      <w:pPr>
        <w:pStyle w:val="StandardWeb"/>
        <w:spacing w:before="120" w:beforeAutospacing="0" w:after="0" w:afterAutospacing="0"/>
      </w:pPr>
      <w:r w:rsidRPr="00E378AE">
        <w:rPr>
          <w:rStyle w:val="Fett"/>
          <w:rFonts w:ascii="Century Gothic" w:hAnsi="Century Gothic"/>
          <w:b w:val="0"/>
          <w:sz w:val="20"/>
          <w:szCs w:val="19"/>
        </w:rPr>
        <w:t>Die</w:t>
      </w:r>
      <w:r w:rsidR="00C8785F">
        <w:rPr>
          <w:rFonts w:ascii="Century Gothic" w:hAnsi="Century Gothic"/>
          <w:sz w:val="20"/>
          <w:szCs w:val="19"/>
        </w:rPr>
        <w:t xml:space="preserve"> </w:t>
      </w:r>
      <w:proofErr w:type="spellStart"/>
      <w:r w:rsidR="00C8785F">
        <w:rPr>
          <w:rFonts w:ascii="Century Gothic" w:hAnsi="Century Gothic"/>
          <w:sz w:val="20"/>
          <w:szCs w:val="19"/>
        </w:rPr>
        <w:t>FireSafe</w:t>
      </w:r>
      <w:proofErr w:type="spellEnd"/>
      <w:r w:rsidR="00C8785F">
        <w:rPr>
          <w:rFonts w:ascii="Century Gothic" w:hAnsi="Century Gothic"/>
          <w:sz w:val="20"/>
          <w:szCs w:val="19"/>
        </w:rPr>
        <w:t xml:space="preserve"> GmbH verkauft jährlich </w:t>
      </w:r>
      <w:r w:rsidR="00C8785F">
        <w:rPr>
          <w:rFonts w:ascii="Century Gothic" w:hAnsi="Century Gothic"/>
          <w:b/>
          <w:sz w:val="20"/>
          <w:szCs w:val="19"/>
        </w:rPr>
        <w:t>10.000 Feuerlöscher</w:t>
      </w:r>
      <w:r w:rsidR="00C8785F">
        <w:rPr>
          <w:rFonts w:ascii="Century Gothic" w:hAnsi="Century Gothic"/>
          <w:sz w:val="20"/>
          <w:szCs w:val="19"/>
        </w:rPr>
        <w:t>.</w:t>
      </w:r>
    </w:p>
    <w:p w:rsidR="00C8785F" w:rsidRDefault="00C8785F" w:rsidP="00E378AE">
      <w:pPr>
        <w:pStyle w:val="StandardWeb"/>
        <w:spacing w:before="120" w:beforeAutospacing="0" w:after="120" w:afterAutospacing="0"/>
        <w:rPr>
          <w:rFonts w:ascii="Century Gothic" w:hAnsi="Century Gothic"/>
          <w:sz w:val="20"/>
          <w:szCs w:val="19"/>
        </w:rPr>
      </w:pPr>
      <w:r>
        <w:rPr>
          <w:rFonts w:ascii="Century Gothic" w:hAnsi="Century Gothic"/>
          <w:sz w:val="20"/>
          <w:szCs w:val="19"/>
        </w:rPr>
        <w:t xml:space="preserve">Beim Abschluss des Kaufvertrages </w:t>
      </w:r>
    </w:p>
    <w:p w:rsidR="00C8785F" w:rsidRDefault="00C8785F" w:rsidP="00E378AE">
      <w:pPr>
        <w:pStyle w:val="StandardWeb"/>
        <w:numPr>
          <w:ilvl w:val="0"/>
          <w:numId w:val="22"/>
        </w:numPr>
        <w:spacing w:before="60" w:beforeAutospacing="0" w:after="60" w:afterAutospacing="0"/>
        <w:ind w:left="425" w:hanging="425"/>
        <w:rPr>
          <w:rFonts w:ascii="Century Gothic" w:hAnsi="Century Gothic"/>
          <w:sz w:val="20"/>
          <w:szCs w:val="19"/>
        </w:rPr>
      </w:pPr>
      <w:r w:rsidRPr="00CC4696">
        <w:rPr>
          <w:rFonts w:ascii="Century Gothic" w:hAnsi="Century Gothic"/>
          <w:b/>
          <w:color w:val="FF0000"/>
          <w:sz w:val="20"/>
          <w:szCs w:val="19"/>
        </w:rPr>
        <w:t>verpflichtet</w:t>
      </w:r>
      <w:r>
        <w:rPr>
          <w:rFonts w:ascii="Century Gothic" w:hAnsi="Century Gothic"/>
          <w:sz w:val="20"/>
          <w:szCs w:val="19"/>
        </w:rPr>
        <w:t xml:space="preserve"> sich die </w:t>
      </w:r>
      <w:proofErr w:type="spellStart"/>
      <w:r>
        <w:rPr>
          <w:rFonts w:ascii="Century Gothic" w:hAnsi="Century Gothic"/>
          <w:sz w:val="20"/>
          <w:szCs w:val="19"/>
        </w:rPr>
        <w:t>FireSafe</w:t>
      </w:r>
      <w:proofErr w:type="spellEnd"/>
      <w:r>
        <w:rPr>
          <w:rFonts w:ascii="Century Gothic" w:hAnsi="Century Gothic"/>
          <w:sz w:val="20"/>
          <w:szCs w:val="19"/>
        </w:rPr>
        <w:t xml:space="preserve"> GmbH </w:t>
      </w:r>
      <w:r w:rsidRPr="00CC4696">
        <w:rPr>
          <w:rFonts w:ascii="Century Gothic" w:hAnsi="Century Gothic"/>
          <w:b/>
          <w:color w:val="FF0000"/>
          <w:sz w:val="20"/>
          <w:szCs w:val="19"/>
        </w:rPr>
        <w:t>vertraglich</w:t>
      </w:r>
      <w:r>
        <w:rPr>
          <w:rFonts w:ascii="Century Gothic" w:hAnsi="Century Gothic"/>
          <w:sz w:val="20"/>
          <w:szCs w:val="19"/>
        </w:rPr>
        <w:t xml:space="preserve"> dazu, </w:t>
      </w:r>
    </w:p>
    <w:p w:rsidR="00C8785F" w:rsidRDefault="00C8785F" w:rsidP="00E378AE">
      <w:pPr>
        <w:pStyle w:val="StandardWeb"/>
        <w:numPr>
          <w:ilvl w:val="0"/>
          <w:numId w:val="22"/>
        </w:numPr>
        <w:spacing w:before="60" w:beforeAutospacing="0" w:after="60" w:afterAutospacing="0"/>
        <w:ind w:left="425" w:hanging="425"/>
        <w:rPr>
          <w:rFonts w:ascii="Century Gothic" w:hAnsi="Century Gothic"/>
          <w:sz w:val="20"/>
          <w:szCs w:val="19"/>
        </w:rPr>
      </w:pPr>
      <w:r>
        <w:rPr>
          <w:rFonts w:ascii="Century Gothic" w:hAnsi="Century Gothic"/>
          <w:sz w:val="20"/>
          <w:szCs w:val="19"/>
        </w:rPr>
        <w:t xml:space="preserve">diesen </w:t>
      </w:r>
      <w:r w:rsidRPr="00CC4696">
        <w:rPr>
          <w:rFonts w:ascii="Century Gothic" w:hAnsi="Century Gothic"/>
          <w:b/>
          <w:color w:val="FF0000"/>
          <w:sz w:val="20"/>
          <w:szCs w:val="19"/>
        </w:rPr>
        <w:t>am Ende der 5-jährigen Nutzungsdauer</w:t>
      </w:r>
      <w:r w:rsidRPr="00CC4696">
        <w:rPr>
          <w:rFonts w:ascii="Century Gothic" w:hAnsi="Century Gothic"/>
          <w:color w:val="FF0000"/>
          <w:sz w:val="20"/>
          <w:szCs w:val="19"/>
        </w:rPr>
        <w:t xml:space="preserve"> </w:t>
      </w:r>
    </w:p>
    <w:p w:rsidR="00C8785F" w:rsidRDefault="00C8785F" w:rsidP="00E378AE">
      <w:pPr>
        <w:pStyle w:val="StandardWeb"/>
        <w:numPr>
          <w:ilvl w:val="0"/>
          <w:numId w:val="22"/>
        </w:numPr>
        <w:spacing w:before="60" w:beforeAutospacing="0" w:after="60" w:afterAutospacing="0"/>
        <w:ind w:left="425" w:hanging="425"/>
        <w:rPr>
          <w:rFonts w:ascii="Century Gothic" w:hAnsi="Century Gothic"/>
          <w:sz w:val="20"/>
          <w:szCs w:val="19"/>
        </w:rPr>
      </w:pPr>
      <w:r w:rsidRPr="00CC4696">
        <w:rPr>
          <w:rFonts w:ascii="Century Gothic" w:hAnsi="Century Gothic"/>
          <w:b/>
          <w:color w:val="FF0000"/>
          <w:sz w:val="20"/>
          <w:szCs w:val="19"/>
        </w:rPr>
        <w:t>zurückzunehmen</w:t>
      </w:r>
      <w:r>
        <w:rPr>
          <w:rFonts w:ascii="Century Gothic" w:hAnsi="Century Gothic"/>
          <w:sz w:val="20"/>
          <w:szCs w:val="19"/>
        </w:rPr>
        <w:t xml:space="preserve"> und fachgerecht zu </w:t>
      </w:r>
      <w:r w:rsidRPr="00CC4696">
        <w:rPr>
          <w:rFonts w:ascii="Century Gothic" w:hAnsi="Century Gothic"/>
          <w:b/>
          <w:color w:val="FF0000"/>
          <w:sz w:val="20"/>
          <w:szCs w:val="19"/>
        </w:rPr>
        <w:t>entsorgen</w:t>
      </w:r>
      <w:r>
        <w:rPr>
          <w:rFonts w:ascii="Century Gothic" w:hAnsi="Century Gothic"/>
          <w:sz w:val="20"/>
          <w:szCs w:val="19"/>
        </w:rPr>
        <w:t xml:space="preserve">. </w:t>
      </w:r>
    </w:p>
    <w:p w:rsidR="00C8785F" w:rsidRDefault="00C8785F" w:rsidP="00063F4E">
      <w:pPr>
        <w:pStyle w:val="StandardWeb"/>
        <w:spacing w:before="120" w:beforeAutospacing="0" w:after="120" w:afterAutospacing="0"/>
        <w:rPr>
          <w:rFonts w:ascii="Century Gothic" w:hAnsi="Century Gothic"/>
          <w:sz w:val="20"/>
          <w:szCs w:val="19"/>
        </w:rPr>
      </w:pPr>
      <w:r>
        <w:rPr>
          <w:rFonts w:ascii="Century Gothic" w:hAnsi="Century Gothic"/>
          <w:sz w:val="20"/>
          <w:szCs w:val="19"/>
        </w:rPr>
        <w:t xml:space="preserve">Nach aktueller Kalkulation werden hierfür voraussichtlich </w:t>
      </w:r>
      <w:r w:rsidRPr="00CC4696">
        <w:rPr>
          <w:rFonts w:ascii="Century Gothic" w:hAnsi="Century Gothic"/>
          <w:b/>
          <w:color w:val="FF0000"/>
          <w:sz w:val="20"/>
          <w:szCs w:val="19"/>
        </w:rPr>
        <w:t>20 EUR Entsorgungskosten</w:t>
      </w:r>
      <w:r w:rsidRPr="00CC4696">
        <w:rPr>
          <w:rFonts w:ascii="Century Gothic" w:hAnsi="Century Gothic"/>
          <w:color w:val="FF0000"/>
          <w:sz w:val="20"/>
          <w:szCs w:val="19"/>
        </w:rPr>
        <w:t xml:space="preserve"> </w:t>
      </w:r>
      <w:r>
        <w:rPr>
          <w:rFonts w:ascii="Century Gothic" w:hAnsi="Century Gothic"/>
          <w:sz w:val="20"/>
          <w:szCs w:val="19"/>
        </w:rPr>
        <w:t xml:space="preserve">je Feuerlöscher anfallen. </w:t>
      </w:r>
    </w:p>
    <w:p w:rsidR="00C8785F" w:rsidRDefault="00C8785F" w:rsidP="00063F4E">
      <w:pPr>
        <w:pStyle w:val="StandardWeb"/>
        <w:spacing w:before="120" w:beforeAutospacing="0" w:after="120" w:afterAutospacing="0"/>
        <w:rPr>
          <w:rFonts w:ascii="Century Gothic" w:hAnsi="Century Gothic"/>
          <w:sz w:val="20"/>
          <w:szCs w:val="19"/>
        </w:rPr>
      </w:pPr>
      <w:r>
        <w:rPr>
          <w:rFonts w:ascii="Century Gothic" w:hAnsi="Century Gothic"/>
          <w:sz w:val="20"/>
          <w:szCs w:val="19"/>
        </w:rPr>
        <w:t xml:space="preserve">Auf Basis vergangener Erfahrungen beträgt die </w:t>
      </w:r>
      <w:bookmarkStart w:id="0" w:name="_GoBack"/>
      <w:r w:rsidRPr="00CC4696">
        <w:rPr>
          <w:rFonts w:ascii="Century Gothic" w:hAnsi="Century Gothic"/>
          <w:b/>
          <w:color w:val="FF0000"/>
          <w:sz w:val="20"/>
          <w:szCs w:val="19"/>
        </w:rPr>
        <w:t xml:space="preserve">Rücklaufquote 30% </w:t>
      </w:r>
      <w:bookmarkEnd w:id="0"/>
      <w:r>
        <w:rPr>
          <w:rFonts w:ascii="Century Gothic" w:hAnsi="Century Gothic"/>
          <w:sz w:val="20"/>
          <w:szCs w:val="19"/>
        </w:rPr>
        <w:t>(nachgewiesen durch interne Statistiken).</w:t>
      </w:r>
    </w:p>
    <w:p w:rsidR="00C8785F" w:rsidRDefault="00C8785F" w:rsidP="00063F4E">
      <w:pPr>
        <w:pStyle w:val="StandardWeb"/>
        <w:spacing w:before="120" w:beforeAutospacing="0" w:after="120" w:afterAutospacing="0"/>
        <w:rPr>
          <w:rFonts w:ascii="Century Gothic" w:hAnsi="Century Gothic"/>
          <w:sz w:val="20"/>
          <w:szCs w:val="19"/>
        </w:rPr>
      </w:pPr>
      <w:r>
        <w:rPr>
          <w:rFonts w:ascii="Century Gothic" w:hAnsi="Century Gothic"/>
          <w:sz w:val="20"/>
          <w:szCs w:val="19"/>
        </w:rPr>
        <w:t xml:space="preserve">Für die Abzinsung gemäß § 253 Abs. 2 HGB wird ein </w:t>
      </w:r>
      <w:r>
        <w:rPr>
          <w:rFonts w:ascii="Century Gothic" w:hAnsi="Century Gothic"/>
          <w:b/>
          <w:sz w:val="20"/>
          <w:szCs w:val="19"/>
        </w:rPr>
        <w:t>Zinssatz von 3%</w:t>
      </w:r>
      <w:r>
        <w:rPr>
          <w:rFonts w:ascii="Century Gothic" w:hAnsi="Century Gothic"/>
          <w:sz w:val="20"/>
          <w:szCs w:val="19"/>
        </w:rPr>
        <w:t xml:space="preserve"> verwendet. </w:t>
      </w:r>
    </w:p>
    <w:p w:rsidR="00C8785F" w:rsidRDefault="00C8785F" w:rsidP="00D2786A">
      <w:pPr>
        <w:pStyle w:val="StandardWeb"/>
        <w:spacing w:after="0" w:afterAutospacing="0"/>
        <w:rPr>
          <w:rFonts w:ascii="Century Gothic" w:hAnsi="Century Gothic"/>
          <w:b/>
          <w:color w:val="00B0F0"/>
          <w:sz w:val="20"/>
          <w:szCs w:val="19"/>
        </w:rPr>
      </w:pPr>
      <w:r>
        <w:rPr>
          <w:rFonts w:ascii="Century Gothic" w:hAnsi="Century Gothic"/>
          <w:b/>
          <w:color w:val="00B0F0"/>
          <w:sz w:val="20"/>
          <w:szCs w:val="19"/>
        </w:rPr>
        <w:t>B. Rückstellungsbildung</w:t>
      </w:r>
    </w:p>
    <w:p w:rsidR="00C8785F" w:rsidRPr="009E4194" w:rsidRDefault="00C8785F" w:rsidP="00D2786A">
      <w:pPr>
        <w:pStyle w:val="StandardWeb"/>
        <w:numPr>
          <w:ilvl w:val="0"/>
          <w:numId w:val="23"/>
        </w:numPr>
        <w:spacing w:before="120" w:beforeAutospacing="0" w:after="0" w:afterAutospacing="0"/>
        <w:ind w:left="709" w:hanging="357"/>
        <w:rPr>
          <w:rFonts w:ascii="Century Gothic" w:hAnsi="Century Gothic"/>
          <w:b/>
          <w:sz w:val="20"/>
          <w:szCs w:val="19"/>
        </w:rPr>
      </w:pPr>
      <w:r w:rsidRPr="009E4194">
        <w:rPr>
          <w:rFonts w:ascii="Century Gothic" w:hAnsi="Century Gothic"/>
          <w:b/>
          <w:sz w:val="20"/>
          <w:szCs w:val="19"/>
        </w:rPr>
        <w:t>Ansatz der Rückstellung</w:t>
      </w:r>
    </w:p>
    <w:p w:rsidR="00C8785F" w:rsidRDefault="00C8785F" w:rsidP="00D2786A">
      <w:pPr>
        <w:pStyle w:val="StandardWeb"/>
        <w:spacing w:before="120" w:beforeAutospacing="0" w:after="120" w:afterAutospacing="0"/>
        <w:ind w:left="357"/>
        <w:rPr>
          <w:rFonts w:ascii="Century Gothic" w:hAnsi="Century Gothic"/>
          <w:sz w:val="20"/>
          <w:szCs w:val="19"/>
        </w:rPr>
      </w:pPr>
      <w:r>
        <w:rPr>
          <w:rFonts w:ascii="Century Gothic" w:hAnsi="Century Gothic"/>
          <w:sz w:val="20"/>
          <w:szCs w:val="19"/>
        </w:rPr>
        <w:t xml:space="preserve">Nach § 249 HGB besteht die Pflicht zur Bildung einer Rückstellung für ungewisse Verbindlichkeiten, wenn </w:t>
      </w:r>
    </w:p>
    <w:p w:rsidR="00C8785F" w:rsidRDefault="00C8785F" w:rsidP="00D2786A">
      <w:pPr>
        <w:pStyle w:val="StandardWeb"/>
        <w:numPr>
          <w:ilvl w:val="0"/>
          <w:numId w:val="24"/>
        </w:numPr>
        <w:spacing w:before="0" w:beforeAutospacing="0" w:after="0" w:afterAutospacing="0"/>
        <w:ind w:left="850" w:hanging="425"/>
        <w:rPr>
          <w:rFonts w:ascii="Century Gothic" w:hAnsi="Century Gothic"/>
          <w:sz w:val="20"/>
          <w:szCs w:val="19"/>
        </w:rPr>
      </w:pPr>
      <w:r>
        <w:rPr>
          <w:rFonts w:ascii="Century Gothic" w:hAnsi="Century Gothic"/>
          <w:sz w:val="20"/>
          <w:szCs w:val="19"/>
        </w:rPr>
        <w:t xml:space="preserve">eine </w:t>
      </w:r>
      <w:r>
        <w:rPr>
          <w:rFonts w:ascii="Century Gothic" w:hAnsi="Century Gothic"/>
          <w:b/>
          <w:sz w:val="20"/>
          <w:szCs w:val="19"/>
        </w:rPr>
        <w:t>gegenwärtige, vertragliche Verpflichtung</w:t>
      </w:r>
      <w:r>
        <w:rPr>
          <w:rFonts w:ascii="Century Gothic" w:hAnsi="Century Gothic"/>
          <w:sz w:val="20"/>
          <w:szCs w:val="19"/>
        </w:rPr>
        <w:t xml:space="preserve"> besteht, </w:t>
      </w:r>
    </w:p>
    <w:p w:rsidR="00C8785F" w:rsidRDefault="00C8785F" w:rsidP="009E4194">
      <w:pPr>
        <w:pStyle w:val="StandardWeb"/>
        <w:numPr>
          <w:ilvl w:val="0"/>
          <w:numId w:val="24"/>
        </w:numPr>
        <w:ind w:left="851" w:hanging="425"/>
        <w:rPr>
          <w:rFonts w:ascii="Century Gothic" w:hAnsi="Century Gothic"/>
          <w:sz w:val="20"/>
          <w:szCs w:val="19"/>
        </w:rPr>
      </w:pPr>
      <w:r>
        <w:rPr>
          <w:rFonts w:ascii="Century Gothic" w:hAnsi="Century Gothic"/>
          <w:sz w:val="20"/>
          <w:szCs w:val="19"/>
        </w:rPr>
        <w:t xml:space="preserve">der </w:t>
      </w:r>
      <w:r>
        <w:rPr>
          <w:rFonts w:ascii="Century Gothic" w:hAnsi="Century Gothic"/>
          <w:b/>
          <w:sz w:val="20"/>
          <w:szCs w:val="19"/>
        </w:rPr>
        <w:t>Abfluss von Ressourcen</w:t>
      </w:r>
      <w:r>
        <w:rPr>
          <w:rFonts w:ascii="Century Gothic" w:hAnsi="Century Gothic"/>
          <w:sz w:val="20"/>
          <w:szCs w:val="19"/>
        </w:rPr>
        <w:t xml:space="preserve"> zur Erfüllung dieser Verpflichtung </w:t>
      </w:r>
      <w:r>
        <w:rPr>
          <w:rFonts w:ascii="Century Gothic" w:hAnsi="Century Gothic"/>
          <w:b/>
          <w:sz w:val="20"/>
          <w:szCs w:val="19"/>
        </w:rPr>
        <w:t>wahrscheinlich</w:t>
      </w:r>
      <w:r>
        <w:rPr>
          <w:rFonts w:ascii="Century Gothic" w:hAnsi="Century Gothic"/>
          <w:sz w:val="20"/>
          <w:szCs w:val="19"/>
        </w:rPr>
        <w:t xml:space="preserve"> ist und </w:t>
      </w:r>
    </w:p>
    <w:p w:rsidR="00C8785F" w:rsidRDefault="00C8785F" w:rsidP="009E4194">
      <w:pPr>
        <w:pStyle w:val="StandardWeb"/>
        <w:numPr>
          <w:ilvl w:val="0"/>
          <w:numId w:val="24"/>
        </w:numPr>
        <w:ind w:left="851" w:hanging="425"/>
        <w:rPr>
          <w:rFonts w:ascii="Century Gothic" w:hAnsi="Century Gothic"/>
          <w:sz w:val="20"/>
          <w:szCs w:val="19"/>
        </w:rPr>
      </w:pPr>
      <w:r>
        <w:rPr>
          <w:rFonts w:ascii="Century Gothic" w:hAnsi="Century Gothic"/>
          <w:sz w:val="20"/>
          <w:szCs w:val="19"/>
        </w:rPr>
        <w:t xml:space="preserve">eine </w:t>
      </w:r>
      <w:r>
        <w:rPr>
          <w:rFonts w:ascii="Century Gothic" w:hAnsi="Century Gothic"/>
          <w:b/>
          <w:sz w:val="20"/>
          <w:szCs w:val="19"/>
        </w:rPr>
        <w:t>zuverlässige Schätzung der Höhe</w:t>
      </w:r>
      <w:r>
        <w:rPr>
          <w:rFonts w:ascii="Century Gothic" w:hAnsi="Century Gothic"/>
          <w:sz w:val="20"/>
          <w:szCs w:val="19"/>
        </w:rPr>
        <w:t xml:space="preserve"> möglich ist. </w:t>
      </w:r>
    </w:p>
    <w:p w:rsidR="00C8785F" w:rsidRDefault="00C8785F" w:rsidP="00253B82">
      <w:pPr>
        <w:pStyle w:val="StandardWeb"/>
        <w:spacing w:before="120" w:beforeAutospacing="0" w:after="120" w:afterAutospacing="0"/>
        <w:ind w:left="357"/>
        <w:rPr>
          <w:rFonts w:ascii="Century Gothic" w:hAnsi="Century Gothic"/>
          <w:sz w:val="20"/>
          <w:szCs w:val="19"/>
        </w:rPr>
      </w:pPr>
      <w:r>
        <w:rPr>
          <w:rFonts w:ascii="Century Gothic" w:hAnsi="Century Gothic"/>
          <w:sz w:val="20"/>
          <w:szCs w:val="19"/>
        </w:rPr>
        <w:t xml:space="preserve">Die </w:t>
      </w:r>
      <w:proofErr w:type="spellStart"/>
      <w:r>
        <w:rPr>
          <w:rFonts w:ascii="Century Gothic" w:hAnsi="Century Gothic"/>
          <w:sz w:val="20"/>
          <w:szCs w:val="19"/>
        </w:rPr>
        <w:t>FireSafe</w:t>
      </w:r>
      <w:proofErr w:type="spellEnd"/>
      <w:r>
        <w:rPr>
          <w:rFonts w:ascii="Century Gothic" w:hAnsi="Century Gothic"/>
          <w:sz w:val="20"/>
          <w:szCs w:val="19"/>
        </w:rPr>
        <w:t xml:space="preserve"> GmbH verpflichtet sich </w:t>
      </w:r>
      <w:r>
        <w:rPr>
          <w:rFonts w:ascii="Century Gothic" w:hAnsi="Century Gothic"/>
          <w:b/>
          <w:sz w:val="20"/>
          <w:szCs w:val="19"/>
        </w:rPr>
        <w:t>bereits durch den Verkauf</w:t>
      </w:r>
      <w:r>
        <w:rPr>
          <w:rFonts w:ascii="Century Gothic" w:hAnsi="Century Gothic"/>
          <w:sz w:val="20"/>
          <w:szCs w:val="19"/>
        </w:rPr>
        <w:t xml:space="preserve"> des Feuerlöschers zur späteren Rücknahme und Entsorgung. Das </w:t>
      </w:r>
      <w:r>
        <w:rPr>
          <w:rFonts w:ascii="Century Gothic" w:hAnsi="Century Gothic"/>
          <w:b/>
          <w:sz w:val="20"/>
          <w:szCs w:val="19"/>
        </w:rPr>
        <w:t>pflichtbegründende Ereignis</w:t>
      </w:r>
      <w:r>
        <w:rPr>
          <w:rFonts w:ascii="Century Gothic" w:hAnsi="Century Gothic"/>
          <w:sz w:val="20"/>
          <w:szCs w:val="19"/>
        </w:rPr>
        <w:t xml:space="preserve"> ist der Verkauf, nicht erst die spätere Entsorgung. </w:t>
      </w:r>
    </w:p>
    <w:p w:rsidR="00C8785F" w:rsidRDefault="00C8785F" w:rsidP="00253B82">
      <w:pPr>
        <w:pStyle w:val="StandardWeb"/>
        <w:spacing w:before="120" w:beforeAutospacing="0" w:after="120" w:afterAutospacing="0"/>
        <w:ind w:left="357"/>
        <w:rPr>
          <w:rFonts w:ascii="Century Gothic" w:hAnsi="Century Gothic"/>
          <w:sz w:val="20"/>
          <w:szCs w:val="19"/>
        </w:rPr>
      </w:pPr>
      <w:r>
        <w:rPr>
          <w:rFonts w:ascii="Century Gothic" w:hAnsi="Century Gothic"/>
          <w:sz w:val="20"/>
          <w:szCs w:val="19"/>
        </w:rPr>
        <w:t xml:space="preserve">Aufgrund der vergangenen Erfahrungen ist es zu </w:t>
      </w:r>
      <w:r>
        <w:rPr>
          <w:rFonts w:ascii="Century Gothic" w:hAnsi="Century Gothic"/>
          <w:b/>
          <w:sz w:val="20"/>
          <w:szCs w:val="19"/>
        </w:rPr>
        <w:t>30% wahrscheinlich</w:t>
      </w:r>
      <w:r>
        <w:rPr>
          <w:rFonts w:ascii="Century Gothic" w:hAnsi="Century Gothic"/>
          <w:sz w:val="20"/>
          <w:szCs w:val="19"/>
        </w:rPr>
        <w:t xml:space="preserve">, dass die Feuerlöscher zurück genommen werden müssen. </w:t>
      </w:r>
    </w:p>
    <w:p w:rsidR="00C8785F" w:rsidRDefault="00C8785F" w:rsidP="00253B82">
      <w:pPr>
        <w:pStyle w:val="StandardWeb"/>
        <w:spacing w:before="120" w:beforeAutospacing="0" w:after="120" w:afterAutospacing="0"/>
        <w:ind w:left="357"/>
        <w:rPr>
          <w:rFonts w:ascii="Century Gothic" w:hAnsi="Century Gothic"/>
          <w:sz w:val="20"/>
          <w:szCs w:val="19"/>
        </w:rPr>
      </w:pPr>
      <w:r>
        <w:rPr>
          <w:rFonts w:ascii="Century Gothic" w:hAnsi="Century Gothic"/>
          <w:b/>
          <w:sz w:val="20"/>
          <w:szCs w:val="19"/>
        </w:rPr>
        <w:t>Aus den vergangenen Erfahrungen</w:t>
      </w:r>
      <w:r>
        <w:rPr>
          <w:rFonts w:ascii="Century Gothic" w:hAnsi="Century Gothic"/>
          <w:sz w:val="20"/>
          <w:szCs w:val="19"/>
        </w:rPr>
        <w:t xml:space="preserve"> ist die </w:t>
      </w:r>
      <w:r>
        <w:rPr>
          <w:rFonts w:ascii="Century Gothic" w:hAnsi="Century Gothic"/>
          <w:b/>
          <w:sz w:val="20"/>
          <w:szCs w:val="19"/>
        </w:rPr>
        <w:t>Schätzung der Höhe</w:t>
      </w:r>
      <w:r>
        <w:rPr>
          <w:rFonts w:ascii="Century Gothic" w:hAnsi="Century Gothic"/>
          <w:sz w:val="20"/>
          <w:szCs w:val="19"/>
        </w:rPr>
        <w:t xml:space="preserve"> der Entsorgungskosten plausibel </w:t>
      </w:r>
      <w:r>
        <w:rPr>
          <w:rFonts w:ascii="Century Gothic" w:hAnsi="Century Gothic"/>
          <w:b/>
          <w:sz w:val="20"/>
          <w:szCs w:val="19"/>
        </w:rPr>
        <w:t>nachvollziehbar</w:t>
      </w:r>
      <w:r>
        <w:rPr>
          <w:rFonts w:ascii="Century Gothic" w:hAnsi="Century Gothic"/>
          <w:sz w:val="20"/>
          <w:szCs w:val="19"/>
        </w:rPr>
        <w:t>.</w:t>
      </w:r>
    </w:p>
    <w:p w:rsidR="00D2786A" w:rsidRDefault="00D2786A" w:rsidP="00253B82">
      <w:pPr>
        <w:pStyle w:val="StandardWeb"/>
        <w:spacing w:before="120" w:beforeAutospacing="0" w:after="120" w:afterAutospacing="0"/>
        <w:ind w:left="357"/>
        <w:rPr>
          <w:rFonts w:ascii="Century Gothic" w:hAnsi="Century Gothic"/>
          <w:sz w:val="20"/>
          <w:szCs w:val="19"/>
        </w:rPr>
      </w:pPr>
    </w:p>
    <w:p w:rsidR="00C8785F" w:rsidRPr="00023532" w:rsidRDefault="00C8785F" w:rsidP="00D2786A">
      <w:pPr>
        <w:pStyle w:val="StandardWeb"/>
        <w:numPr>
          <w:ilvl w:val="0"/>
          <w:numId w:val="23"/>
        </w:numPr>
        <w:spacing w:before="120" w:beforeAutospacing="0" w:after="0" w:afterAutospacing="0"/>
        <w:ind w:left="709" w:hanging="357"/>
        <w:rPr>
          <w:rFonts w:ascii="Century Gothic" w:hAnsi="Century Gothic"/>
          <w:b/>
          <w:sz w:val="20"/>
          <w:szCs w:val="19"/>
        </w:rPr>
      </w:pPr>
      <w:r w:rsidRPr="00023532">
        <w:rPr>
          <w:rFonts w:ascii="Century Gothic" w:hAnsi="Century Gothic"/>
          <w:b/>
          <w:sz w:val="20"/>
          <w:szCs w:val="19"/>
        </w:rPr>
        <w:t>Bewertung der Rückstellung</w:t>
      </w:r>
    </w:p>
    <w:p w:rsidR="00C8785F" w:rsidRDefault="00C8785F" w:rsidP="00023532">
      <w:pPr>
        <w:pStyle w:val="StandardWeb"/>
        <w:tabs>
          <w:tab w:val="left" w:pos="5529"/>
        </w:tabs>
        <w:spacing w:before="120" w:beforeAutospacing="0" w:after="120" w:afterAutospacing="0"/>
        <w:ind w:left="357"/>
        <w:rPr>
          <w:rFonts w:ascii="Century Gothic" w:hAnsi="Century Gothic"/>
          <w:sz w:val="20"/>
          <w:szCs w:val="19"/>
        </w:rPr>
      </w:pPr>
      <w:r>
        <w:rPr>
          <w:rFonts w:ascii="Century Gothic" w:hAnsi="Century Gothic"/>
          <w:b/>
          <w:sz w:val="20"/>
          <w:szCs w:val="19"/>
        </w:rPr>
        <w:t>Erwartete Rücknahmemenge</w:t>
      </w:r>
      <w:r>
        <w:rPr>
          <w:rFonts w:ascii="Century Gothic" w:hAnsi="Century Gothic"/>
          <w:sz w:val="20"/>
          <w:szCs w:val="19"/>
        </w:rPr>
        <w:t xml:space="preserve">:                </w:t>
      </w:r>
      <w:r w:rsidR="009351E1">
        <w:rPr>
          <w:rFonts w:ascii="Century Gothic" w:hAnsi="Century Gothic"/>
          <w:sz w:val="20"/>
          <w:szCs w:val="19"/>
        </w:rPr>
        <w:t xml:space="preserve">                       </w:t>
      </w:r>
      <w:r>
        <w:rPr>
          <w:rFonts w:ascii="Century Gothic" w:hAnsi="Century Gothic"/>
          <w:sz w:val="20"/>
          <w:szCs w:val="19"/>
        </w:rPr>
        <w:t xml:space="preserve"> 10.000 Feuerlöscher x 30% = </w:t>
      </w:r>
      <w:r>
        <w:rPr>
          <w:rFonts w:ascii="Century Gothic" w:hAnsi="Century Gothic"/>
          <w:b/>
          <w:sz w:val="20"/>
          <w:szCs w:val="19"/>
        </w:rPr>
        <w:t xml:space="preserve">3.000 </w:t>
      </w:r>
      <w:proofErr w:type="spellStart"/>
      <w:r w:rsidR="009351E1">
        <w:rPr>
          <w:rFonts w:ascii="Century Gothic" w:hAnsi="Century Gothic"/>
          <w:b/>
          <w:sz w:val="20"/>
          <w:szCs w:val="19"/>
        </w:rPr>
        <w:t>Stk</w:t>
      </w:r>
      <w:proofErr w:type="spellEnd"/>
      <w:r w:rsidR="009351E1">
        <w:rPr>
          <w:rFonts w:ascii="Century Gothic" w:hAnsi="Century Gothic"/>
          <w:b/>
          <w:sz w:val="20"/>
          <w:szCs w:val="19"/>
        </w:rPr>
        <w:t>.</w:t>
      </w:r>
    </w:p>
    <w:p w:rsidR="00C8785F" w:rsidRDefault="00C8785F" w:rsidP="00023532">
      <w:pPr>
        <w:pStyle w:val="StandardWeb"/>
        <w:tabs>
          <w:tab w:val="left" w:pos="5529"/>
        </w:tabs>
        <w:spacing w:before="120" w:beforeAutospacing="0" w:after="120" w:afterAutospacing="0"/>
        <w:ind w:left="357"/>
        <w:rPr>
          <w:rFonts w:ascii="Century Gothic" w:hAnsi="Century Gothic"/>
          <w:sz w:val="20"/>
          <w:szCs w:val="19"/>
        </w:rPr>
      </w:pPr>
      <w:r>
        <w:rPr>
          <w:rFonts w:ascii="Century Gothic" w:hAnsi="Century Gothic"/>
          <w:b/>
          <w:sz w:val="20"/>
          <w:szCs w:val="19"/>
        </w:rPr>
        <w:t>Wert der Verpflichtung</w:t>
      </w:r>
      <w:r>
        <w:rPr>
          <w:rFonts w:ascii="Century Gothic" w:hAnsi="Century Gothic"/>
          <w:sz w:val="20"/>
          <w:szCs w:val="19"/>
        </w:rPr>
        <w:t xml:space="preserve"> auf Basis der aktuellen </w:t>
      </w:r>
      <w:r>
        <w:rPr>
          <w:rFonts w:ascii="Century Gothic" w:hAnsi="Century Gothic"/>
          <w:sz w:val="20"/>
          <w:szCs w:val="19"/>
        </w:rPr>
        <w:br/>
        <w:t>Kostenschätzungen (inkl. Preissteigerungen):</w:t>
      </w:r>
      <w:r>
        <w:rPr>
          <w:rFonts w:ascii="Century Gothic" w:hAnsi="Century Gothic"/>
          <w:sz w:val="20"/>
          <w:szCs w:val="19"/>
        </w:rPr>
        <w:tab/>
        <w:t xml:space="preserve">         3.000 </w:t>
      </w:r>
      <w:proofErr w:type="spellStart"/>
      <w:r>
        <w:rPr>
          <w:rFonts w:ascii="Century Gothic" w:hAnsi="Century Gothic"/>
          <w:sz w:val="20"/>
          <w:szCs w:val="19"/>
        </w:rPr>
        <w:t>Stk</w:t>
      </w:r>
      <w:proofErr w:type="spellEnd"/>
      <w:r>
        <w:rPr>
          <w:rFonts w:ascii="Century Gothic" w:hAnsi="Century Gothic"/>
          <w:sz w:val="20"/>
          <w:szCs w:val="19"/>
        </w:rPr>
        <w:t xml:space="preserve">. X 20 EUR = </w:t>
      </w:r>
      <w:r>
        <w:rPr>
          <w:rFonts w:ascii="Century Gothic" w:hAnsi="Century Gothic"/>
          <w:b/>
          <w:sz w:val="20"/>
          <w:szCs w:val="19"/>
        </w:rPr>
        <w:t>60.000</w:t>
      </w:r>
      <w:r w:rsidR="009351E1">
        <w:rPr>
          <w:rFonts w:ascii="Century Gothic" w:hAnsi="Century Gothic"/>
          <w:b/>
          <w:sz w:val="20"/>
          <w:szCs w:val="19"/>
        </w:rPr>
        <w:t xml:space="preserve"> EUR</w:t>
      </w:r>
    </w:p>
    <w:p w:rsidR="00C8785F" w:rsidRDefault="00C8785F" w:rsidP="00023532">
      <w:pPr>
        <w:pStyle w:val="StandardWeb"/>
        <w:tabs>
          <w:tab w:val="left" w:pos="5529"/>
        </w:tabs>
        <w:spacing w:before="120" w:beforeAutospacing="0" w:after="120" w:afterAutospacing="0"/>
        <w:ind w:left="357"/>
        <w:rPr>
          <w:rFonts w:ascii="Century Gothic" w:hAnsi="Century Gothic"/>
          <w:b/>
          <w:color w:val="FF0000"/>
          <w:sz w:val="20"/>
          <w:szCs w:val="19"/>
        </w:rPr>
      </w:pPr>
      <w:r>
        <w:rPr>
          <w:rFonts w:ascii="Century Gothic" w:hAnsi="Century Gothic"/>
          <w:b/>
          <w:sz w:val="20"/>
          <w:szCs w:val="19"/>
        </w:rPr>
        <w:t>Abzinsung</w:t>
      </w:r>
      <w:r>
        <w:rPr>
          <w:rFonts w:ascii="Century Gothic" w:hAnsi="Century Gothic"/>
          <w:sz w:val="20"/>
          <w:szCs w:val="19"/>
        </w:rPr>
        <w:t xml:space="preserve"> bei 5 Jahren Laufzeit:</w:t>
      </w:r>
      <w:r>
        <w:rPr>
          <w:rFonts w:ascii="Century Gothic" w:hAnsi="Century Gothic"/>
          <w:sz w:val="20"/>
          <w:szCs w:val="19"/>
        </w:rPr>
        <w:tab/>
        <w:t xml:space="preserve">    60.000 EUR /</w:t>
      </w:r>
      <w:r w:rsidR="009351E1">
        <w:rPr>
          <w:rFonts w:ascii="Century Gothic" w:hAnsi="Century Gothic"/>
          <w:sz w:val="20"/>
          <w:szCs w:val="19"/>
        </w:rPr>
        <w:t xml:space="preserve"> </w:t>
      </w:r>
      <w:r>
        <w:rPr>
          <w:rFonts w:ascii="Century Gothic" w:hAnsi="Century Gothic"/>
          <w:sz w:val="20"/>
          <w:szCs w:val="19"/>
        </w:rPr>
        <w:t>(1,03)´`5 =</w:t>
      </w:r>
      <w:r>
        <w:rPr>
          <w:rFonts w:ascii="Century Gothic" w:hAnsi="Century Gothic"/>
          <w:b/>
          <w:sz w:val="20"/>
          <w:szCs w:val="19"/>
        </w:rPr>
        <w:t xml:space="preserve"> </w:t>
      </w:r>
      <w:r>
        <w:rPr>
          <w:rFonts w:ascii="Century Gothic" w:hAnsi="Century Gothic"/>
          <w:b/>
          <w:color w:val="FF0000"/>
          <w:sz w:val="20"/>
          <w:szCs w:val="19"/>
        </w:rPr>
        <w:t xml:space="preserve">51.757 </w:t>
      </w:r>
      <w:r w:rsidR="009351E1">
        <w:rPr>
          <w:rFonts w:ascii="Century Gothic" w:hAnsi="Century Gothic"/>
          <w:b/>
          <w:color w:val="FF0000"/>
          <w:sz w:val="20"/>
          <w:szCs w:val="19"/>
        </w:rPr>
        <w:t>EUR</w:t>
      </w:r>
    </w:p>
    <w:p w:rsidR="00C8785F" w:rsidRDefault="00C8785F" w:rsidP="00D2786A">
      <w:pPr>
        <w:pStyle w:val="StandardWeb"/>
        <w:spacing w:after="0" w:afterAutospacing="0"/>
        <w:rPr>
          <w:rFonts w:ascii="Century Gothic" w:hAnsi="Century Gothic"/>
          <w:b/>
          <w:color w:val="00B0F0"/>
          <w:sz w:val="20"/>
          <w:szCs w:val="19"/>
        </w:rPr>
      </w:pPr>
      <w:r>
        <w:rPr>
          <w:rFonts w:ascii="Century Gothic" w:hAnsi="Century Gothic"/>
          <w:b/>
          <w:color w:val="00B0F0"/>
          <w:sz w:val="20"/>
          <w:szCs w:val="19"/>
        </w:rPr>
        <w:t xml:space="preserve">C. Fazit:  </w:t>
      </w:r>
    </w:p>
    <w:p w:rsidR="00C8785F" w:rsidRDefault="00C8785F" w:rsidP="00D2786A">
      <w:pPr>
        <w:pStyle w:val="StandardWeb"/>
        <w:spacing w:before="120" w:beforeAutospacing="0"/>
        <w:rPr>
          <w:rFonts w:ascii="Century Gothic" w:hAnsi="Century Gothic"/>
          <w:b/>
          <w:sz w:val="20"/>
          <w:szCs w:val="19"/>
        </w:rPr>
      </w:pPr>
      <w:r>
        <w:rPr>
          <w:rFonts w:ascii="Century Gothic" w:hAnsi="Century Gothic"/>
          <w:sz w:val="20"/>
          <w:szCs w:val="19"/>
        </w:rPr>
        <w:t xml:space="preserve">Zum Stichtag hat die </w:t>
      </w:r>
      <w:proofErr w:type="spellStart"/>
      <w:r>
        <w:rPr>
          <w:rFonts w:ascii="Century Gothic" w:hAnsi="Century Gothic"/>
          <w:sz w:val="20"/>
          <w:szCs w:val="19"/>
        </w:rPr>
        <w:t>FireSafe</w:t>
      </w:r>
      <w:proofErr w:type="spellEnd"/>
      <w:r>
        <w:rPr>
          <w:rFonts w:ascii="Century Gothic" w:hAnsi="Century Gothic"/>
          <w:sz w:val="20"/>
          <w:szCs w:val="19"/>
        </w:rPr>
        <w:t xml:space="preserve"> GmbH handelsrechtlich eine </w:t>
      </w:r>
      <w:r>
        <w:rPr>
          <w:rFonts w:ascii="Century Gothic" w:hAnsi="Century Gothic"/>
          <w:b/>
          <w:sz w:val="20"/>
          <w:szCs w:val="19"/>
        </w:rPr>
        <w:t xml:space="preserve">Rücknahmeverpflichtung in Höhe von 51.757 EUR zu passivieren. </w:t>
      </w:r>
    </w:p>
    <w:p w:rsidR="007B195D" w:rsidRDefault="007B195D">
      <w:pPr>
        <w:spacing w:before="0"/>
        <w:jc w:val="left"/>
        <w:rPr>
          <w:szCs w:val="32"/>
        </w:rPr>
      </w:pPr>
    </w:p>
    <w:sectPr w:rsidR="007B195D" w:rsidSect="00163360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099" w:right="1701" w:bottom="1134" w:left="1134" w:header="113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F76" w:rsidRDefault="005C6F76">
      <w:pPr>
        <w:spacing w:before="0"/>
      </w:pPr>
      <w:r>
        <w:separator/>
      </w:r>
    </w:p>
  </w:endnote>
  <w:endnote w:type="continuationSeparator" w:id="0">
    <w:p w:rsidR="005C6F76" w:rsidRDefault="005C6F7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344"/>
      <w:gridCol w:w="4491"/>
      <w:gridCol w:w="2237"/>
    </w:tblGrid>
    <w:tr w:rsidR="00E72E48" w:rsidRPr="006407A6" w:rsidTr="006407A6">
      <w:trPr>
        <w:trHeight w:hRule="exact" w:val="1191"/>
        <w:jc w:val="center"/>
      </w:trPr>
      <w:tc>
        <w:tcPr>
          <w:tcW w:w="2376" w:type="dxa"/>
          <w:vAlign w:val="bottom"/>
        </w:tcPr>
        <w:p w:rsidR="00E72E48" w:rsidRPr="006407A6" w:rsidRDefault="00E72E48" w:rsidP="007C5B77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r w:rsidRPr="00E72E48">
            <w:rPr>
              <w:sz w:val="20"/>
            </w:rPr>
            <w:t xml:space="preserve">Seite </w:t>
          </w:r>
          <w:r w:rsidRPr="006407A6">
            <w:rPr>
              <w:sz w:val="20"/>
            </w:rPr>
            <w:fldChar w:fldCharType="begin"/>
          </w:r>
          <w:r w:rsidRPr="006407A6">
            <w:rPr>
              <w:sz w:val="20"/>
            </w:rPr>
            <w:instrText>PAGE   \* MERGEFORMAT</w:instrText>
          </w:r>
          <w:r w:rsidRPr="006407A6">
            <w:rPr>
              <w:sz w:val="20"/>
            </w:rPr>
            <w:fldChar w:fldCharType="separate"/>
          </w:r>
          <w:r w:rsidRPr="006407A6">
            <w:rPr>
              <w:sz w:val="20"/>
            </w:rPr>
            <w:t>1</w:t>
          </w:r>
          <w:r w:rsidRPr="006407A6">
            <w:rPr>
              <w:sz w:val="20"/>
            </w:rPr>
            <w:fldChar w:fldCharType="end"/>
          </w:r>
          <w:r w:rsidRPr="006407A6">
            <w:rPr>
              <w:sz w:val="20"/>
            </w:rPr>
            <w:t xml:space="preserve"> </w:t>
          </w:r>
          <w:sdt>
            <w:sdtPr>
              <w:rPr>
                <w:sz w:val="20"/>
              </w:rPr>
              <w:id w:val="1262869080"/>
              <w:docPartObj>
                <w:docPartGallery w:val="Page Numbers (Top of Page)"/>
                <w:docPartUnique/>
              </w:docPartObj>
            </w:sdtPr>
            <w:sdtEndPr/>
            <w:sdtContent>
              <w:r w:rsidRPr="006407A6">
                <w:rPr>
                  <w:sz w:val="20"/>
                </w:rPr>
                <w:t xml:space="preserve">von </w:t>
              </w:r>
              <w:r w:rsidRPr="006407A6">
                <w:rPr>
                  <w:sz w:val="20"/>
                </w:rPr>
                <w:fldChar w:fldCharType="begin"/>
              </w:r>
              <w:r w:rsidRPr="006407A6">
                <w:rPr>
                  <w:sz w:val="20"/>
                </w:rPr>
                <w:instrText xml:space="preserve"> NUMPAGES  \* Arabic  \* MERGEFORMAT </w:instrText>
              </w:r>
              <w:r w:rsidRPr="006407A6">
                <w:rPr>
                  <w:sz w:val="20"/>
                </w:rPr>
                <w:fldChar w:fldCharType="separate"/>
              </w:r>
              <w:r w:rsidRPr="006407A6">
                <w:rPr>
                  <w:sz w:val="20"/>
                </w:rPr>
                <w:t>5</w:t>
              </w:r>
              <w:r w:rsidRPr="006407A6">
                <w:rPr>
                  <w:sz w:val="20"/>
                </w:rPr>
                <w:fldChar w:fldCharType="end"/>
              </w:r>
            </w:sdtContent>
          </w:sdt>
        </w:p>
        <w:p w:rsidR="00E72E48" w:rsidRPr="006407A6" w:rsidRDefault="00E72E48" w:rsidP="007C5B77">
          <w:pPr>
            <w:tabs>
              <w:tab w:val="left" w:pos="2100"/>
            </w:tabs>
            <w:spacing w:before="0"/>
            <w:jc w:val="left"/>
            <w:rPr>
              <w:b/>
              <w:sz w:val="18"/>
              <w:szCs w:val="18"/>
            </w:rPr>
          </w:pPr>
          <w:r w:rsidRPr="006407A6">
            <w:rPr>
              <w:b/>
              <w:color w:val="00B0F0"/>
              <w:sz w:val="18"/>
              <w:szCs w:val="18"/>
            </w:rPr>
            <w:t>U</w:t>
          </w:r>
          <w:r w:rsidR="00A865BB">
            <w:rPr>
              <w:b/>
              <w:color w:val="00B0F0"/>
              <w:sz w:val="18"/>
              <w:szCs w:val="18"/>
            </w:rPr>
            <w:t>WP 3</w:t>
          </w:r>
          <w:r w:rsidRPr="006407A6">
            <w:rPr>
              <w:b/>
              <w:color w:val="00B0F0"/>
              <w:sz w:val="18"/>
              <w:szCs w:val="18"/>
            </w:rPr>
            <w:t xml:space="preserve"> 2025</w:t>
          </w:r>
        </w:p>
      </w:tc>
      <w:tc>
        <w:tcPr>
          <w:tcW w:w="4536" w:type="dxa"/>
          <w:vAlign w:val="bottom"/>
        </w:tcPr>
        <w:p w:rsidR="00E72E48" w:rsidRDefault="00C8785F" w:rsidP="006407A6">
          <w:pPr>
            <w:tabs>
              <w:tab w:val="left" w:pos="2100"/>
            </w:tabs>
            <w:spacing w:before="0"/>
            <w:jc w:val="center"/>
            <w:rPr>
              <w:sz w:val="20"/>
            </w:rPr>
          </w:pPr>
          <w:r>
            <w:rPr>
              <w:noProof/>
            </w:rPr>
            <w:drawing>
              <wp:inline distT="0" distB="0" distL="0" distR="0" wp14:anchorId="2190BC5E" wp14:editId="489720B7">
                <wp:extent cx="1198063" cy="342000"/>
                <wp:effectExtent l="0" t="0" r="2540" b="127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8063" cy="34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bottom"/>
        </w:tcPr>
        <w:p w:rsidR="00E72E48" w:rsidRPr="006407A6" w:rsidRDefault="00E72E48" w:rsidP="00C8785F">
          <w:pPr>
            <w:tabs>
              <w:tab w:val="left" w:pos="2100"/>
            </w:tabs>
            <w:spacing w:before="0"/>
            <w:ind w:right="-108"/>
            <w:jc w:val="right"/>
            <w:rPr>
              <w:b/>
              <w:sz w:val="20"/>
            </w:rPr>
          </w:pPr>
          <w:r w:rsidRPr="006407A6">
            <w:rPr>
              <w:b/>
              <w:color w:val="00B0F0"/>
              <w:sz w:val="20"/>
            </w:rPr>
            <w:t xml:space="preserve">Praxishilfe </w:t>
          </w:r>
          <w:r w:rsidR="00A865BB">
            <w:rPr>
              <w:b/>
              <w:color w:val="00B0F0"/>
              <w:sz w:val="20"/>
            </w:rPr>
            <w:t>3/</w:t>
          </w:r>
          <w:r w:rsidRPr="006407A6">
            <w:rPr>
              <w:b/>
              <w:color w:val="00B0F0"/>
              <w:sz w:val="20"/>
            </w:rPr>
            <w:t>1</w:t>
          </w:r>
        </w:p>
      </w:tc>
    </w:tr>
  </w:tbl>
  <w:p w:rsidR="00567A77" w:rsidRPr="007C5B77" w:rsidRDefault="00567A77" w:rsidP="007C5B77">
    <w:pPr>
      <w:pStyle w:val="Fuzeile"/>
      <w:spacing w:before="0"/>
      <w:rPr>
        <w:rFonts w:eastAsiaTheme="minorHAnsi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7C5B77" w:rsidTr="006407A6">
      <w:trPr>
        <w:trHeight w:hRule="exact" w:val="1333"/>
      </w:trPr>
      <w:tc>
        <w:tcPr>
          <w:tcW w:w="2694" w:type="dxa"/>
          <w:vAlign w:val="bottom"/>
        </w:tcPr>
        <w:p w:rsidR="007C5B77" w:rsidRPr="005F3383" w:rsidRDefault="007C5B77" w:rsidP="007C5B77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:rsidR="007C5B77" w:rsidRPr="005F3383" w:rsidRDefault="007C5B77" w:rsidP="007C5B77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</w:t>
          </w:r>
          <w:r w:rsidR="004155E7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WP 3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</w:t>
          </w:r>
          <w:r w:rsidR="005B4841"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5</w:t>
          </w:r>
        </w:p>
      </w:tc>
      <w:tc>
        <w:tcPr>
          <w:tcW w:w="4143" w:type="dxa"/>
          <w:vAlign w:val="bottom"/>
        </w:tcPr>
        <w:p w:rsidR="007C5B77" w:rsidRPr="00E9143F" w:rsidRDefault="00E9143F" w:rsidP="005E5AC3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</w:pPr>
          <w:r>
            <w:rPr>
              <w:noProof/>
            </w:rPr>
            <w:drawing>
              <wp:inline distT="0" distB="0" distL="0" distR="0" wp14:anchorId="2D7FFDA2" wp14:editId="2232001A">
                <wp:extent cx="1198063" cy="342000"/>
                <wp:effectExtent l="0" t="0" r="2540" b="1270"/>
                <wp:docPr id="15" name="Grafik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8063" cy="34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:rsidR="007C5B77" w:rsidRPr="0009625D" w:rsidRDefault="007C5B77" w:rsidP="00E72E48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</w:t>
          </w:r>
          <w:r w:rsidR="0014588B"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axis</w:t>
          </w: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hilfe</w:t>
          </w:r>
          <w:r w:rsid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C8785F">
            <w:rPr>
              <w:rFonts w:eastAsiaTheme="minorHAnsi" w:cstheme="minorBidi"/>
              <w:b/>
              <w:color w:val="00B0F0"/>
              <w:sz w:val="20"/>
              <w:lang w:eastAsia="en-US"/>
            </w:rPr>
            <w:t>10</w:t>
          </w:r>
          <w:r w:rsidR="005E5AC3">
            <w:rPr>
              <w:rFonts w:eastAsiaTheme="minorHAnsi" w:cstheme="minorBidi"/>
              <w:b/>
              <w:color w:val="00B0F0"/>
              <w:sz w:val="20"/>
              <w:lang w:eastAsia="en-US"/>
            </w:rPr>
            <w:t>/</w:t>
          </w:r>
          <w:r w:rsidR="00C8785F">
            <w:rPr>
              <w:rFonts w:eastAsiaTheme="minorHAnsi" w:cstheme="minorBidi"/>
              <w:b/>
              <w:color w:val="00B0F0"/>
              <w:sz w:val="20"/>
              <w:lang w:eastAsia="en-US"/>
            </w:rPr>
            <w:t>2</w:t>
          </w:r>
        </w:p>
      </w:tc>
    </w:tr>
  </w:tbl>
  <w:p w:rsidR="00567A77" w:rsidRPr="007C5B77" w:rsidRDefault="00567A77" w:rsidP="00163360">
    <w:pPr>
      <w:tabs>
        <w:tab w:val="center" w:pos="4536"/>
        <w:tab w:val="right" w:pos="9072"/>
        <w:tab w:val="left" w:pos="9781"/>
      </w:tabs>
      <w:spacing w:before="0"/>
      <w:rPr>
        <w:rFonts w:eastAsiaTheme="minorHAnsi"/>
        <w:sz w:val="8"/>
        <w:szCs w:val="8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F76" w:rsidRDefault="005C6F76" w:rsidP="00EE217B">
      <w:pPr>
        <w:pStyle w:val="Fuzeile"/>
      </w:pPr>
    </w:p>
    <w:p w:rsidR="005C6F76" w:rsidRPr="00EE217B" w:rsidRDefault="005C6F76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5C6F76" w:rsidRDefault="005C6F76" w:rsidP="00711AB6">
      <w:pPr>
        <w:spacing w:before="0"/>
        <w:jc w:val="center"/>
      </w:pPr>
    </w:p>
    <w:p w:rsidR="005C6F76" w:rsidRPr="00711AB6" w:rsidRDefault="005C6F76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A77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:rsidR="00567A77" w:rsidRDefault="00567A77" w:rsidP="003C699D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  <w:p w:rsidR="00567A77" w:rsidRPr="00665F75" w:rsidRDefault="00567A77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A77" w:rsidRPr="003C699D" w:rsidRDefault="00567A77" w:rsidP="00A15352">
    <w:pPr>
      <w:pStyle w:val="Kopfzeile"/>
      <w:pBdr>
        <w:bottom w:val="none" w:sz="0" w:space="0" w:color="auto"/>
      </w:pBdr>
      <w:spacing w:before="0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108164F"/>
    <w:multiLevelType w:val="hybridMultilevel"/>
    <w:tmpl w:val="1354D2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E1E90"/>
    <w:multiLevelType w:val="hybridMultilevel"/>
    <w:tmpl w:val="56C40D4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4F2036"/>
    <w:multiLevelType w:val="hybridMultilevel"/>
    <w:tmpl w:val="F4B08A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7110A66"/>
    <w:multiLevelType w:val="hybridMultilevel"/>
    <w:tmpl w:val="2FD6A9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560A9"/>
    <w:multiLevelType w:val="hybridMultilevel"/>
    <w:tmpl w:val="6596ADAC"/>
    <w:lvl w:ilvl="0" w:tplc="1B18E5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3C09DA"/>
    <w:multiLevelType w:val="hybridMultilevel"/>
    <w:tmpl w:val="B6241CC6"/>
    <w:lvl w:ilvl="0" w:tplc="202ED2C6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54B06"/>
    <w:multiLevelType w:val="hybridMultilevel"/>
    <w:tmpl w:val="63F2BF06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72DE103B"/>
    <w:multiLevelType w:val="hybridMultilevel"/>
    <w:tmpl w:val="22EAF6CA"/>
    <w:lvl w:ilvl="0" w:tplc="6090F8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3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21"/>
  </w:num>
  <w:num w:numId="12">
    <w:abstractNumId w:val="12"/>
  </w:num>
  <w:num w:numId="13">
    <w:abstractNumId w:val="14"/>
  </w:num>
  <w:num w:numId="14">
    <w:abstractNumId w:val="20"/>
  </w:num>
  <w:num w:numId="15">
    <w:abstractNumId w:val="16"/>
  </w:num>
  <w:num w:numId="16">
    <w:abstractNumId w:val="15"/>
  </w:num>
  <w:num w:numId="17">
    <w:abstractNumId w:val="13"/>
  </w:num>
  <w:num w:numId="18">
    <w:abstractNumId w:val="22"/>
  </w:num>
  <w:num w:numId="19">
    <w:abstractNumId w:val="9"/>
  </w:num>
  <w:num w:numId="20">
    <w:abstractNumId w:val="19"/>
  </w:num>
  <w:num w:numId="21">
    <w:abstractNumId w:val="18"/>
  </w:num>
  <w:num w:numId="22">
    <w:abstractNumId w:val="11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CB"/>
    <w:rsid w:val="00002230"/>
    <w:rsid w:val="00002EED"/>
    <w:rsid w:val="000030A9"/>
    <w:rsid w:val="0001477C"/>
    <w:rsid w:val="0002222B"/>
    <w:rsid w:val="00023532"/>
    <w:rsid w:val="0002748A"/>
    <w:rsid w:val="00030081"/>
    <w:rsid w:val="0003242D"/>
    <w:rsid w:val="0004061E"/>
    <w:rsid w:val="000503CF"/>
    <w:rsid w:val="0005326E"/>
    <w:rsid w:val="000616B8"/>
    <w:rsid w:val="00063F4E"/>
    <w:rsid w:val="00064F40"/>
    <w:rsid w:val="00075E7C"/>
    <w:rsid w:val="00080B9A"/>
    <w:rsid w:val="00086B8A"/>
    <w:rsid w:val="0009344D"/>
    <w:rsid w:val="0009625D"/>
    <w:rsid w:val="00097B2B"/>
    <w:rsid w:val="000B1337"/>
    <w:rsid w:val="000E26F7"/>
    <w:rsid w:val="00104187"/>
    <w:rsid w:val="00111AC6"/>
    <w:rsid w:val="001205E2"/>
    <w:rsid w:val="00143536"/>
    <w:rsid w:val="00143F11"/>
    <w:rsid w:val="0014588B"/>
    <w:rsid w:val="00162F77"/>
    <w:rsid w:val="00163360"/>
    <w:rsid w:val="00165A53"/>
    <w:rsid w:val="00180880"/>
    <w:rsid w:val="00181773"/>
    <w:rsid w:val="00184E10"/>
    <w:rsid w:val="0019585B"/>
    <w:rsid w:val="001A1B58"/>
    <w:rsid w:val="001B3F50"/>
    <w:rsid w:val="001B7E25"/>
    <w:rsid w:val="001C0D6B"/>
    <w:rsid w:val="001C1789"/>
    <w:rsid w:val="001C49BB"/>
    <w:rsid w:val="001D22E2"/>
    <w:rsid w:val="001E1F96"/>
    <w:rsid w:val="001E38E2"/>
    <w:rsid w:val="001E7A82"/>
    <w:rsid w:val="001F04DD"/>
    <w:rsid w:val="002065BE"/>
    <w:rsid w:val="0021047B"/>
    <w:rsid w:val="00213C34"/>
    <w:rsid w:val="00226794"/>
    <w:rsid w:val="00241C76"/>
    <w:rsid w:val="00253B82"/>
    <w:rsid w:val="00257647"/>
    <w:rsid w:val="002657AE"/>
    <w:rsid w:val="002717FB"/>
    <w:rsid w:val="00283F41"/>
    <w:rsid w:val="00284FA6"/>
    <w:rsid w:val="00285560"/>
    <w:rsid w:val="00285C0D"/>
    <w:rsid w:val="00290924"/>
    <w:rsid w:val="0029592F"/>
    <w:rsid w:val="002A064F"/>
    <w:rsid w:val="002B17CE"/>
    <w:rsid w:val="002B298F"/>
    <w:rsid w:val="002B37AC"/>
    <w:rsid w:val="002B529F"/>
    <w:rsid w:val="002B7BA2"/>
    <w:rsid w:val="002D0908"/>
    <w:rsid w:val="002D7E2D"/>
    <w:rsid w:val="002F09D8"/>
    <w:rsid w:val="002F2A78"/>
    <w:rsid w:val="002F6B99"/>
    <w:rsid w:val="002F771F"/>
    <w:rsid w:val="00304799"/>
    <w:rsid w:val="0031086B"/>
    <w:rsid w:val="00340216"/>
    <w:rsid w:val="00342964"/>
    <w:rsid w:val="00352142"/>
    <w:rsid w:val="00360F3D"/>
    <w:rsid w:val="00364269"/>
    <w:rsid w:val="00376DCD"/>
    <w:rsid w:val="00381A9D"/>
    <w:rsid w:val="00382BCD"/>
    <w:rsid w:val="003932A1"/>
    <w:rsid w:val="003953DF"/>
    <w:rsid w:val="003A6FEB"/>
    <w:rsid w:val="003B420D"/>
    <w:rsid w:val="003C57A5"/>
    <w:rsid w:val="003C699D"/>
    <w:rsid w:val="003E348F"/>
    <w:rsid w:val="003E5835"/>
    <w:rsid w:val="003F1B18"/>
    <w:rsid w:val="004076E9"/>
    <w:rsid w:val="0041402E"/>
    <w:rsid w:val="004155E7"/>
    <w:rsid w:val="00416098"/>
    <w:rsid w:val="004248A0"/>
    <w:rsid w:val="00433509"/>
    <w:rsid w:val="00440D21"/>
    <w:rsid w:val="0044561D"/>
    <w:rsid w:val="00445BB8"/>
    <w:rsid w:val="0044742E"/>
    <w:rsid w:val="00454705"/>
    <w:rsid w:val="00465DB3"/>
    <w:rsid w:val="004867BC"/>
    <w:rsid w:val="0049126F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5CDB"/>
    <w:rsid w:val="00527267"/>
    <w:rsid w:val="00534A4B"/>
    <w:rsid w:val="005473EF"/>
    <w:rsid w:val="0055136F"/>
    <w:rsid w:val="0055156D"/>
    <w:rsid w:val="00567521"/>
    <w:rsid w:val="00567A77"/>
    <w:rsid w:val="00583AA1"/>
    <w:rsid w:val="00590DC2"/>
    <w:rsid w:val="005913EC"/>
    <w:rsid w:val="005921A2"/>
    <w:rsid w:val="005967E6"/>
    <w:rsid w:val="005B4841"/>
    <w:rsid w:val="005B57D7"/>
    <w:rsid w:val="005B7F7F"/>
    <w:rsid w:val="005C1C85"/>
    <w:rsid w:val="005C3B25"/>
    <w:rsid w:val="005C5708"/>
    <w:rsid w:val="005C6F76"/>
    <w:rsid w:val="005D1825"/>
    <w:rsid w:val="005D26BD"/>
    <w:rsid w:val="005D2A74"/>
    <w:rsid w:val="005E07BD"/>
    <w:rsid w:val="005E5AC3"/>
    <w:rsid w:val="005E7803"/>
    <w:rsid w:val="005F3383"/>
    <w:rsid w:val="005F6F40"/>
    <w:rsid w:val="00632C1A"/>
    <w:rsid w:val="006407A6"/>
    <w:rsid w:val="006454CF"/>
    <w:rsid w:val="0065198F"/>
    <w:rsid w:val="006521FF"/>
    <w:rsid w:val="00665F75"/>
    <w:rsid w:val="0066763B"/>
    <w:rsid w:val="00672D01"/>
    <w:rsid w:val="00684B37"/>
    <w:rsid w:val="00692868"/>
    <w:rsid w:val="0069494D"/>
    <w:rsid w:val="006C4228"/>
    <w:rsid w:val="006D366A"/>
    <w:rsid w:val="006D45A1"/>
    <w:rsid w:val="006E24F6"/>
    <w:rsid w:val="006E7126"/>
    <w:rsid w:val="007026D1"/>
    <w:rsid w:val="00705106"/>
    <w:rsid w:val="00711AB6"/>
    <w:rsid w:val="00716DD5"/>
    <w:rsid w:val="00720E5C"/>
    <w:rsid w:val="00737BF1"/>
    <w:rsid w:val="00742EA1"/>
    <w:rsid w:val="00744772"/>
    <w:rsid w:val="007506E6"/>
    <w:rsid w:val="007626C5"/>
    <w:rsid w:val="00763FC1"/>
    <w:rsid w:val="007648E0"/>
    <w:rsid w:val="00765666"/>
    <w:rsid w:val="0078728B"/>
    <w:rsid w:val="00790130"/>
    <w:rsid w:val="00796513"/>
    <w:rsid w:val="007A060E"/>
    <w:rsid w:val="007A2E82"/>
    <w:rsid w:val="007A3E0C"/>
    <w:rsid w:val="007B1945"/>
    <w:rsid w:val="007B195D"/>
    <w:rsid w:val="007C5B77"/>
    <w:rsid w:val="007D3976"/>
    <w:rsid w:val="007E0249"/>
    <w:rsid w:val="007F3A7C"/>
    <w:rsid w:val="008000CB"/>
    <w:rsid w:val="00802ED4"/>
    <w:rsid w:val="00805892"/>
    <w:rsid w:val="0081072B"/>
    <w:rsid w:val="008248D3"/>
    <w:rsid w:val="00834366"/>
    <w:rsid w:val="00840C2B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C6D44"/>
    <w:rsid w:val="008D1A8E"/>
    <w:rsid w:val="008E0D82"/>
    <w:rsid w:val="008E0FC7"/>
    <w:rsid w:val="008F75E7"/>
    <w:rsid w:val="009062E6"/>
    <w:rsid w:val="009075A9"/>
    <w:rsid w:val="009212B4"/>
    <w:rsid w:val="009219D5"/>
    <w:rsid w:val="009351E1"/>
    <w:rsid w:val="00940184"/>
    <w:rsid w:val="0095198B"/>
    <w:rsid w:val="00963275"/>
    <w:rsid w:val="00970211"/>
    <w:rsid w:val="009760D0"/>
    <w:rsid w:val="0099236A"/>
    <w:rsid w:val="00995EE2"/>
    <w:rsid w:val="009A6E64"/>
    <w:rsid w:val="009C2FF2"/>
    <w:rsid w:val="009C6EFB"/>
    <w:rsid w:val="009D429E"/>
    <w:rsid w:val="009E1FB1"/>
    <w:rsid w:val="009E4194"/>
    <w:rsid w:val="009E4C28"/>
    <w:rsid w:val="009F6E01"/>
    <w:rsid w:val="00A06317"/>
    <w:rsid w:val="00A075E6"/>
    <w:rsid w:val="00A15352"/>
    <w:rsid w:val="00A237ED"/>
    <w:rsid w:val="00A31197"/>
    <w:rsid w:val="00A5114A"/>
    <w:rsid w:val="00A613A1"/>
    <w:rsid w:val="00A649A3"/>
    <w:rsid w:val="00A7113B"/>
    <w:rsid w:val="00A75CE3"/>
    <w:rsid w:val="00A8486F"/>
    <w:rsid w:val="00A865BB"/>
    <w:rsid w:val="00A87EAD"/>
    <w:rsid w:val="00A87FE5"/>
    <w:rsid w:val="00A946ED"/>
    <w:rsid w:val="00A96CF9"/>
    <w:rsid w:val="00AA65D6"/>
    <w:rsid w:val="00AB0EBF"/>
    <w:rsid w:val="00AB3372"/>
    <w:rsid w:val="00AC17EE"/>
    <w:rsid w:val="00AE290A"/>
    <w:rsid w:val="00AF1983"/>
    <w:rsid w:val="00B13741"/>
    <w:rsid w:val="00B15817"/>
    <w:rsid w:val="00B1680D"/>
    <w:rsid w:val="00B21EEF"/>
    <w:rsid w:val="00B22993"/>
    <w:rsid w:val="00B24C33"/>
    <w:rsid w:val="00B261B2"/>
    <w:rsid w:val="00B367CE"/>
    <w:rsid w:val="00B62D3C"/>
    <w:rsid w:val="00B6345C"/>
    <w:rsid w:val="00B66516"/>
    <w:rsid w:val="00B73242"/>
    <w:rsid w:val="00B77530"/>
    <w:rsid w:val="00B9620D"/>
    <w:rsid w:val="00BA02EC"/>
    <w:rsid w:val="00BA1533"/>
    <w:rsid w:val="00BA1564"/>
    <w:rsid w:val="00BA7590"/>
    <w:rsid w:val="00BC6A51"/>
    <w:rsid w:val="00BD2864"/>
    <w:rsid w:val="00BD37FF"/>
    <w:rsid w:val="00BD62C0"/>
    <w:rsid w:val="00BD7776"/>
    <w:rsid w:val="00BE368B"/>
    <w:rsid w:val="00BF0354"/>
    <w:rsid w:val="00BF2B89"/>
    <w:rsid w:val="00BF7EB9"/>
    <w:rsid w:val="00C24E59"/>
    <w:rsid w:val="00C30D7D"/>
    <w:rsid w:val="00C43D74"/>
    <w:rsid w:val="00C45CD7"/>
    <w:rsid w:val="00C470A2"/>
    <w:rsid w:val="00C61048"/>
    <w:rsid w:val="00C81429"/>
    <w:rsid w:val="00C8522D"/>
    <w:rsid w:val="00C8785F"/>
    <w:rsid w:val="00C915CD"/>
    <w:rsid w:val="00C91AC1"/>
    <w:rsid w:val="00C940C7"/>
    <w:rsid w:val="00CA5FDE"/>
    <w:rsid w:val="00CA6FFC"/>
    <w:rsid w:val="00CB24C7"/>
    <w:rsid w:val="00CC19EF"/>
    <w:rsid w:val="00CC4696"/>
    <w:rsid w:val="00CD1A9A"/>
    <w:rsid w:val="00CD4117"/>
    <w:rsid w:val="00CE73C2"/>
    <w:rsid w:val="00D13BD1"/>
    <w:rsid w:val="00D2786A"/>
    <w:rsid w:val="00D45365"/>
    <w:rsid w:val="00D61222"/>
    <w:rsid w:val="00DA6374"/>
    <w:rsid w:val="00DB3534"/>
    <w:rsid w:val="00DB3B77"/>
    <w:rsid w:val="00DC5CF9"/>
    <w:rsid w:val="00DD3447"/>
    <w:rsid w:val="00DD5810"/>
    <w:rsid w:val="00DE04D4"/>
    <w:rsid w:val="00DE10AB"/>
    <w:rsid w:val="00DE2B44"/>
    <w:rsid w:val="00DE5B92"/>
    <w:rsid w:val="00DE7A5F"/>
    <w:rsid w:val="00E016C0"/>
    <w:rsid w:val="00E106C4"/>
    <w:rsid w:val="00E211D2"/>
    <w:rsid w:val="00E342CA"/>
    <w:rsid w:val="00E368C3"/>
    <w:rsid w:val="00E36B17"/>
    <w:rsid w:val="00E378AE"/>
    <w:rsid w:val="00E50734"/>
    <w:rsid w:val="00E54CF5"/>
    <w:rsid w:val="00E57522"/>
    <w:rsid w:val="00E57793"/>
    <w:rsid w:val="00E61BCD"/>
    <w:rsid w:val="00E72E48"/>
    <w:rsid w:val="00E77518"/>
    <w:rsid w:val="00E9143F"/>
    <w:rsid w:val="00EA2ACF"/>
    <w:rsid w:val="00EA74B3"/>
    <w:rsid w:val="00EC00F0"/>
    <w:rsid w:val="00EE217B"/>
    <w:rsid w:val="00EE6A9D"/>
    <w:rsid w:val="00EF2558"/>
    <w:rsid w:val="00F029CC"/>
    <w:rsid w:val="00F02A61"/>
    <w:rsid w:val="00F2421E"/>
    <w:rsid w:val="00F3121A"/>
    <w:rsid w:val="00F35247"/>
    <w:rsid w:val="00F43427"/>
    <w:rsid w:val="00F508B7"/>
    <w:rsid w:val="00F51F9C"/>
    <w:rsid w:val="00F579A0"/>
    <w:rsid w:val="00F607DD"/>
    <w:rsid w:val="00F641F7"/>
    <w:rsid w:val="00F672A4"/>
    <w:rsid w:val="00F67FF5"/>
    <w:rsid w:val="00F87375"/>
    <w:rsid w:val="00F920AB"/>
    <w:rsid w:val="00FA1E51"/>
    <w:rsid w:val="00FB19BE"/>
    <w:rsid w:val="00FB74D4"/>
    <w:rsid w:val="00FD0600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8AE9505C-A661-4298-A389-E6E9086F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C8785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C878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C636041C-7B5D-4A95-98A6-253B5D2B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</Template>
  <TotalTime>0</TotalTime>
  <Pages>1</Pages>
  <Words>241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Benz, Sarah - LÖSLE</dc:creator>
  <cp:lastModifiedBy>Ufkes, Christina - LÖSLE</cp:lastModifiedBy>
  <cp:revision>24</cp:revision>
  <cp:lastPrinted>2025-10-12T11:12:00Z</cp:lastPrinted>
  <dcterms:created xsi:type="dcterms:W3CDTF">2025-09-30T14:08:00Z</dcterms:created>
  <dcterms:modified xsi:type="dcterms:W3CDTF">2025-10-12T11:12:00Z</dcterms:modified>
</cp:coreProperties>
</file>