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209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ECFF"/>
        <w:tblLook w:val="04A0" w:firstRow="1" w:lastRow="0" w:firstColumn="1" w:lastColumn="0" w:noHBand="0" w:noVBand="1"/>
      </w:tblPr>
      <w:tblGrid>
        <w:gridCol w:w="20979"/>
      </w:tblGrid>
      <w:tr w:rsidR="002305AB" w:rsidRPr="002305AB" w14:paraId="6689C5B0" w14:textId="77777777" w:rsidTr="00955F00">
        <w:tc>
          <w:tcPr>
            <w:tcW w:w="20979" w:type="dxa"/>
            <w:shd w:val="clear" w:color="auto" w:fill="CCECFF"/>
            <w:tcMar>
              <w:top w:w="113" w:type="dxa"/>
              <w:bottom w:w="113" w:type="dxa"/>
            </w:tcMar>
          </w:tcPr>
          <w:p w14:paraId="5AC8DB16" w14:textId="30F0A809" w:rsidR="007336B6" w:rsidRPr="007336B6" w:rsidRDefault="00F55229" w:rsidP="002851E6">
            <w:pPr>
              <w:pStyle w:val="berschrift1"/>
              <w:numPr>
                <w:ilvl w:val="0"/>
                <w:numId w:val="0"/>
              </w:numPr>
              <w:ind w:left="709" w:hanging="709"/>
              <w:rPr>
                <w:rFonts w:ascii="Century Gothic" w:hAnsi="Century Gothic"/>
                <w:color w:val="00B0F0"/>
              </w:rPr>
            </w:pPr>
            <w:r>
              <w:rPr>
                <w:rFonts w:ascii="Century Gothic" w:hAnsi="Century Gothic"/>
                <w:color w:val="00B0F0"/>
              </w:rPr>
              <w:t>ISA [DE] 520: Anwendungsbeispiel</w:t>
            </w:r>
            <w:r w:rsidR="0041107A">
              <w:rPr>
                <w:rFonts w:ascii="Century Gothic" w:hAnsi="Century Gothic"/>
                <w:color w:val="00B0F0"/>
              </w:rPr>
              <w:t xml:space="preserve"> </w:t>
            </w:r>
            <w:r w:rsidR="00C66712">
              <w:rPr>
                <w:rFonts w:ascii="Century Gothic" w:hAnsi="Century Gothic"/>
                <w:color w:val="00B0F0"/>
              </w:rPr>
              <w:t>„B</w:t>
            </w:r>
            <w:r w:rsidR="00241858">
              <w:rPr>
                <w:rFonts w:ascii="Century Gothic" w:hAnsi="Century Gothic"/>
                <w:color w:val="00B0F0"/>
              </w:rPr>
              <w:t xml:space="preserve">essere – weniger </w:t>
            </w:r>
            <w:r w:rsidR="002851E6">
              <w:rPr>
                <w:rFonts w:ascii="Century Gothic" w:hAnsi="Century Gothic"/>
                <w:color w:val="00B0F0"/>
              </w:rPr>
              <w:t>sinnvolle“</w:t>
            </w:r>
            <w:r w:rsidR="007336B6">
              <w:rPr>
                <w:rFonts w:ascii="Century Gothic" w:hAnsi="Century Gothic"/>
                <w:color w:val="00B0F0"/>
              </w:rPr>
              <w:t xml:space="preserve"> analytische Prüfungshandlungen</w:t>
            </w:r>
          </w:p>
        </w:tc>
      </w:tr>
    </w:tbl>
    <w:p w14:paraId="4E71E3F4" w14:textId="7CD57AFE" w:rsidR="00955F00" w:rsidRDefault="00955F00" w:rsidP="00EA66E7">
      <w:pPr>
        <w:spacing w:before="0"/>
        <w:rPr>
          <w:sz w:val="20"/>
        </w:rPr>
      </w:pPr>
    </w:p>
    <w:p w14:paraId="0242DA84" w14:textId="7825CA64" w:rsidR="003B7177" w:rsidRPr="00F55229" w:rsidRDefault="00F55229" w:rsidP="00F55229">
      <w:pPr>
        <w:spacing w:before="0"/>
        <w:rPr>
          <w:b/>
          <w:color w:val="00B0F0"/>
          <w:sz w:val="28"/>
        </w:rPr>
      </w:pPr>
      <w:r>
        <w:rPr>
          <w:b/>
          <w:color w:val="00B0F0"/>
          <w:sz w:val="28"/>
        </w:rPr>
        <w:t>Teil 1:</w:t>
      </w:r>
      <w:r w:rsidR="002851E6">
        <w:rPr>
          <w:b/>
          <w:color w:val="00B0F0"/>
          <w:sz w:val="28"/>
        </w:rPr>
        <w:t xml:space="preserve"> Überlegungen in </w:t>
      </w:r>
      <w:r w:rsidR="003B7177" w:rsidRPr="00F55229">
        <w:rPr>
          <w:b/>
          <w:color w:val="00B0F0"/>
          <w:sz w:val="28"/>
        </w:rPr>
        <w:t>Abhängigkeit von</w:t>
      </w:r>
      <w:r w:rsidR="00241858">
        <w:rPr>
          <w:b/>
          <w:color w:val="00B0F0"/>
          <w:sz w:val="28"/>
        </w:rPr>
        <w:t xml:space="preserve"> den </w:t>
      </w:r>
      <w:r w:rsidR="003B7177" w:rsidRPr="00F55229">
        <w:rPr>
          <w:b/>
          <w:color w:val="00B0F0"/>
          <w:sz w:val="28"/>
        </w:rPr>
        <w:t>Prüffeldern</w:t>
      </w:r>
    </w:p>
    <w:p w14:paraId="59C5A962" w14:textId="525E6560" w:rsidR="00955F00" w:rsidRDefault="00955F00" w:rsidP="00EA66E7">
      <w:pPr>
        <w:spacing w:before="0"/>
        <w:rPr>
          <w:sz w:val="20"/>
        </w:rPr>
      </w:pPr>
    </w:p>
    <w:p w14:paraId="0EFFED9F" w14:textId="3993EE52" w:rsidR="005E7292" w:rsidRPr="002C6854" w:rsidRDefault="005E7292" w:rsidP="00EA66E7">
      <w:pPr>
        <w:spacing w:before="0"/>
        <w:rPr>
          <w:sz w:val="20"/>
        </w:rPr>
      </w:pPr>
    </w:p>
    <w:tbl>
      <w:tblPr>
        <w:tblStyle w:val="HelleListe-Akzent1"/>
        <w:tblW w:w="20979" w:type="dxa"/>
        <w:tblInd w:w="1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85" w:type="dxa"/>
          <w:bottom w:w="85" w:type="dxa"/>
        </w:tblCellMar>
        <w:tblLook w:val="04A0" w:firstRow="1" w:lastRow="0" w:firstColumn="1" w:lastColumn="0" w:noHBand="0" w:noVBand="1"/>
      </w:tblPr>
      <w:tblGrid>
        <w:gridCol w:w="2029"/>
        <w:gridCol w:w="2863"/>
        <w:gridCol w:w="6129"/>
        <w:gridCol w:w="8824"/>
        <w:gridCol w:w="1134"/>
      </w:tblGrid>
      <w:tr w:rsidR="00F55229" w:rsidRPr="00C15DA1" w14:paraId="4BB215EE" w14:textId="77777777" w:rsidTr="004F64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2" w:type="dxa"/>
            <w:gridSpan w:val="2"/>
            <w:tcBorders>
              <w:top w:val="nil"/>
              <w:left w:val="nil"/>
              <w:bottom w:val="single" w:sz="8" w:space="0" w:color="000000" w:themeColor="text1"/>
            </w:tcBorders>
            <w:shd w:val="clear" w:color="auto" w:fill="auto"/>
          </w:tcPr>
          <w:p w14:paraId="0B4BAF27" w14:textId="77777777" w:rsidR="00F55229" w:rsidRPr="00C15DA1" w:rsidRDefault="00F55229">
            <w:pPr>
              <w:spacing w:before="0"/>
              <w:rPr>
                <w:color w:val="000000" w:themeColor="text1"/>
                <w:sz w:val="20"/>
              </w:rPr>
            </w:pPr>
          </w:p>
        </w:tc>
        <w:tc>
          <w:tcPr>
            <w:tcW w:w="6129" w:type="dxa"/>
            <w:tcBorders>
              <w:bottom w:val="single" w:sz="8" w:space="0" w:color="000000" w:themeColor="text1"/>
            </w:tcBorders>
            <w:shd w:val="clear" w:color="auto" w:fill="FFFFA3"/>
            <w:vAlign w:val="center"/>
          </w:tcPr>
          <w:p w14:paraId="718B1C18" w14:textId="77777777" w:rsidR="00F55229" w:rsidRPr="00C15DA1" w:rsidRDefault="00F55229" w:rsidP="00F55229">
            <w:pPr>
              <w:spacing w:before="0"/>
              <w:jc w:val="left"/>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C15DA1">
              <w:rPr>
                <w:color w:val="000000" w:themeColor="text1"/>
                <w:sz w:val="20"/>
              </w:rPr>
              <w:t>besser</w:t>
            </w:r>
          </w:p>
        </w:tc>
        <w:tc>
          <w:tcPr>
            <w:tcW w:w="8824" w:type="dxa"/>
            <w:tcBorders>
              <w:bottom w:val="single" w:sz="8" w:space="0" w:color="000000" w:themeColor="text1"/>
              <w:right w:val="single" w:sz="4" w:space="0" w:color="auto"/>
            </w:tcBorders>
            <w:shd w:val="clear" w:color="auto" w:fill="FF0000"/>
            <w:vAlign w:val="center"/>
          </w:tcPr>
          <w:p w14:paraId="00C1B604" w14:textId="5BF7610E" w:rsidR="00F55229" w:rsidRPr="004F64F8" w:rsidRDefault="00241858" w:rsidP="002851E6">
            <w:pPr>
              <w:spacing w:before="0"/>
              <w:jc w:val="left"/>
              <w:cnfStyle w:val="100000000000" w:firstRow="1" w:lastRow="0" w:firstColumn="0" w:lastColumn="0" w:oddVBand="0" w:evenVBand="0" w:oddHBand="0" w:evenHBand="0" w:firstRowFirstColumn="0" w:firstRowLastColumn="0" w:lastRowFirstColumn="0" w:lastRowLastColumn="0"/>
              <w:rPr>
                <w:sz w:val="20"/>
              </w:rPr>
            </w:pPr>
            <w:r w:rsidRPr="004F64F8">
              <w:rPr>
                <w:sz w:val="20"/>
              </w:rPr>
              <w:t xml:space="preserve">weniger </w:t>
            </w:r>
            <w:r w:rsidR="002851E6" w:rsidRPr="004F64F8">
              <w:rPr>
                <w:sz w:val="20"/>
              </w:rPr>
              <w:t>sinnvoll</w:t>
            </w:r>
          </w:p>
        </w:tc>
        <w:tc>
          <w:tcPr>
            <w:tcW w:w="1134" w:type="dxa"/>
            <w:tcBorders>
              <w:bottom w:val="single" w:sz="8" w:space="0" w:color="000000" w:themeColor="text1"/>
              <w:right w:val="single" w:sz="4" w:space="0" w:color="auto"/>
            </w:tcBorders>
            <w:shd w:val="clear" w:color="auto" w:fill="FFFFA3"/>
          </w:tcPr>
          <w:p w14:paraId="22705D25" w14:textId="78102696" w:rsidR="00F55229" w:rsidRPr="00C15DA1" w:rsidRDefault="00710EC8" w:rsidP="00710EC8">
            <w:pPr>
              <w:spacing w:before="0"/>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 xml:space="preserve">Tz. </w:t>
            </w:r>
            <w:r w:rsidR="00F55229">
              <w:rPr>
                <w:color w:val="000000" w:themeColor="text1"/>
                <w:sz w:val="20"/>
              </w:rPr>
              <w:t>Nr.</w:t>
            </w:r>
          </w:p>
        </w:tc>
      </w:tr>
      <w:tr w:rsidR="00F55229" w14:paraId="3327465D"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val="restart"/>
            <w:tcBorders>
              <w:top w:val="single" w:sz="8" w:space="0" w:color="000000" w:themeColor="text1"/>
              <w:left w:val="single" w:sz="4" w:space="0" w:color="auto"/>
              <w:bottom w:val="single" w:sz="8" w:space="0" w:color="000000" w:themeColor="text1"/>
            </w:tcBorders>
            <w:shd w:val="clear" w:color="auto" w:fill="D9D9D9" w:themeFill="background1" w:themeFillShade="D9"/>
            <w:vAlign w:val="center"/>
          </w:tcPr>
          <w:p w14:paraId="0A00275D" w14:textId="77777777" w:rsidR="00F55229" w:rsidRPr="00F55229" w:rsidRDefault="00F55229" w:rsidP="00C15DA1">
            <w:pPr>
              <w:spacing w:before="0"/>
              <w:jc w:val="left"/>
              <w:rPr>
                <w:color w:val="00B0F0"/>
                <w:sz w:val="20"/>
              </w:rPr>
            </w:pPr>
            <w:r w:rsidRPr="00F55229">
              <w:rPr>
                <w:color w:val="00B0F0"/>
                <w:sz w:val="20"/>
              </w:rPr>
              <w:t>Vorratsvermögen</w:t>
            </w:r>
          </w:p>
        </w:tc>
        <w:tc>
          <w:tcPr>
            <w:tcW w:w="2863" w:type="dxa"/>
            <w:tcBorders>
              <w:top w:val="single" w:sz="8" w:space="0" w:color="000000" w:themeColor="text1"/>
              <w:bottom w:val="single" w:sz="8" w:space="0" w:color="000000" w:themeColor="text1"/>
            </w:tcBorders>
            <w:vAlign w:val="center"/>
          </w:tcPr>
          <w:p w14:paraId="42F2D920" w14:textId="77777777" w:rsidR="00F55229" w:rsidRPr="00F55229" w:rsidRDefault="00F55229" w:rsidP="00C15DA1">
            <w:pPr>
              <w:spacing w:before="0"/>
              <w:jc w:val="left"/>
              <w:cnfStyle w:val="000000100000" w:firstRow="0" w:lastRow="0" w:firstColumn="0" w:lastColumn="0" w:oddVBand="0" w:evenVBand="0" w:oddHBand="1" w:evenHBand="0" w:firstRowFirstColumn="0" w:firstRowLastColumn="0" w:lastRowFirstColumn="0" w:lastRowLastColumn="0"/>
              <w:rPr>
                <w:b/>
                <w:sz w:val="20"/>
              </w:rPr>
            </w:pPr>
            <w:r w:rsidRPr="00F55229">
              <w:rPr>
                <w:b/>
                <w:sz w:val="20"/>
              </w:rPr>
              <w:t>Kennzahlen</w:t>
            </w:r>
          </w:p>
        </w:tc>
        <w:tc>
          <w:tcPr>
            <w:tcW w:w="6129" w:type="dxa"/>
            <w:tcBorders>
              <w:top w:val="single" w:sz="8" w:space="0" w:color="000000" w:themeColor="text1"/>
              <w:bottom w:val="single" w:sz="8" w:space="0" w:color="000000" w:themeColor="text1"/>
            </w:tcBorders>
            <w:vAlign w:val="center"/>
          </w:tcPr>
          <w:p w14:paraId="79807F42" w14:textId="77777777" w:rsidR="00F55229" w:rsidRPr="00F55229" w:rsidRDefault="00F55229" w:rsidP="00F55229">
            <w:pPr>
              <w:pStyle w:val="Listenabsatz"/>
              <w:numPr>
                <w:ilvl w:val="0"/>
                <w:numId w:val="13"/>
              </w:numPr>
              <w:spacing w:before="0"/>
              <w:jc w:val="left"/>
              <w:cnfStyle w:val="000000100000" w:firstRow="0" w:lastRow="0" w:firstColumn="0" w:lastColumn="0" w:oddVBand="0" w:evenVBand="0" w:oddHBand="1" w:evenHBand="0" w:firstRowFirstColumn="0" w:firstRowLastColumn="0" w:lastRowFirstColumn="0" w:lastRowLastColumn="0"/>
              <w:rPr>
                <w:sz w:val="20"/>
              </w:rPr>
            </w:pPr>
            <w:r w:rsidRPr="00F55229">
              <w:rPr>
                <w:sz w:val="20"/>
              </w:rPr>
              <w:t>Umschlagshäufigkeit = Periodenabgang/durchschn. Vorratsbestand</w:t>
            </w:r>
          </w:p>
          <w:p w14:paraId="519EF0A0" w14:textId="77777777" w:rsidR="00F55229" w:rsidRDefault="00F55229" w:rsidP="00F55229">
            <w:pPr>
              <w:pStyle w:val="Listenabsatz"/>
              <w:numPr>
                <w:ilvl w:val="0"/>
                <w:numId w:val="13"/>
              </w:numPr>
              <w:spacing w:before="0"/>
              <w:jc w:val="left"/>
              <w:cnfStyle w:val="000000100000" w:firstRow="0" w:lastRow="0" w:firstColumn="0" w:lastColumn="0" w:oddVBand="0" w:evenVBand="0" w:oddHBand="1" w:evenHBand="0" w:firstRowFirstColumn="0" w:firstRowLastColumn="0" w:lastRowFirstColumn="0" w:lastRowLastColumn="0"/>
              <w:rPr>
                <w:sz w:val="20"/>
              </w:rPr>
            </w:pPr>
            <w:r w:rsidRPr="00601D3E">
              <w:rPr>
                <w:b/>
                <w:sz w:val="20"/>
              </w:rPr>
              <w:t>Anstieg</w:t>
            </w:r>
            <w:r w:rsidRPr="00601D3E">
              <w:rPr>
                <w:sz w:val="20"/>
              </w:rPr>
              <w:t xml:space="preserve">: kann </w:t>
            </w:r>
            <w:r>
              <w:rPr>
                <w:sz w:val="20"/>
              </w:rPr>
              <w:t xml:space="preserve">z. B. ein </w:t>
            </w:r>
            <w:r w:rsidRPr="00601D3E">
              <w:rPr>
                <w:sz w:val="20"/>
              </w:rPr>
              <w:t>Hinweis auf Unterbewertung wegen unvollständiger Best</w:t>
            </w:r>
            <w:r>
              <w:rPr>
                <w:sz w:val="20"/>
              </w:rPr>
              <w:t>andsaufnahme oder unübliche Differenzen bei der Bestandsaufnahme sein</w:t>
            </w:r>
          </w:p>
          <w:p w14:paraId="59820875" w14:textId="77777777" w:rsidR="00F55229" w:rsidRPr="00601D3E" w:rsidRDefault="00F55229" w:rsidP="00F55229">
            <w:pPr>
              <w:pStyle w:val="Listenabsatz"/>
              <w:numPr>
                <w:ilvl w:val="0"/>
                <w:numId w:val="13"/>
              </w:numPr>
              <w:spacing w:before="0"/>
              <w:jc w:val="left"/>
              <w:cnfStyle w:val="000000100000" w:firstRow="0" w:lastRow="0" w:firstColumn="0" w:lastColumn="0" w:oddVBand="0" w:evenVBand="0" w:oddHBand="1" w:evenHBand="0" w:firstRowFirstColumn="0" w:firstRowLastColumn="0" w:lastRowFirstColumn="0" w:lastRowLastColumn="0"/>
              <w:rPr>
                <w:sz w:val="20"/>
              </w:rPr>
            </w:pPr>
            <w:r>
              <w:rPr>
                <w:b/>
                <w:sz w:val="20"/>
              </w:rPr>
              <w:t>Rückgang</w:t>
            </w:r>
            <w:r w:rsidRPr="00601D3E">
              <w:rPr>
                <w:sz w:val="20"/>
              </w:rPr>
              <w:t>:</w:t>
            </w:r>
            <w:r>
              <w:rPr>
                <w:sz w:val="20"/>
              </w:rPr>
              <w:t xml:space="preserve"> kann z. B. ein Hinweis auf die Nichtberücksichtigung von notwendigen Abwertungen sein</w:t>
            </w:r>
          </w:p>
        </w:tc>
        <w:tc>
          <w:tcPr>
            <w:tcW w:w="8824" w:type="dxa"/>
            <w:tcBorders>
              <w:top w:val="single" w:sz="8" w:space="0" w:color="000000" w:themeColor="text1"/>
              <w:bottom w:val="single" w:sz="8" w:space="0" w:color="000000" w:themeColor="text1"/>
              <w:right w:val="single" w:sz="4" w:space="0" w:color="auto"/>
            </w:tcBorders>
            <w:shd w:val="clear" w:color="auto" w:fill="F2DBDB"/>
          </w:tcPr>
          <w:p w14:paraId="6C8B64A4" w14:textId="77777777" w:rsidR="00F55229" w:rsidRPr="00F55229" w:rsidRDefault="00F55229" w:rsidP="00B74EB2">
            <w:pPr>
              <w:pStyle w:val="Listenabsatz"/>
              <w:numPr>
                <w:ilvl w:val="0"/>
                <w:numId w:val="13"/>
              </w:numPr>
              <w:spacing w:before="0"/>
              <w:jc w:val="left"/>
              <w:cnfStyle w:val="000000100000" w:firstRow="0" w:lastRow="0" w:firstColumn="0" w:lastColumn="0" w:oddVBand="0" w:evenVBand="0" w:oddHBand="1" w:evenHBand="0" w:firstRowFirstColumn="0" w:firstRowLastColumn="0" w:lastRowFirstColumn="0" w:lastRowLastColumn="0"/>
              <w:rPr>
                <w:sz w:val="20"/>
              </w:rPr>
            </w:pPr>
            <w:r w:rsidRPr="00F55229">
              <w:rPr>
                <w:sz w:val="20"/>
              </w:rPr>
              <w:t>Vorratsintensität= Vorratsvermögen/Gesamtvermögen</w:t>
            </w:r>
          </w:p>
          <w:p w14:paraId="3AA0D63F" w14:textId="1D63DDD9" w:rsidR="00F55229" w:rsidRPr="00F55229" w:rsidRDefault="00F55229" w:rsidP="00B74EB2">
            <w:pPr>
              <w:pStyle w:val="Listenabsatz"/>
              <w:numPr>
                <w:ilvl w:val="0"/>
                <w:numId w:val="13"/>
              </w:numPr>
              <w:spacing w:before="0"/>
              <w:jc w:val="left"/>
              <w:cnfStyle w:val="000000100000" w:firstRow="0" w:lastRow="0" w:firstColumn="0" w:lastColumn="0" w:oddVBand="0" w:evenVBand="0" w:oddHBand="1" w:evenHBand="0" w:firstRowFirstColumn="0" w:firstRowLastColumn="0" w:lastRowFirstColumn="0" w:lastRowLastColumn="0"/>
              <w:rPr>
                <w:sz w:val="20"/>
              </w:rPr>
            </w:pPr>
            <w:r w:rsidRPr="00F55229">
              <w:rPr>
                <w:sz w:val="20"/>
              </w:rPr>
              <w:t>Aussagekraft ist geringer, da es sich bei dem Gesamtvermögen um eine stark verdichtete Größe handelt, deren Höhe von vielen Faktoren abhängt und stichtagsbezogen ist</w:t>
            </w:r>
          </w:p>
        </w:tc>
        <w:tc>
          <w:tcPr>
            <w:tcW w:w="1134" w:type="dxa"/>
            <w:tcBorders>
              <w:top w:val="single" w:sz="8" w:space="0" w:color="000000" w:themeColor="text1"/>
              <w:bottom w:val="single" w:sz="8" w:space="0" w:color="000000" w:themeColor="text1"/>
              <w:right w:val="single" w:sz="4" w:space="0" w:color="auto"/>
            </w:tcBorders>
          </w:tcPr>
          <w:p w14:paraId="474813AA" w14:textId="77777777" w:rsidR="00F55229" w:rsidRDefault="00F55229"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p>
        </w:tc>
      </w:tr>
      <w:tr w:rsidR="00F55229" w14:paraId="1B6A98F7" w14:textId="77777777" w:rsidTr="00241858">
        <w:tc>
          <w:tcPr>
            <w:cnfStyle w:val="001000000000" w:firstRow="0" w:lastRow="0" w:firstColumn="1" w:lastColumn="0" w:oddVBand="0" w:evenVBand="0" w:oddHBand="0" w:evenHBand="0" w:firstRowFirstColumn="0" w:firstRowLastColumn="0" w:lastRowFirstColumn="0" w:lastRowLastColumn="0"/>
            <w:tcW w:w="2029" w:type="dxa"/>
            <w:vMerge/>
            <w:tcBorders>
              <w:left w:val="single" w:sz="4" w:space="0" w:color="auto"/>
            </w:tcBorders>
            <w:shd w:val="clear" w:color="auto" w:fill="D9D9D9" w:themeFill="background1" w:themeFillShade="D9"/>
            <w:vAlign w:val="center"/>
          </w:tcPr>
          <w:p w14:paraId="04C31CF4" w14:textId="77777777" w:rsidR="00F55229" w:rsidRPr="00F55229" w:rsidRDefault="00F55229" w:rsidP="00C15DA1">
            <w:pPr>
              <w:spacing w:before="0"/>
              <w:jc w:val="left"/>
              <w:rPr>
                <w:color w:val="00B0F0"/>
                <w:sz w:val="20"/>
              </w:rPr>
            </w:pPr>
          </w:p>
        </w:tc>
        <w:tc>
          <w:tcPr>
            <w:tcW w:w="2863" w:type="dxa"/>
            <w:vAlign w:val="center"/>
          </w:tcPr>
          <w:p w14:paraId="4C3A74D6" w14:textId="77777777" w:rsidR="00F55229" w:rsidRPr="00F55229" w:rsidRDefault="00F55229" w:rsidP="00C15DA1">
            <w:pPr>
              <w:spacing w:before="0"/>
              <w:jc w:val="left"/>
              <w:cnfStyle w:val="000000000000" w:firstRow="0" w:lastRow="0" w:firstColumn="0" w:lastColumn="0" w:oddVBand="0" w:evenVBand="0" w:oddHBand="0" w:evenHBand="0" w:firstRowFirstColumn="0" w:firstRowLastColumn="0" w:lastRowFirstColumn="0" w:lastRowLastColumn="0"/>
              <w:rPr>
                <w:b/>
                <w:sz w:val="20"/>
              </w:rPr>
            </w:pPr>
            <w:r w:rsidRPr="00F55229">
              <w:rPr>
                <w:b/>
                <w:sz w:val="20"/>
              </w:rPr>
              <w:t>Trendanalyse</w:t>
            </w:r>
          </w:p>
        </w:tc>
        <w:tc>
          <w:tcPr>
            <w:tcW w:w="14953" w:type="dxa"/>
            <w:gridSpan w:val="2"/>
            <w:tcBorders>
              <w:right w:val="single" w:sz="4" w:space="0" w:color="auto"/>
            </w:tcBorders>
            <w:vAlign w:val="center"/>
          </w:tcPr>
          <w:p w14:paraId="79A1186B" w14:textId="77777777" w:rsidR="00F55229" w:rsidRPr="00F55229" w:rsidRDefault="00F55229" w:rsidP="00F55229">
            <w:pPr>
              <w:pStyle w:val="Listenabsatz"/>
              <w:numPr>
                <w:ilvl w:val="0"/>
                <w:numId w:val="19"/>
              </w:numPr>
              <w:spacing w:before="0"/>
              <w:ind w:left="387" w:hanging="387"/>
              <w:jc w:val="left"/>
              <w:cnfStyle w:val="000000000000" w:firstRow="0" w:lastRow="0" w:firstColumn="0" w:lastColumn="0" w:oddVBand="0" w:evenVBand="0" w:oddHBand="0" w:evenHBand="0" w:firstRowFirstColumn="0" w:firstRowLastColumn="0" w:lastRowFirstColumn="0" w:lastRowLastColumn="0"/>
              <w:rPr>
                <w:sz w:val="20"/>
              </w:rPr>
            </w:pPr>
            <w:r w:rsidRPr="00F55229">
              <w:rPr>
                <w:sz w:val="20"/>
              </w:rPr>
              <w:t>Durch unterjährige Ermittlung des Vorratsvermögens z. B. im Rahmen von Monats- oder Quartalsabschlüssen kann durch eine Trendanalyse ein für den Jahresabschluss erwarteter Wert(-</w:t>
            </w:r>
            <w:proofErr w:type="spellStart"/>
            <w:r w:rsidRPr="00F55229">
              <w:rPr>
                <w:sz w:val="20"/>
              </w:rPr>
              <w:t>ebereich</w:t>
            </w:r>
            <w:proofErr w:type="spellEnd"/>
            <w:r w:rsidRPr="00F55229">
              <w:rPr>
                <w:sz w:val="20"/>
              </w:rPr>
              <w:t>) ermittelt werden.</w:t>
            </w:r>
          </w:p>
        </w:tc>
        <w:tc>
          <w:tcPr>
            <w:tcW w:w="1134" w:type="dxa"/>
            <w:tcBorders>
              <w:right w:val="single" w:sz="4" w:space="0" w:color="auto"/>
            </w:tcBorders>
          </w:tcPr>
          <w:p w14:paraId="3432C98B" w14:textId="77777777" w:rsidR="00F55229" w:rsidRDefault="00F55229" w:rsidP="00F55229">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p>
        </w:tc>
      </w:tr>
      <w:tr w:rsidR="00F55229" w14:paraId="532CF875"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val="restart"/>
            <w:tcBorders>
              <w:top w:val="single" w:sz="8" w:space="0" w:color="000000" w:themeColor="text1"/>
              <w:left w:val="single" w:sz="4" w:space="0" w:color="auto"/>
              <w:bottom w:val="single" w:sz="8" w:space="0" w:color="000000" w:themeColor="text1"/>
            </w:tcBorders>
            <w:shd w:val="clear" w:color="auto" w:fill="D9D9D9" w:themeFill="background1" w:themeFillShade="D9"/>
            <w:vAlign w:val="center"/>
          </w:tcPr>
          <w:p w14:paraId="637AE96F" w14:textId="77777777" w:rsidR="00F55229" w:rsidRPr="00F55229" w:rsidRDefault="00F55229" w:rsidP="00C15DA1">
            <w:pPr>
              <w:spacing w:before="0"/>
              <w:jc w:val="left"/>
              <w:rPr>
                <w:color w:val="00B0F0"/>
                <w:sz w:val="20"/>
              </w:rPr>
            </w:pPr>
            <w:r w:rsidRPr="00F55229">
              <w:rPr>
                <w:color w:val="00B0F0"/>
                <w:sz w:val="20"/>
              </w:rPr>
              <w:t>Forderungen</w:t>
            </w:r>
          </w:p>
        </w:tc>
        <w:tc>
          <w:tcPr>
            <w:tcW w:w="2863" w:type="dxa"/>
            <w:tcBorders>
              <w:top w:val="single" w:sz="8" w:space="0" w:color="000000" w:themeColor="text1"/>
              <w:bottom w:val="single" w:sz="8" w:space="0" w:color="000000" w:themeColor="text1"/>
            </w:tcBorders>
            <w:vAlign w:val="center"/>
          </w:tcPr>
          <w:p w14:paraId="7D5A3FE1" w14:textId="77777777" w:rsidR="00F55229" w:rsidRPr="00F55229" w:rsidRDefault="00F55229" w:rsidP="00C15DA1">
            <w:pPr>
              <w:spacing w:before="0"/>
              <w:jc w:val="left"/>
              <w:cnfStyle w:val="000000100000" w:firstRow="0" w:lastRow="0" w:firstColumn="0" w:lastColumn="0" w:oddVBand="0" w:evenVBand="0" w:oddHBand="1" w:evenHBand="0" w:firstRowFirstColumn="0" w:firstRowLastColumn="0" w:lastRowFirstColumn="0" w:lastRowLastColumn="0"/>
              <w:rPr>
                <w:b/>
                <w:sz w:val="20"/>
              </w:rPr>
            </w:pPr>
            <w:r w:rsidRPr="00F55229">
              <w:rPr>
                <w:b/>
                <w:sz w:val="20"/>
              </w:rPr>
              <w:t>Kennzahlen</w:t>
            </w:r>
          </w:p>
        </w:tc>
        <w:tc>
          <w:tcPr>
            <w:tcW w:w="6129" w:type="dxa"/>
            <w:tcBorders>
              <w:top w:val="single" w:sz="8" w:space="0" w:color="000000" w:themeColor="text1"/>
              <w:bottom w:val="single" w:sz="8" w:space="0" w:color="000000" w:themeColor="text1"/>
            </w:tcBorders>
            <w:vAlign w:val="center"/>
          </w:tcPr>
          <w:p w14:paraId="0A51A4E9" w14:textId="77777777" w:rsidR="00F55229" w:rsidRPr="00241858" w:rsidRDefault="00F55229" w:rsidP="004F64F8">
            <w:pPr>
              <w:pStyle w:val="Listenabsatz"/>
              <w:numPr>
                <w:ilvl w:val="0"/>
                <w:numId w:val="19"/>
              </w:numPr>
              <w:spacing w:before="0"/>
              <w:ind w:left="387" w:hanging="387"/>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Einteilung der Forderungen nach der Altersstruktur (30, 60, 90, … Tage)</w:t>
            </w:r>
          </w:p>
          <w:p w14:paraId="79303005" w14:textId="77777777" w:rsidR="00F55229" w:rsidRPr="00241858" w:rsidRDefault="00F55229" w:rsidP="004F64F8">
            <w:pPr>
              <w:pStyle w:val="Listenabsatz"/>
              <w:numPr>
                <w:ilvl w:val="0"/>
                <w:numId w:val="19"/>
              </w:numPr>
              <w:spacing w:before="0"/>
              <w:ind w:left="387" w:hanging="387"/>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Relation Forderungen bis 30/60/90… Tage alt/Forderungsbestand</w:t>
            </w:r>
          </w:p>
        </w:tc>
        <w:tc>
          <w:tcPr>
            <w:tcW w:w="8824" w:type="dxa"/>
            <w:tcBorders>
              <w:top w:val="single" w:sz="8" w:space="0" w:color="000000" w:themeColor="text1"/>
              <w:bottom w:val="single" w:sz="8" w:space="0" w:color="000000" w:themeColor="text1"/>
              <w:right w:val="single" w:sz="4" w:space="0" w:color="auto"/>
            </w:tcBorders>
            <w:shd w:val="clear" w:color="auto" w:fill="F2DBDB"/>
            <w:vAlign w:val="center"/>
          </w:tcPr>
          <w:p w14:paraId="48AF248E" w14:textId="4CACBD26" w:rsidR="00F55229" w:rsidRPr="00F55229" w:rsidRDefault="00F55229" w:rsidP="00710EC8">
            <w:pPr>
              <w:pStyle w:val="Listenabsatz"/>
              <w:numPr>
                <w:ilvl w:val="0"/>
                <w:numId w:val="19"/>
              </w:numPr>
              <w:spacing w:before="0"/>
              <w:ind w:left="355" w:hanging="355"/>
              <w:jc w:val="left"/>
              <w:cnfStyle w:val="000000100000" w:firstRow="0" w:lastRow="0" w:firstColumn="0" w:lastColumn="0" w:oddVBand="0" w:evenVBand="0" w:oddHBand="1" w:evenHBand="0" w:firstRowFirstColumn="0" w:firstRowLastColumn="0" w:lastRowFirstColumn="0" w:lastRowLastColumn="0"/>
              <w:rPr>
                <w:sz w:val="20"/>
              </w:rPr>
            </w:pPr>
            <w:r w:rsidRPr="00F55229">
              <w:rPr>
                <w:sz w:val="20"/>
              </w:rPr>
              <w:t>Umschlagshäufigkeit = Umsatz</w:t>
            </w:r>
            <w:r w:rsidR="004F64F8">
              <w:rPr>
                <w:sz w:val="20"/>
              </w:rPr>
              <w:t xml:space="preserve"> </w:t>
            </w:r>
            <w:r w:rsidRPr="00F55229">
              <w:rPr>
                <w:sz w:val="20"/>
              </w:rPr>
              <w:t>/</w:t>
            </w:r>
            <w:r w:rsidR="004F64F8">
              <w:rPr>
                <w:sz w:val="20"/>
              </w:rPr>
              <w:t xml:space="preserve"> </w:t>
            </w:r>
            <w:r w:rsidRPr="00F55229">
              <w:rPr>
                <w:sz w:val="20"/>
              </w:rPr>
              <w:t>Forderungsbestand</w:t>
            </w:r>
          </w:p>
          <w:p w14:paraId="021A356E" w14:textId="3920134E" w:rsidR="00F55229" w:rsidRDefault="00F55229" w:rsidP="00F55229">
            <w:pPr>
              <w:spacing w:before="0"/>
              <w:ind w:left="355"/>
              <w:jc w:val="left"/>
              <w:cnfStyle w:val="000000100000" w:firstRow="0" w:lastRow="0" w:firstColumn="0" w:lastColumn="0" w:oddVBand="0" w:evenVBand="0" w:oddHBand="1" w:evenHBand="0" w:firstRowFirstColumn="0" w:firstRowLastColumn="0" w:lastRowFirstColumn="0" w:lastRowLastColumn="0"/>
              <w:rPr>
                <w:sz w:val="20"/>
              </w:rPr>
            </w:pPr>
            <w:r>
              <w:rPr>
                <w:sz w:val="20"/>
              </w:rPr>
              <w:t>Auch der Forderungsbestand hängt von verschiedenen Faktoren ab, z.</w:t>
            </w:r>
            <w:r w:rsidR="004F64F8">
              <w:rPr>
                <w:sz w:val="20"/>
              </w:rPr>
              <w:t xml:space="preserve"> </w:t>
            </w:r>
            <w:r>
              <w:rPr>
                <w:sz w:val="20"/>
              </w:rPr>
              <w:t>B. dem Zahlungsverhalten oder dem gewährten Zahlungsziel</w:t>
            </w:r>
          </w:p>
        </w:tc>
        <w:tc>
          <w:tcPr>
            <w:tcW w:w="1134" w:type="dxa"/>
            <w:tcBorders>
              <w:top w:val="single" w:sz="8" w:space="0" w:color="000000" w:themeColor="text1"/>
              <w:bottom w:val="single" w:sz="8" w:space="0" w:color="000000" w:themeColor="text1"/>
              <w:right w:val="single" w:sz="4" w:space="0" w:color="auto"/>
            </w:tcBorders>
          </w:tcPr>
          <w:p w14:paraId="42806845" w14:textId="77777777" w:rsidR="00F55229" w:rsidRDefault="00F55229"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p>
        </w:tc>
      </w:tr>
      <w:tr w:rsidR="00F55229" w14:paraId="002CAAF6" w14:textId="77777777" w:rsidTr="00241858">
        <w:tc>
          <w:tcPr>
            <w:cnfStyle w:val="001000000000" w:firstRow="0" w:lastRow="0" w:firstColumn="1" w:lastColumn="0" w:oddVBand="0" w:evenVBand="0" w:oddHBand="0" w:evenHBand="0" w:firstRowFirstColumn="0" w:firstRowLastColumn="0" w:lastRowFirstColumn="0" w:lastRowLastColumn="0"/>
            <w:tcW w:w="2029" w:type="dxa"/>
            <w:vMerge/>
            <w:tcBorders>
              <w:left w:val="single" w:sz="4" w:space="0" w:color="auto"/>
            </w:tcBorders>
            <w:shd w:val="clear" w:color="auto" w:fill="D9D9D9" w:themeFill="background1" w:themeFillShade="D9"/>
            <w:vAlign w:val="center"/>
          </w:tcPr>
          <w:p w14:paraId="7F4485BA" w14:textId="77777777" w:rsidR="00F55229" w:rsidRPr="00F55229" w:rsidRDefault="00F55229" w:rsidP="00C15DA1">
            <w:pPr>
              <w:spacing w:before="0"/>
              <w:jc w:val="left"/>
              <w:rPr>
                <w:color w:val="00B0F0"/>
                <w:sz w:val="20"/>
              </w:rPr>
            </w:pPr>
          </w:p>
        </w:tc>
        <w:tc>
          <w:tcPr>
            <w:tcW w:w="2863" w:type="dxa"/>
            <w:vAlign w:val="center"/>
          </w:tcPr>
          <w:p w14:paraId="02CB3FFD" w14:textId="77777777" w:rsidR="00F55229" w:rsidRPr="00F55229" w:rsidRDefault="00F55229" w:rsidP="00C15DA1">
            <w:pPr>
              <w:spacing w:before="0"/>
              <w:jc w:val="left"/>
              <w:cnfStyle w:val="000000000000" w:firstRow="0" w:lastRow="0" w:firstColumn="0" w:lastColumn="0" w:oddVBand="0" w:evenVBand="0" w:oddHBand="0" w:evenHBand="0" w:firstRowFirstColumn="0" w:firstRowLastColumn="0" w:lastRowFirstColumn="0" w:lastRowLastColumn="0"/>
              <w:rPr>
                <w:b/>
                <w:sz w:val="20"/>
              </w:rPr>
            </w:pPr>
            <w:r w:rsidRPr="00F55229">
              <w:rPr>
                <w:b/>
                <w:sz w:val="20"/>
              </w:rPr>
              <w:t>Plausibilitätsüberlegungen</w:t>
            </w:r>
          </w:p>
        </w:tc>
        <w:tc>
          <w:tcPr>
            <w:tcW w:w="6129" w:type="dxa"/>
            <w:vAlign w:val="center"/>
          </w:tcPr>
          <w:p w14:paraId="4A62737F" w14:textId="77777777" w:rsidR="00F55229" w:rsidRPr="00F55229" w:rsidRDefault="00F55229" w:rsidP="00F55229">
            <w:pPr>
              <w:pStyle w:val="Listenabsatz"/>
              <w:numPr>
                <w:ilvl w:val="0"/>
                <w:numId w:val="19"/>
              </w:numPr>
              <w:spacing w:before="0"/>
              <w:ind w:left="387" w:hanging="387"/>
              <w:jc w:val="left"/>
              <w:cnfStyle w:val="000000000000" w:firstRow="0" w:lastRow="0" w:firstColumn="0" w:lastColumn="0" w:oddVBand="0" w:evenVBand="0" w:oddHBand="0" w:evenHBand="0" w:firstRowFirstColumn="0" w:firstRowLastColumn="0" w:lastRowFirstColumn="0" w:lastRowLastColumn="0"/>
              <w:rPr>
                <w:sz w:val="20"/>
              </w:rPr>
            </w:pPr>
            <w:r w:rsidRPr="00F55229">
              <w:rPr>
                <w:sz w:val="20"/>
              </w:rPr>
              <w:t>Vergleich der des Prozentsatzes der PWB mit den tatsächlichen Forderungsausfällen der in der Vergangenheit</w:t>
            </w:r>
          </w:p>
        </w:tc>
        <w:tc>
          <w:tcPr>
            <w:tcW w:w="8824" w:type="dxa"/>
            <w:tcBorders>
              <w:right w:val="single" w:sz="4" w:space="0" w:color="auto"/>
            </w:tcBorders>
            <w:vAlign w:val="center"/>
          </w:tcPr>
          <w:p w14:paraId="3DF5BDE2" w14:textId="77777777" w:rsidR="00F55229" w:rsidRDefault="00F55229"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right w:val="single" w:sz="4" w:space="0" w:color="auto"/>
            </w:tcBorders>
          </w:tcPr>
          <w:p w14:paraId="1782636A" w14:textId="77777777" w:rsidR="00F55229" w:rsidRDefault="00F55229" w:rsidP="00F55229">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4</w:t>
            </w:r>
          </w:p>
        </w:tc>
      </w:tr>
      <w:tr w:rsidR="00F55229" w14:paraId="62037FE2" w14:textId="77777777" w:rsidTr="00C6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tcBorders>
              <w:top w:val="single" w:sz="8" w:space="0" w:color="000000" w:themeColor="text1"/>
              <w:left w:val="single" w:sz="4" w:space="0" w:color="auto"/>
              <w:bottom w:val="single" w:sz="8" w:space="0" w:color="000000" w:themeColor="text1"/>
            </w:tcBorders>
            <w:shd w:val="clear" w:color="auto" w:fill="D9D9D9" w:themeFill="background1" w:themeFillShade="D9"/>
            <w:vAlign w:val="center"/>
          </w:tcPr>
          <w:p w14:paraId="4CA73D7D" w14:textId="77777777" w:rsidR="00F55229" w:rsidRPr="00F55229" w:rsidRDefault="00F55229" w:rsidP="00C15DA1">
            <w:pPr>
              <w:spacing w:before="0"/>
              <w:jc w:val="left"/>
              <w:rPr>
                <w:color w:val="00B0F0"/>
                <w:sz w:val="20"/>
              </w:rPr>
            </w:pPr>
          </w:p>
        </w:tc>
        <w:tc>
          <w:tcPr>
            <w:tcW w:w="2863" w:type="dxa"/>
            <w:tcBorders>
              <w:top w:val="single" w:sz="8" w:space="0" w:color="000000" w:themeColor="text1"/>
              <w:bottom w:val="single" w:sz="8" w:space="0" w:color="000000" w:themeColor="text1"/>
            </w:tcBorders>
            <w:vAlign w:val="center"/>
          </w:tcPr>
          <w:p w14:paraId="46EEBF00" w14:textId="77777777" w:rsidR="00F55229" w:rsidRPr="00F55229" w:rsidRDefault="00F55229" w:rsidP="00C15DA1">
            <w:pPr>
              <w:spacing w:before="0"/>
              <w:jc w:val="left"/>
              <w:cnfStyle w:val="000000100000" w:firstRow="0" w:lastRow="0" w:firstColumn="0" w:lastColumn="0" w:oddVBand="0" w:evenVBand="0" w:oddHBand="1" w:evenHBand="0" w:firstRowFirstColumn="0" w:firstRowLastColumn="0" w:lastRowFirstColumn="0" w:lastRowLastColumn="0"/>
              <w:rPr>
                <w:b/>
                <w:sz w:val="20"/>
              </w:rPr>
            </w:pPr>
            <w:r w:rsidRPr="00F55229">
              <w:rPr>
                <w:b/>
                <w:sz w:val="20"/>
              </w:rPr>
              <w:t>Trendanalyse</w:t>
            </w:r>
          </w:p>
        </w:tc>
        <w:tc>
          <w:tcPr>
            <w:tcW w:w="14953" w:type="dxa"/>
            <w:gridSpan w:val="2"/>
            <w:tcBorders>
              <w:top w:val="single" w:sz="8" w:space="0" w:color="000000" w:themeColor="text1"/>
              <w:bottom w:val="single" w:sz="8" w:space="0" w:color="000000" w:themeColor="text1"/>
              <w:right w:val="single" w:sz="4" w:space="0" w:color="auto"/>
            </w:tcBorders>
            <w:vAlign w:val="center"/>
          </w:tcPr>
          <w:p w14:paraId="50223C04" w14:textId="77777777" w:rsidR="00F55229" w:rsidRPr="004F64F8" w:rsidRDefault="00F55229" w:rsidP="004F64F8">
            <w:pPr>
              <w:spacing w:before="0"/>
              <w:jc w:val="center"/>
              <w:cnfStyle w:val="000000100000" w:firstRow="0" w:lastRow="0" w:firstColumn="0" w:lastColumn="0" w:oddVBand="0" w:evenVBand="0" w:oddHBand="1" w:evenHBand="0" w:firstRowFirstColumn="0" w:firstRowLastColumn="0" w:lastRowFirstColumn="0" w:lastRowLastColumn="0"/>
              <w:rPr>
                <w:sz w:val="20"/>
              </w:rPr>
            </w:pPr>
            <w:r w:rsidRPr="004F64F8">
              <w:rPr>
                <w:sz w:val="20"/>
              </w:rPr>
              <w:t>Bei unterjähriger Ermittlung ist eine Hochrechnung wie beim Vorratsvermögen möglich</w:t>
            </w:r>
          </w:p>
        </w:tc>
        <w:tc>
          <w:tcPr>
            <w:tcW w:w="1134" w:type="dxa"/>
            <w:tcBorders>
              <w:top w:val="single" w:sz="8" w:space="0" w:color="000000" w:themeColor="text1"/>
              <w:bottom w:val="single" w:sz="8" w:space="0" w:color="000000" w:themeColor="text1"/>
              <w:right w:val="single" w:sz="4" w:space="0" w:color="auto"/>
            </w:tcBorders>
          </w:tcPr>
          <w:p w14:paraId="4C653733" w14:textId="77777777" w:rsidR="00F55229" w:rsidRDefault="00F55229"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5</w:t>
            </w:r>
          </w:p>
        </w:tc>
      </w:tr>
      <w:tr w:rsidR="00F55229" w14:paraId="78693522" w14:textId="77777777" w:rsidTr="00B74EB2">
        <w:tc>
          <w:tcPr>
            <w:cnfStyle w:val="001000000000" w:firstRow="0" w:lastRow="0" w:firstColumn="1" w:lastColumn="0" w:oddVBand="0" w:evenVBand="0" w:oddHBand="0" w:evenHBand="0" w:firstRowFirstColumn="0" w:firstRowLastColumn="0" w:lastRowFirstColumn="0" w:lastRowLastColumn="0"/>
            <w:tcW w:w="2029" w:type="dxa"/>
            <w:vMerge w:val="restart"/>
            <w:tcBorders>
              <w:left w:val="single" w:sz="4" w:space="0" w:color="auto"/>
              <w:bottom w:val="single" w:sz="8" w:space="0" w:color="000000" w:themeColor="text1"/>
            </w:tcBorders>
            <w:shd w:val="clear" w:color="auto" w:fill="D9D9D9" w:themeFill="background1" w:themeFillShade="D9"/>
            <w:vAlign w:val="center"/>
          </w:tcPr>
          <w:p w14:paraId="3B4DF192" w14:textId="77777777" w:rsidR="00F55229" w:rsidRPr="00F55229" w:rsidRDefault="00F55229" w:rsidP="00C15DA1">
            <w:pPr>
              <w:spacing w:before="0"/>
              <w:jc w:val="left"/>
              <w:rPr>
                <w:color w:val="00B0F0"/>
                <w:sz w:val="20"/>
              </w:rPr>
            </w:pPr>
            <w:r w:rsidRPr="00F55229">
              <w:rPr>
                <w:color w:val="00B0F0"/>
                <w:sz w:val="20"/>
              </w:rPr>
              <w:t>Verbindlichkeiten</w:t>
            </w:r>
          </w:p>
        </w:tc>
        <w:tc>
          <w:tcPr>
            <w:tcW w:w="2863" w:type="dxa"/>
            <w:tcBorders>
              <w:bottom w:val="single" w:sz="8" w:space="0" w:color="000000" w:themeColor="text1"/>
            </w:tcBorders>
            <w:vAlign w:val="center"/>
          </w:tcPr>
          <w:p w14:paraId="38393A2B" w14:textId="77777777" w:rsidR="00F55229" w:rsidRPr="00F55229" w:rsidRDefault="00F55229" w:rsidP="00C15DA1">
            <w:pPr>
              <w:spacing w:before="0"/>
              <w:jc w:val="left"/>
              <w:cnfStyle w:val="000000000000" w:firstRow="0" w:lastRow="0" w:firstColumn="0" w:lastColumn="0" w:oddVBand="0" w:evenVBand="0" w:oddHBand="0" w:evenHBand="0" w:firstRowFirstColumn="0" w:firstRowLastColumn="0" w:lastRowFirstColumn="0" w:lastRowLastColumn="0"/>
              <w:rPr>
                <w:b/>
                <w:sz w:val="20"/>
              </w:rPr>
            </w:pPr>
            <w:r w:rsidRPr="00F55229">
              <w:rPr>
                <w:b/>
                <w:sz w:val="20"/>
              </w:rPr>
              <w:t>Kennzahlen</w:t>
            </w:r>
          </w:p>
        </w:tc>
        <w:tc>
          <w:tcPr>
            <w:tcW w:w="6129" w:type="dxa"/>
            <w:tcBorders>
              <w:bottom w:val="single" w:sz="8" w:space="0" w:color="000000" w:themeColor="text1"/>
            </w:tcBorders>
            <w:vAlign w:val="center"/>
          </w:tcPr>
          <w:p w14:paraId="06794C15" w14:textId="77777777" w:rsidR="00F55229" w:rsidRPr="00F55229" w:rsidRDefault="00F55229" w:rsidP="004F64F8">
            <w:pPr>
              <w:pStyle w:val="Listenabsatz"/>
              <w:numPr>
                <w:ilvl w:val="0"/>
                <w:numId w:val="18"/>
              </w:numPr>
              <w:spacing w:before="0"/>
              <w:ind w:left="387" w:hanging="387"/>
              <w:jc w:val="left"/>
              <w:cnfStyle w:val="000000000000" w:firstRow="0" w:lastRow="0" w:firstColumn="0" w:lastColumn="0" w:oddVBand="0" w:evenVBand="0" w:oddHBand="0" w:evenHBand="0" w:firstRowFirstColumn="0" w:firstRowLastColumn="0" w:lastRowFirstColumn="0" w:lastRowLastColumn="0"/>
              <w:rPr>
                <w:sz w:val="20"/>
              </w:rPr>
            </w:pPr>
            <w:r w:rsidRPr="00F55229">
              <w:rPr>
                <w:sz w:val="20"/>
              </w:rPr>
              <w:t>Relation Verbindlichkeiten 30/60/90…Tage/Gesamtverbindlichkeiten</w:t>
            </w:r>
          </w:p>
          <w:p w14:paraId="7668678A" w14:textId="77777777" w:rsidR="00F55229" w:rsidRDefault="00F55229"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p>
        </w:tc>
        <w:tc>
          <w:tcPr>
            <w:tcW w:w="8824" w:type="dxa"/>
            <w:tcBorders>
              <w:bottom w:val="single" w:sz="8" w:space="0" w:color="000000" w:themeColor="text1"/>
              <w:right w:val="single" w:sz="4" w:space="0" w:color="auto"/>
            </w:tcBorders>
            <w:shd w:val="clear" w:color="auto" w:fill="F2DBDB"/>
            <w:vAlign w:val="center"/>
          </w:tcPr>
          <w:p w14:paraId="1E5915E4" w14:textId="77777777" w:rsidR="00F55229" w:rsidRPr="00F55229" w:rsidRDefault="00F55229" w:rsidP="00710EC8">
            <w:pPr>
              <w:pStyle w:val="Listenabsatz"/>
              <w:numPr>
                <w:ilvl w:val="0"/>
                <w:numId w:val="18"/>
              </w:numPr>
              <w:spacing w:before="0"/>
              <w:ind w:left="355" w:hanging="355"/>
              <w:jc w:val="left"/>
              <w:cnfStyle w:val="000000000000" w:firstRow="0" w:lastRow="0" w:firstColumn="0" w:lastColumn="0" w:oddVBand="0" w:evenVBand="0" w:oddHBand="0" w:evenHBand="0" w:firstRowFirstColumn="0" w:firstRowLastColumn="0" w:lastRowFirstColumn="0" w:lastRowLastColumn="0"/>
              <w:rPr>
                <w:sz w:val="20"/>
              </w:rPr>
            </w:pPr>
            <w:proofErr w:type="spellStart"/>
            <w:r w:rsidRPr="00F55229">
              <w:rPr>
                <w:sz w:val="20"/>
              </w:rPr>
              <w:t>Verbindlichkeitenintensität</w:t>
            </w:r>
            <w:proofErr w:type="spellEnd"/>
            <w:r w:rsidRPr="00F55229">
              <w:rPr>
                <w:sz w:val="20"/>
              </w:rPr>
              <w:t xml:space="preserve"> = Verbindlichkeiten/Gesamtvermögen</w:t>
            </w:r>
          </w:p>
          <w:p w14:paraId="5AA98FF0" w14:textId="77777777" w:rsidR="00F55229" w:rsidRPr="00F55229" w:rsidRDefault="00F55229" w:rsidP="00710EC8">
            <w:pPr>
              <w:pStyle w:val="Listenabsatz"/>
              <w:numPr>
                <w:ilvl w:val="0"/>
                <w:numId w:val="18"/>
              </w:numPr>
              <w:spacing w:before="0"/>
              <w:ind w:left="355" w:hanging="355"/>
              <w:jc w:val="left"/>
              <w:cnfStyle w:val="000000000000" w:firstRow="0" w:lastRow="0" w:firstColumn="0" w:lastColumn="0" w:oddVBand="0" w:evenVBand="0" w:oddHBand="0" w:evenHBand="0" w:firstRowFirstColumn="0" w:firstRowLastColumn="0" w:lastRowFirstColumn="0" w:lastRowLastColumn="0"/>
              <w:rPr>
                <w:sz w:val="20"/>
              </w:rPr>
            </w:pPr>
            <w:proofErr w:type="spellStart"/>
            <w:r w:rsidRPr="00F55229">
              <w:rPr>
                <w:sz w:val="20"/>
              </w:rPr>
              <w:t>Verbindlichkeitenumschlag</w:t>
            </w:r>
            <w:proofErr w:type="spellEnd"/>
            <w:r w:rsidRPr="00F55229">
              <w:rPr>
                <w:sz w:val="20"/>
              </w:rPr>
              <w:t xml:space="preserve"> = Verbindlichkeiten/Gesamtaufwand</w:t>
            </w:r>
          </w:p>
          <w:p w14:paraId="3603C84C" w14:textId="77777777" w:rsidR="00F55229" w:rsidRDefault="00F55229" w:rsidP="00710EC8">
            <w:pPr>
              <w:pStyle w:val="Listenabsatz"/>
              <w:numPr>
                <w:ilvl w:val="0"/>
                <w:numId w:val="18"/>
              </w:numPr>
              <w:spacing w:before="0"/>
              <w:ind w:left="355" w:hanging="355"/>
              <w:jc w:val="left"/>
              <w:cnfStyle w:val="000000000000" w:firstRow="0" w:lastRow="0" w:firstColumn="0" w:lastColumn="0" w:oddVBand="0" w:evenVBand="0" w:oddHBand="0" w:evenHBand="0" w:firstRowFirstColumn="0" w:firstRowLastColumn="0" w:lastRowFirstColumn="0" w:lastRowLastColumn="0"/>
              <w:rPr>
                <w:sz w:val="20"/>
              </w:rPr>
            </w:pPr>
            <w:r>
              <w:rPr>
                <w:sz w:val="20"/>
              </w:rPr>
              <w:t>Auch der Bestand an Verbindlichkeiten hängt von verschiedenen Faktoren ab, z. B. dem Zahlungsverhalten oder dem gewährten Zahlungsziel</w:t>
            </w:r>
          </w:p>
        </w:tc>
        <w:tc>
          <w:tcPr>
            <w:tcW w:w="1134" w:type="dxa"/>
            <w:tcBorders>
              <w:bottom w:val="single" w:sz="8" w:space="0" w:color="000000" w:themeColor="text1"/>
              <w:right w:val="single" w:sz="4" w:space="0" w:color="auto"/>
            </w:tcBorders>
          </w:tcPr>
          <w:p w14:paraId="4A27EAD8" w14:textId="77777777" w:rsidR="00F55229" w:rsidRDefault="00F55229" w:rsidP="00F55229">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6</w:t>
            </w:r>
          </w:p>
        </w:tc>
      </w:tr>
      <w:tr w:rsidR="00F55229" w14:paraId="3C4DA5B1" w14:textId="77777777" w:rsidTr="00C6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7728634B" w14:textId="77777777" w:rsidR="00F55229" w:rsidRDefault="00F55229">
            <w:pPr>
              <w:spacing w:before="0"/>
              <w:rPr>
                <w:sz w:val="20"/>
              </w:rPr>
            </w:pPr>
          </w:p>
        </w:tc>
        <w:tc>
          <w:tcPr>
            <w:tcW w:w="2863" w:type="dxa"/>
            <w:tcBorders>
              <w:top w:val="single" w:sz="8" w:space="0" w:color="000000" w:themeColor="text1"/>
              <w:bottom w:val="single" w:sz="8" w:space="0" w:color="000000" w:themeColor="text1"/>
            </w:tcBorders>
            <w:vAlign w:val="center"/>
          </w:tcPr>
          <w:p w14:paraId="63761D85" w14:textId="77777777" w:rsidR="00F55229" w:rsidRPr="00F55229" w:rsidRDefault="00F55229" w:rsidP="00C15DA1">
            <w:pPr>
              <w:spacing w:before="0"/>
              <w:jc w:val="left"/>
              <w:cnfStyle w:val="000000100000" w:firstRow="0" w:lastRow="0" w:firstColumn="0" w:lastColumn="0" w:oddVBand="0" w:evenVBand="0" w:oddHBand="1" w:evenHBand="0" w:firstRowFirstColumn="0" w:firstRowLastColumn="0" w:lastRowFirstColumn="0" w:lastRowLastColumn="0"/>
              <w:rPr>
                <w:b/>
                <w:sz w:val="20"/>
              </w:rPr>
            </w:pPr>
            <w:r w:rsidRPr="00F55229">
              <w:rPr>
                <w:b/>
                <w:sz w:val="20"/>
              </w:rPr>
              <w:t>Trendanalyse</w:t>
            </w:r>
          </w:p>
        </w:tc>
        <w:tc>
          <w:tcPr>
            <w:tcW w:w="14953" w:type="dxa"/>
            <w:gridSpan w:val="2"/>
            <w:tcBorders>
              <w:top w:val="single" w:sz="8" w:space="0" w:color="000000" w:themeColor="text1"/>
              <w:bottom w:val="single" w:sz="8" w:space="0" w:color="000000" w:themeColor="text1"/>
              <w:right w:val="single" w:sz="4" w:space="0" w:color="auto"/>
            </w:tcBorders>
            <w:vAlign w:val="center"/>
          </w:tcPr>
          <w:p w14:paraId="45575919" w14:textId="77777777" w:rsidR="00F55229" w:rsidRDefault="00F55229" w:rsidP="004F64F8">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Bei unterjähriger Ermittlung ist eine Hochrechnung wie beim Vorratsvermögen möglich</w:t>
            </w:r>
          </w:p>
        </w:tc>
        <w:tc>
          <w:tcPr>
            <w:tcW w:w="1134" w:type="dxa"/>
            <w:tcBorders>
              <w:top w:val="single" w:sz="8" w:space="0" w:color="000000" w:themeColor="text1"/>
              <w:bottom w:val="single" w:sz="8" w:space="0" w:color="000000" w:themeColor="text1"/>
              <w:right w:val="single" w:sz="4" w:space="0" w:color="auto"/>
            </w:tcBorders>
          </w:tcPr>
          <w:p w14:paraId="4301EF7F" w14:textId="77777777" w:rsidR="00F55229" w:rsidRDefault="00F55229"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7</w:t>
            </w:r>
          </w:p>
        </w:tc>
      </w:tr>
      <w:tr w:rsidR="00241858" w14:paraId="11372908" w14:textId="77777777" w:rsidTr="00B74EB2">
        <w:tc>
          <w:tcPr>
            <w:cnfStyle w:val="001000000000" w:firstRow="0" w:lastRow="0" w:firstColumn="1" w:lastColumn="0" w:oddVBand="0" w:evenVBand="0" w:oddHBand="0" w:evenHBand="0" w:firstRowFirstColumn="0" w:firstRowLastColumn="0" w:lastRowFirstColumn="0" w:lastRowLastColumn="0"/>
            <w:tcW w:w="2029" w:type="dxa"/>
            <w:vMerge w:val="restart"/>
            <w:tcBorders>
              <w:left w:val="single" w:sz="4" w:space="0" w:color="auto"/>
            </w:tcBorders>
            <w:shd w:val="clear" w:color="auto" w:fill="D9D9D9" w:themeFill="background1" w:themeFillShade="D9"/>
          </w:tcPr>
          <w:p w14:paraId="09DA46E1" w14:textId="77777777" w:rsidR="00241858" w:rsidRDefault="00241858" w:rsidP="00F87152">
            <w:pPr>
              <w:spacing w:before="0"/>
              <w:rPr>
                <w:sz w:val="20"/>
              </w:rPr>
            </w:pPr>
            <w:r w:rsidRPr="00F55229">
              <w:rPr>
                <w:color w:val="00B0F0"/>
                <w:sz w:val="20"/>
              </w:rPr>
              <w:t>Umsatzerlöse</w:t>
            </w:r>
          </w:p>
        </w:tc>
        <w:tc>
          <w:tcPr>
            <w:tcW w:w="2863" w:type="dxa"/>
            <w:tcBorders>
              <w:bottom w:val="single" w:sz="8" w:space="0" w:color="000000" w:themeColor="text1"/>
            </w:tcBorders>
          </w:tcPr>
          <w:p w14:paraId="15DDD578" w14:textId="77777777" w:rsidR="00241858" w:rsidRPr="00F55229" w:rsidRDefault="00241858" w:rsidP="00F87152">
            <w:pPr>
              <w:spacing w:before="0"/>
              <w:cnfStyle w:val="000000000000" w:firstRow="0" w:lastRow="0" w:firstColumn="0" w:lastColumn="0" w:oddVBand="0" w:evenVBand="0" w:oddHBand="0" w:evenHBand="0" w:firstRowFirstColumn="0" w:firstRowLastColumn="0" w:lastRowFirstColumn="0" w:lastRowLastColumn="0"/>
              <w:rPr>
                <w:b/>
                <w:sz w:val="20"/>
              </w:rPr>
            </w:pPr>
            <w:r w:rsidRPr="00F55229">
              <w:rPr>
                <w:b/>
                <w:sz w:val="20"/>
              </w:rPr>
              <w:t>Kennzahlen</w:t>
            </w:r>
          </w:p>
        </w:tc>
        <w:tc>
          <w:tcPr>
            <w:tcW w:w="6129" w:type="dxa"/>
            <w:tcBorders>
              <w:bottom w:val="single" w:sz="8" w:space="0" w:color="000000" w:themeColor="text1"/>
            </w:tcBorders>
          </w:tcPr>
          <w:p w14:paraId="7A532B1E" w14:textId="77777777" w:rsidR="00241858" w:rsidRDefault="00241858"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r>
              <w:rPr>
                <w:sz w:val="20"/>
              </w:rPr>
              <w:t>Bruttogewinnmarge = Rohgewinn/Umsatzerlöse</w:t>
            </w:r>
          </w:p>
          <w:p w14:paraId="63AA0586" w14:textId="77777777" w:rsidR="00241858" w:rsidRDefault="00241858" w:rsidP="00F55229">
            <w:pPr>
              <w:pStyle w:val="Listenabsatz"/>
              <w:numPr>
                <w:ilvl w:val="0"/>
                <w:numId w:val="15"/>
              </w:numPr>
              <w:spacing w:before="0"/>
              <w:jc w:val="left"/>
              <w:cnfStyle w:val="000000000000" w:firstRow="0" w:lastRow="0" w:firstColumn="0" w:lastColumn="0" w:oddVBand="0" w:evenVBand="0" w:oddHBand="0" w:evenHBand="0" w:firstRowFirstColumn="0" w:firstRowLastColumn="0" w:lastRowFirstColumn="0" w:lastRowLastColumn="0"/>
              <w:rPr>
                <w:sz w:val="20"/>
              </w:rPr>
            </w:pPr>
            <w:r>
              <w:rPr>
                <w:sz w:val="20"/>
              </w:rPr>
              <w:t>Erhöhung der Kennzahl als möglicher Hinweis auf eine Überbewertung der Umsatzerlöse</w:t>
            </w:r>
          </w:p>
          <w:p w14:paraId="0CA2C79D" w14:textId="77777777" w:rsidR="00241858" w:rsidRDefault="00241858" w:rsidP="00F55229">
            <w:pPr>
              <w:pStyle w:val="Listenabsatz"/>
              <w:numPr>
                <w:ilvl w:val="0"/>
                <w:numId w:val="15"/>
              </w:numPr>
              <w:spacing w:before="0"/>
              <w:jc w:val="left"/>
              <w:cnfStyle w:val="000000000000" w:firstRow="0" w:lastRow="0" w:firstColumn="0" w:lastColumn="0" w:oddVBand="0" w:evenVBand="0" w:oddHBand="0" w:evenHBand="0" w:firstRowFirstColumn="0" w:firstRowLastColumn="0" w:lastRowFirstColumn="0" w:lastRowLastColumn="0"/>
              <w:rPr>
                <w:sz w:val="20"/>
              </w:rPr>
            </w:pPr>
            <w:r>
              <w:rPr>
                <w:sz w:val="20"/>
              </w:rPr>
              <w:t>Verringerung der Kennzahl als möglicher Hinweis auf eine Unterbewertung der Umsatzerlöse</w:t>
            </w:r>
          </w:p>
          <w:p w14:paraId="5BD09505" w14:textId="77777777" w:rsidR="00241858" w:rsidRPr="003F686B" w:rsidRDefault="00241858"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r>
              <w:rPr>
                <w:sz w:val="20"/>
              </w:rPr>
              <w:t>Die Kennzahl kann noch nach Produktgruppen unterteilt werden</w:t>
            </w:r>
          </w:p>
        </w:tc>
        <w:tc>
          <w:tcPr>
            <w:tcW w:w="8824" w:type="dxa"/>
            <w:tcBorders>
              <w:bottom w:val="single" w:sz="8" w:space="0" w:color="000000" w:themeColor="text1"/>
              <w:right w:val="single" w:sz="4" w:space="0" w:color="auto"/>
            </w:tcBorders>
            <w:shd w:val="clear" w:color="auto" w:fill="F2DBDB"/>
          </w:tcPr>
          <w:p w14:paraId="6BF1C97D" w14:textId="77777777" w:rsidR="00241858" w:rsidRDefault="00241858"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r>
              <w:rPr>
                <w:sz w:val="20"/>
              </w:rPr>
              <w:t>Eher für erste Hinweise ungewöhnliche Veränderungen der Umschlagshäufigkeit der Vorräte oder der Forderungen</w:t>
            </w:r>
          </w:p>
          <w:p w14:paraId="35CBB719" w14:textId="77777777" w:rsidR="00241858" w:rsidRPr="003F686B" w:rsidRDefault="00241858" w:rsidP="00710EC8">
            <w:pPr>
              <w:pStyle w:val="Listenabsatz"/>
              <w:numPr>
                <w:ilvl w:val="0"/>
                <w:numId w:val="14"/>
              </w:numPr>
              <w:spacing w:before="0"/>
              <w:ind w:left="354" w:hanging="354"/>
              <w:jc w:val="left"/>
              <w:cnfStyle w:val="000000000000" w:firstRow="0" w:lastRow="0" w:firstColumn="0" w:lastColumn="0" w:oddVBand="0" w:evenVBand="0" w:oddHBand="0" w:evenHBand="0" w:firstRowFirstColumn="0" w:firstRowLastColumn="0" w:lastRowFirstColumn="0" w:lastRowLastColumn="0"/>
              <w:rPr>
                <w:sz w:val="20"/>
              </w:rPr>
            </w:pPr>
            <w:r>
              <w:rPr>
                <w:sz w:val="20"/>
              </w:rPr>
              <w:t>Ungewöhnliche Verringerung des Forderungsumschlags als Hinweis auf fehlerhafte Periodenabgrenzung</w:t>
            </w:r>
          </w:p>
        </w:tc>
        <w:tc>
          <w:tcPr>
            <w:tcW w:w="1134" w:type="dxa"/>
            <w:tcBorders>
              <w:bottom w:val="single" w:sz="8" w:space="0" w:color="000000" w:themeColor="text1"/>
              <w:right w:val="single" w:sz="4" w:space="0" w:color="auto"/>
            </w:tcBorders>
          </w:tcPr>
          <w:p w14:paraId="633C0921" w14:textId="77777777" w:rsidR="00241858" w:rsidRDefault="00241858" w:rsidP="00F55229">
            <w:pPr>
              <w:spacing w:before="0"/>
              <w:jc w:val="center"/>
              <w:cnfStyle w:val="000000000000" w:firstRow="0" w:lastRow="0" w:firstColumn="0" w:lastColumn="0" w:oddVBand="0" w:evenVBand="0" w:oddHBand="0" w:evenHBand="0" w:firstRowFirstColumn="0" w:firstRowLastColumn="0" w:lastRowFirstColumn="0" w:lastRowLastColumn="0"/>
              <w:rPr>
                <w:sz w:val="20"/>
              </w:rPr>
            </w:pPr>
            <w:r>
              <w:rPr>
                <w:sz w:val="20"/>
              </w:rPr>
              <w:t>8</w:t>
            </w:r>
          </w:p>
        </w:tc>
      </w:tr>
      <w:tr w:rsidR="00241858" w14:paraId="546D28F5"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0C2DDCEB" w14:textId="77777777" w:rsidR="00241858" w:rsidRDefault="00241858" w:rsidP="00F87152">
            <w:pPr>
              <w:spacing w:before="0"/>
              <w:rPr>
                <w:sz w:val="20"/>
              </w:rPr>
            </w:pPr>
          </w:p>
        </w:tc>
        <w:tc>
          <w:tcPr>
            <w:tcW w:w="2863" w:type="dxa"/>
            <w:tcBorders>
              <w:top w:val="single" w:sz="8" w:space="0" w:color="000000" w:themeColor="text1"/>
              <w:bottom w:val="single" w:sz="8" w:space="0" w:color="000000" w:themeColor="text1"/>
            </w:tcBorders>
          </w:tcPr>
          <w:p w14:paraId="5680E203" w14:textId="77777777" w:rsidR="00241858" w:rsidRPr="00F55229" w:rsidRDefault="00241858" w:rsidP="00F87152">
            <w:pPr>
              <w:spacing w:before="0"/>
              <w:cnfStyle w:val="000000100000" w:firstRow="0" w:lastRow="0" w:firstColumn="0" w:lastColumn="0" w:oddVBand="0" w:evenVBand="0" w:oddHBand="1" w:evenHBand="0" w:firstRowFirstColumn="0" w:firstRowLastColumn="0" w:lastRowFirstColumn="0" w:lastRowLastColumn="0"/>
              <w:rPr>
                <w:b/>
                <w:sz w:val="20"/>
              </w:rPr>
            </w:pPr>
            <w:r w:rsidRPr="00F55229">
              <w:rPr>
                <w:b/>
                <w:sz w:val="20"/>
              </w:rPr>
              <w:t>Plausibilitätsberechnungen</w:t>
            </w:r>
          </w:p>
        </w:tc>
        <w:tc>
          <w:tcPr>
            <w:tcW w:w="6129" w:type="dxa"/>
            <w:tcBorders>
              <w:top w:val="single" w:sz="8" w:space="0" w:color="000000" w:themeColor="text1"/>
              <w:bottom w:val="single" w:sz="8" w:space="0" w:color="000000" w:themeColor="text1"/>
            </w:tcBorders>
          </w:tcPr>
          <w:p w14:paraId="296B613C" w14:textId="77777777" w:rsidR="00241858" w:rsidRDefault="00241858" w:rsidP="00710EC8">
            <w:pPr>
              <w:pStyle w:val="Listenabsatz"/>
              <w:numPr>
                <w:ilvl w:val="0"/>
                <w:numId w:val="14"/>
              </w:numPr>
              <w:spacing w:before="0"/>
              <w:ind w:left="384"/>
              <w:jc w:val="left"/>
              <w:cnfStyle w:val="000000100000" w:firstRow="0" w:lastRow="0" w:firstColumn="0" w:lastColumn="0" w:oddVBand="0" w:evenVBand="0" w:oddHBand="1" w:evenHBand="0" w:firstRowFirstColumn="0" w:firstRowLastColumn="0" w:lastRowFirstColumn="0" w:lastRowLastColumn="0"/>
              <w:rPr>
                <w:sz w:val="20"/>
              </w:rPr>
            </w:pPr>
            <w:r w:rsidRPr="00FC6834">
              <w:rPr>
                <w:sz w:val="20"/>
              </w:rPr>
              <w:t>Mieteinnahmen anhand von qm, qm-Preis ggf. unter Berücksichtigung von Leerstandzeiten</w:t>
            </w:r>
          </w:p>
          <w:p w14:paraId="177E13F7" w14:textId="77777777" w:rsidR="00241858" w:rsidRPr="00FC6834" w:rsidRDefault="00241858" w:rsidP="00710EC8">
            <w:pPr>
              <w:pStyle w:val="Listenabsatz"/>
              <w:numPr>
                <w:ilvl w:val="0"/>
                <w:numId w:val="14"/>
              </w:numPr>
              <w:spacing w:before="0"/>
              <w:ind w:left="384"/>
              <w:jc w:val="left"/>
              <w:cnfStyle w:val="000000100000" w:firstRow="0" w:lastRow="0" w:firstColumn="0" w:lastColumn="0" w:oddVBand="0" w:evenVBand="0" w:oddHBand="1" w:evenHBand="0" w:firstRowFirstColumn="0" w:firstRowLastColumn="0" w:lastRowFirstColumn="0" w:lastRowLastColumn="0"/>
              <w:rPr>
                <w:sz w:val="20"/>
              </w:rPr>
            </w:pPr>
            <w:r>
              <w:rPr>
                <w:sz w:val="20"/>
              </w:rPr>
              <w:t>Produzierte Menge multipliziert mit einem Durchschnittspreis, ggf. nach Produktgruppen gegliedert</w:t>
            </w:r>
          </w:p>
        </w:tc>
        <w:tc>
          <w:tcPr>
            <w:tcW w:w="8824" w:type="dxa"/>
            <w:tcBorders>
              <w:top w:val="single" w:sz="8" w:space="0" w:color="000000" w:themeColor="text1"/>
              <w:bottom w:val="single" w:sz="8" w:space="0" w:color="000000" w:themeColor="text1"/>
            </w:tcBorders>
            <w:shd w:val="clear" w:color="auto" w:fill="F2DBDB"/>
          </w:tcPr>
          <w:p w14:paraId="5AD0A40D" w14:textId="77777777" w:rsidR="00241858" w:rsidRDefault="00241858" w:rsidP="00710EC8">
            <w:pPr>
              <w:pStyle w:val="Listenabsatz"/>
              <w:numPr>
                <w:ilvl w:val="0"/>
                <w:numId w:val="14"/>
              </w:numPr>
              <w:spacing w:before="0"/>
              <w:ind w:left="354" w:hanging="354"/>
              <w:jc w:val="left"/>
              <w:cnfStyle w:val="000000100000" w:firstRow="0" w:lastRow="0" w:firstColumn="0" w:lastColumn="0" w:oddVBand="0" w:evenVBand="0" w:oddHBand="1" w:evenHBand="0" w:firstRowFirstColumn="0" w:firstRowLastColumn="0" w:lastRowFirstColumn="0" w:lastRowLastColumn="0"/>
              <w:rPr>
                <w:sz w:val="20"/>
              </w:rPr>
            </w:pPr>
            <w:r w:rsidRPr="00FC6834">
              <w:rPr>
                <w:sz w:val="20"/>
              </w:rPr>
              <w:t>Umsatzerlöse in Relation zur Größe der Verkaufsfläche</w:t>
            </w:r>
            <w:r>
              <w:rPr>
                <w:sz w:val="20"/>
              </w:rPr>
              <w:br/>
              <w:t>Der Umsatz hängt von weiteren Faktoren wie der Anordnung im Laden, von Werbemaßnahmen etc. ab.</w:t>
            </w:r>
          </w:p>
        </w:tc>
        <w:tc>
          <w:tcPr>
            <w:tcW w:w="1134" w:type="dxa"/>
            <w:tcBorders>
              <w:top w:val="single" w:sz="8" w:space="0" w:color="000000" w:themeColor="text1"/>
              <w:bottom w:val="single" w:sz="8" w:space="0" w:color="000000" w:themeColor="text1"/>
              <w:right w:val="single" w:sz="4" w:space="0" w:color="auto"/>
            </w:tcBorders>
          </w:tcPr>
          <w:p w14:paraId="11325ED7" w14:textId="77777777" w:rsidR="00241858" w:rsidRPr="00F55229" w:rsidRDefault="00241858"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Pr>
                <w:sz w:val="20"/>
              </w:rPr>
              <w:t>9</w:t>
            </w:r>
          </w:p>
        </w:tc>
      </w:tr>
      <w:tr w:rsidR="00241858" w14:paraId="6BC25043" w14:textId="77777777" w:rsidTr="00B74EB2">
        <w:tc>
          <w:tcPr>
            <w:cnfStyle w:val="001000000000" w:firstRow="0" w:lastRow="0" w:firstColumn="1" w:lastColumn="0" w:oddVBand="0" w:evenVBand="0" w:oddHBand="0" w:evenHBand="0" w:firstRowFirstColumn="0" w:firstRowLastColumn="0" w:lastRowFirstColumn="0" w:lastRowLastColumn="0"/>
            <w:tcW w:w="2029" w:type="dxa"/>
            <w:vMerge w:val="restart"/>
            <w:tcBorders>
              <w:left w:val="single" w:sz="4" w:space="0" w:color="auto"/>
            </w:tcBorders>
            <w:shd w:val="clear" w:color="auto" w:fill="D9D9D9" w:themeFill="background1" w:themeFillShade="D9"/>
          </w:tcPr>
          <w:p w14:paraId="7AC92A73" w14:textId="77777777" w:rsidR="00241858" w:rsidRPr="00241858" w:rsidRDefault="00241858" w:rsidP="004A0CB2">
            <w:pPr>
              <w:spacing w:before="0"/>
              <w:rPr>
                <w:color w:val="00B0F0"/>
                <w:sz w:val="20"/>
              </w:rPr>
            </w:pPr>
            <w:r w:rsidRPr="00241858">
              <w:rPr>
                <w:color w:val="00B0F0"/>
                <w:sz w:val="20"/>
              </w:rPr>
              <w:t>Zinserträge</w:t>
            </w:r>
          </w:p>
        </w:tc>
        <w:tc>
          <w:tcPr>
            <w:tcW w:w="2863" w:type="dxa"/>
            <w:tcBorders>
              <w:top w:val="single" w:sz="8" w:space="0" w:color="000000" w:themeColor="text1"/>
              <w:bottom w:val="single" w:sz="8" w:space="0" w:color="000000" w:themeColor="text1"/>
            </w:tcBorders>
          </w:tcPr>
          <w:p w14:paraId="126E69C1" w14:textId="77777777" w:rsidR="00241858" w:rsidRPr="00241858" w:rsidRDefault="00241858" w:rsidP="004A0CB2">
            <w:pPr>
              <w:spacing w:before="0"/>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Kennzahlen</w:t>
            </w:r>
          </w:p>
        </w:tc>
        <w:tc>
          <w:tcPr>
            <w:tcW w:w="6129" w:type="dxa"/>
            <w:tcBorders>
              <w:top w:val="single" w:sz="8" w:space="0" w:color="000000" w:themeColor="text1"/>
              <w:bottom w:val="single" w:sz="8" w:space="0" w:color="000000" w:themeColor="text1"/>
            </w:tcBorders>
          </w:tcPr>
          <w:p w14:paraId="30DBBAD9" w14:textId="77777777" w:rsidR="00241858" w:rsidRPr="00241858" w:rsidRDefault="00241858" w:rsidP="004A0CB2">
            <w:pPr>
              <w:pStyle w:val="Listenabsatz"/>
              <w:numPr>
                <w:ilvl w:val="0"/>
                <w:numId w:val="20"/>
              </w:numPr>
              <w:spacing w:before="0"/>
              <w:ind w:left="435" w:hanging="426"/>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Relation Zinserträge/Anleihen</w:t>
            </w:r>
          </w:p>
        </w:tc>
        <w:tc>
          <w:tcPr>
            <w:tcW w:w="8824" w:type="dxa"/>
            <w:tcBorders>
              <w:top w:val="single" w:sz="8" w:space="0" w:color="000000" w:themeColor="text1"/>
              <w:bottom w:val="single" w:sz="8" w:space="0" w:color="000000" w:themeColor="text1"/>
            </w:tcBorders>
            <w:shd w:val="clear" w:color="auto" w:fill="F2DBDB"/>
          </w:tcPr>
          <w:p w14:paraId="789BF756" w14:textId="77777777" w:rsidR="00241858" w:rsidRPr="00241858" w:rsidRDefault="00241858" w:rsidP="004A0CB2">
            <w:pPr>
              <w:spacing w:before="0"/>
              <w:jc w:val="left"/>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top w:val="single" w:sz="8" w:space="0" w:color="000000" w:themeColor="text1"/>
              <w:bottom w:val="single" w:sz="8" w:space="0" w:color="000000" w:themeColor="text1"/>
              <w:right w:val="single" w:sz="4" w:space="0" w:color="auto"/>
            </w:tcBorders>
          </w:tcPr>
          <w:p w14:paraId="126C9CA6" w14:textId="77777777" w:rsidR="00241858" w:rsidRPr="00241858" w:rsidRDefault="00241858" w:rsidP="004A0CB2">
            <w:p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241858">
              <w:rPr>
                <w:sz w:val="20"/>
              </w:rPr>
              <w:t>10</w:t>
            </w:r>
          </w:p>
        </w:tc>
      </w:tr>
      <w:tr w:rsidR="00241858" w14:paraId="5B9F7371"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9" w:type="dxa"/>
            <w:vMerge/>
            <w:tcBorders>
              <w:top w:val="single" w:sz="8" w:space="0" w:color="000000" w:themeColor="text1"/>
              <w:left w:val="single" w:sz="4" w:space="0" w:color="auto"/>
              <w:bottom w:val="single" w:sz="4" w:space="0" w:color="auto"/>
            </w:tcBorders>
            <w:shd w:val="clear" w:color="auto" w:fill="D9D9D9" w:themeFill="background1" w:themeFillShade="D9"/>
          </w:tcPr>
          <w:p w14:paraId="188E10E1" w14:textId="77777777" w:rsidR="00241858" w:rsidRDefault="00241858" w:rsidP="00F87152">
            <w:pPr>
              <w:spacing w:before="0"/>
              <w:rPr>
                <w:sz w:val="20"/>
              </w:rPr>
            </w:pPr>
          </w:p>
        </w:tc>
        <w:tc>
          <w:tcPr>
            <w:tcW w:w="2863" w:type="dxa"/>
            <w:tcBorders>
              <w:top w:val="single" w:sz="8" w:space="0" w:color="000000" w:themeColor="text1"/>
              <w:bottom w:val="single" w:sz="4" w:space="0" w:color="auto"/>
            </w:tcBorders>
          </w:tcPr>
          <w:p w14:paraId="1D2A4901" w14:textId="77777777" w:rsidR="00241858" w:rsidRPr="00241858" w:rsidRDefault="00241858" w:rsidP="004A0CB2">
            <w:pPr>
              <w:spacing w:before="0"/>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Plausibilitätsberechnungen</w:t>
            </w:r>
          </w:p>
        </w:tc>
        <w:tc>
          <w:tcPr>
            <w:tcW w:w="6129" w:type="dxa"/>
            <w:tcBorders>
              <w:top w:val="single" w:sz="8" w:space="0" w:color="000000" w:themeColor="text1"/>
              <w:bottom w:val="single" w:sz="4" w:space="0" w:color="auto"/>
            </w:tcBorders>
          </w:tcPr>
          <w:p w14:paraId="7A3F66DA" w14:textId="77777777" w:rsidR="00241858" w:rsidRPr="00241858" w:rsidRDefault="00241858" w:rsidP="004A0CB2">
            <w:pPr>
              <w:pStyle w:val="Listenabsatz"/>
              <w:numPr>
                <w:ilvl w:val="0"/>
                <w:numId w:val="20"/>
              </w:numPr>
              <w:spacing w:before="0"/>
              <w:ind w:left="435" w:hanging="426"/>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Zinsertrag durch Anwendung des jeweiligen Zinssatzes auf den durchschnittlichen Saldo des Guthabens</w:t>
            </w:r>
          </w:p>
        </w:tc>
        <w:tc>
          <w:tcPr>
            <w:tcW w:w="8824" w:type="dxa"/>
            <w:tcBorders>
              <w:top w:val="single" w:sz="8" w:space="0" w:color="000000" w:themeColor="text1"/>
              <w:bottom w:val="single" w:sz="4" w:space="0" w:color="auto"/>
            </w:tcBorders>
            <w:shd w:val="clear" w:color="auto" w:fill="F2DBDB"/>
          </w:tcPr>
          <w:p w14:paraId="6D59C1F0" w14:textId="77777777" w:rsidR="00241858" w:rsidRPr="00241858" w:rsidRDefault="00241858" w:rsidP="004A0CB2">
            <w:pPr>
              <w:spacing w:before="0"/>
              <w:jc w:val="left"/>
              <w:cnfStyle w:val="000000100000" w:firstRow="0" w:lastRow="0" w:firstColumn="0" w:lastColumn="0" w:oddVBand="0" w:evenVBand="0" w:oddHBand="1" w:evenHBand="0" w:firstRowFirstColumn="0" w:firstRowLastColumn="0" w:lastRowFirstColumn="0" w:lastRowLastColumn="0"/>
              <w:rPr>
                <w:sz w:val="20"/>
              </w:rPr>
            </w:pPr>
          </w:p>
        </w:tc>
        <w:tc>
          <w:tcPr>
            <w:tcW w:w="1134" w:type="dxa"/>
            <w:tcBorders>
              <w:top w:val="single" w:sz="8" w:space="0" w:color="000000" w:themeColor="text1"/>
              <w:bottom w:val="single" w:sz="4" w:space="0" w:color="auto"/>
              <w:right w:val="single" w:sz="4" w:space="0" w:color="auto"/>
            </w:tcBorders>
          </w:tcPr>
          <w:p w14:paraId="2772010F" w14:textId="77777777" w:rsidR="00241858" w:rsidRPr="00241858" w:rsidRDefault="00241858" w:rsidP="004A0CB2">
            <w:pPr>
              <w:spacing w:before="0"/>
              <w:jc w:val="center"/>
              <w:cnfStyle w:val="000000100000" w:firstRow="0" w:lastRow="0" w:firstColumn="0" w:lastColumn="0" w:oddVBand="0" w:evenVBand="0" w:oddHBand="1" w:evenHBand="0" w:firstRowFirstColumn="0" w:firstRowLastColumn="0" w:lastRowFirstColumn="0" w:lastRowLastColumn="0"/>
              <w:rPr>
                <w:sz w:val="20"/>
              </w:rPr>
            </w:pPr>
            <w:r w:rsidRPr="00241858">
              <w:rPr>
                <w:sz w:val="20"/>
              </w:rPr>
              <w:t>11</w:t>
            </w:r>
          </w:p>
        </w:tc>
      </w:tr>
    </w:tbl>
    <w:p w14:paraId="0F1C8B79" w14:textId="77777777" w:rsidR="00241858" w:rsidRDefault="00241858" w:rsidP="00241858">
      <w:pPr>
        <w:spacing w:before="0"/>
        <w:rPr>
          <w:b/>
          <w:color w:val="00B0F0"/>
          <w:sz w:val="28"/>
        </w:rPr>
      </w:pPr>
      <w:r>
        <w:rPr>
          <w:b/>
          <w:color w:val="00B0F0"/>
          <w:sz w:val="28"/>
        </w:rPr>
        <w:lastRenderedPageBreak/>
        <w:t xml:space="preserve">Teil 1: </w:t>
      </w:r>
      <w:r w:rsidR="002851E6">
        <w:rPr>
          <w:b/>
          <w:color w:val="00B0F0"/>
          <w:sz w:val="28"/>
        </w:rPr>
        <w:t>Überlegungen in</w:t>
      </w:r>
      <w:r w:rsidRPr="00F55229">
        <w:rPr>
          <w:b/>
          <w:color w:val="00B0F0"/>
          <w:sz w:val="28"/>
        </w:rPr>
        <w:t xml:space="preserve"> Abhängigkeit von</w:t>
      </w:r>
      <w:r>
        <w:rPr>
          <w:b/>
          <w:color w:val="00B0F0"/>
          <w:sz w:val="28"/>
        </w:rPr>
        <w:t xml:space="preserve"> den </w:t>
      </w:r>
      <w:r w:rsidRPr="00F55229">
        <w:rPr>
          <w:b/>
          <w:color w:val="00B0F0"/>
          <w:sz w:val="28"/>
        </w:rPr>
        <w:t>Prüffeldern</w:t>
      </w:r>
      <w:r>
        <w:rPr>
          <w:b/>
          <w:color w:val="00B0F0"/>
          <w:sz w:val="28"/>
        </w:rPr>
        <w:t>, Forts.</w:t>
      </w:r>
    </w:p>
    <w:p w14:paraId="551F5721" w14:textId="77777777" w:rsidR="00241858" w:rsidRDefault="00241858" w:rsidP="00241858">
      <w:pPr>
        <w:spacing w:before="0"/>
        <w:rPr>
          <w:b/>
          <w:color w:val="00B0F0"/>
          <w:sz w:val="20"/>
        </w:rPr>
      </w:pPr>
    </w:p>
    <w:p w14:paraId="2E5E7357" w14:textId="77777777" w:rsidR="00241858" w:rsidRPr="00241858" w:rsidRDefault="00241858" w:rsidP="00241858">
      <w:pPr>
        <w:spacing w:before="0"/>
        <w:rPr>
          <w:b/>
          <w:color w:val="00B0F0"/>
          <w:sz w:val="20"/>
        </w:rPr>
      </w:pPr>
    </w:p>
    <w:tbl>
      <w:tblPr>
        <w:tblStyle w:val="HelleListe-Akzent1"/>
        <w:tblW w:w="20983" w:type="dxa"/>
        <w:tblInd w:w="1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85" w:type="dxa"/>
          <w:bottom w:w="85" w:type="dxa"/>
        </w:tblCellMar>
        <w:tblLook w:val="04A0" w:firstRow="1" w:lastRow="0" w:firstColumn="1" w:lastColumn="0" w:noHBand="0" w:noVBand="1"/>
      </w:tblPr>
      <w:tblGrid>
        <w:gridCol w:w="2030"/>
        <w:gridCol w:w="2863"/>
        <w:gridCol w:w="6129"/>
        <w:gridCol w:w="8827"/>
        <w:gridCol w:w="1134"/>
      </w:tblGrid>
      <w:tr w:rsidR="00B74EB2" w14:paraId="11127CA6" w14:textId="77777777" w:rsidTr="00B74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3" w:type="dxa"/>
            <w:gridSpan w:val="2"/>
            <w:tcBorders>
              <w:top w:val="nil"/>
              <w:left w:val="nil"/>
              <w:bottom w:val="single" w:sz="8" w:space="0" w:color="000000" w:themeColor="text1"/>
            </w:tcBorders>
            <w:shd w:val="clear" w:color="auto" w:fill="auto"/>
          </w:tcPr>
          <w:p w14:paraId="787BAF16" w14:textId="77777777" w:rsidR="00B74EB2" w:rsidRPr="00F55229" w:rsidRDefault="00B74EB2" w:rsidP="00B74EB2">
            <w:pPr>
              <w:spacing w:before="0"/>
              <w:rPr>
                <w:b w:val="0"/>
                <w:sz w:val="20"/>
              </w:rPr>
            </w:pPr>
          </w:p>
        </w:tc>
        <w:tc>
          <w:tcPr>
            <w:tcW w:w="6129" w:type="dxa"/>
            <w:tcBorders>
              <w:bottom w:val="single" w:sz="8" w:space="0" w:color="000000" w:themeColor="text1"/>
            </w:tcBorders>
            <w:shd w:val="clear" w:color="auto" w:fill="FFFFA3"/>
            <w:vAlign w:val="center"/>
          </w:tcPr>
          <w:p w14:paraId="3BF8E111" w14:textId="77777777" w:rsidR="00B74EB2" w:rsidRPr="00C15DA1" w:rsidRDefault="00B74EB2" w:rsidP="00B74EB2">
            <w:pPr>
              <w:spacing w:before="0"/>
              <w:jc w:val="left"/>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C15DA1">
              <w:rPr>
                <w:color w:val="000000" w:themeColor="text1"/>
                <w:sz w:val="20"/>
              </w:rPr>
              <w:t>besser</w:t>
            </w:r>
          </w:p>
        </w:tc>
        <w:tc>
          <w:tcPr>
            <w:tcW w:w="8827" w:type="dxa"/>
            <w:tcBorders>
              <w:bottom w:val="single" w:sz="8" w:space="0" w:color="000000" w:themeColor="text1"/>
            </w:tcBorders>
            <w:shd w:val="clear" w:color="auto" w:fill="FF0000"/>
            <w:vAlign w:val="center"/>
          </w:tcPr>
          <w:p w14:paraId="55DF2F9A" w14:textId="3C53444E" w:rsidR="00B74EB2" w:rsidRPr="00B74EB2" w:rsidRDefault="00B74EB2" w:rsidP="00B74EB2">
            <w:pPr>
              <w:spacing w:before="0"/>
              <w:jc w:val="left"/>
              <w:cnfStyle w:val="100000000000" w:firstRow="1" w:lastRow="0" w:firstColumn="0" w:lastColumn="0" w:oddVBand="0" w:evenVBand="0" w:oddHBand="0" w:evenHBand="0" w:firstRowFirstColumn="0" w:firstRowLastColumn="0" w:lastRowFirstColumn="0" w:lastRowLastColumn="0"/>
              <w:rPr>
                <w:sz w:val="20"/>
              </w:rPr>
            </w:pPr>
            <w:r w:rsidRPr="00B74EB2">
              <w:rPr>
                <w:sz w:val="20"/>
              </w:rPr>
              <w:t>weniger sinnvoll</w:t>
            </w:r>
          </w:p>
        </w:tc>
        <w:tc>
          <w:tcPr>
            <w:tcW w:w="1134" w:type="dxa"/>
            <w:tcBorders>
              <w:bottom w:val="single" w:sz="8" w:space="0" w:color="000000" w:themeColor="text1"/>
            </w:tcBorders>
            <w:shd w:val="clear" w:color="auto" w:fill="FFFFA3"/>
          </w:tcPr>
          <w:p w14:paraId="6E320C65" w14:textId="419B5840" w:rsidR="00B74EB2" w:rsidRPr="00C15DA1" w:rsidRDefault="00B74EB2" w:rsidP="00B74EB2">
            <w:pPr>
              <w:spacing w:before="0"/>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Tz. Nr.</w:t>
            </w:r>
          </w:p>
        </w:tc>
      </w:tr>
      <w:tr w:rsidR="00241858" w14:paraId="22B1FAA0"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vMerge w:val="restart"/>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0D44ACD2" w14:textId="77777777" w:rsidR="00241858" w:rsidRPr="00241858" w:rsidRDefault="00241858" w:rsidP="00F87152">
            <w:pPr>
              <w:spacing w:before="0"/>
              <w:rPr>
                <w:color w:val="00B0F0"/>
                <w:sz w:val="20"/>
              </w:rPr>
            </w:pPr>
            <w:r w:rsidRPr="00241858">
              <w:rPr>
                <w:color w:val="00B0F0"/>
                <w:sz w:val="20"/>
              </w:rPr>
              <w:t>Personalaufwand</w:t>
            </w:r>
          </w:p>
        </w:tc>
        <w:tc>
          <w:tcPr>
            <w:tcW w:w="2863" w:type="dxa"/>
            <w:tcBorders>
              <w:top w:val="single" w:sz="8" w:space="0" w:color="000000" w:themeColor="text1"/>
              <w:bottom w:val="single" w:sz="8" w:space="0" w:color="000000" w:themeColor="text1"/>
            </w:tcBorders>
          </w:tcPr>
          <w:p w14:paraId="1EA6B6D4" w14:textId="77777777" w:rsidR="00241858" w:rsidRPr="00241858" w:rsidRDefault="00241858" w:rsidP="00F87152">
            <w:pPr>
              <w:spacing w:before="0"/>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Datenbasis</w:t>
            </w:r>
          </w:p>
        </w:tc>
        <w:tc>
          <w:tcPr>
            <w:tcW w:w="6129" w:type="dxa"/>
            <w:tcBorders>
              <w:top w:val="single" w:sz="8" w:space="0" w:color="000000" w:themeColor="text1"/>
              <w:bottom w:val="single" w:sz="8" w:space="0" w:color="000000" w:themeColor="text1"/>
            </w:tcBorders>
          </w:tcPr>
          <w:p w14:paraId="7CC0A1E1" w14:textId="77777777" w:rsidR="00241858" w:rsidRPr="00241858" w:rsidRDefault="00241858" w:rsidP="00F55229">
            <w:pPr>
              <w:pStyle w:val="Listenabsatz"/>
              <w:numPr>
                <w:ilvl w:val="0"/>
                <w:numId w:val="20"/>
              </w:numPr>
              <w:spacing w:before="0"/>
              <w:ind w:left="435" w:hanging="426"/>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auf Basis von beispielsweise Vertragsunterlagen, Tarifverträge, Mitarbeiterstatistiken</w:t>
            </w:r>
          </w:p>
        </w:tc>
        <w:tc>
          <w:tcPr>
            <w:tcW w:w="8827" w:type="dxa"/>
            <w:tcBorders>
              <w:top w:val="single" w:sz="8" w:space="0" w:color="000000" w:themeColor="text1"/>
              <w:bottom w:val="single" w:sz="8" w:space="0" w:color="000000" w:themeColor="text1"/>
            </w:tcBorders>
            <w:shd w:val="clear" w:color="auto" w:fill="F2DBDB"/>
          </w:tcPr>
          <w:p w14:paraId="050F1DCB" w14:textId="77777777" w:rsidR="00241858" w:rsidRPr="00241858" w:rsidRDefault="00241858" w:rsidP="00F55229">
            <w:pPr>
              <w:pStyle w:val="Listenabsatz"/>
              <w:numPr>
                <w:ilvl w:val="0"/>
                <w:numId w:val="20"/>
              </w:numPr>
              <w:spacing w:before="0"/>
              <w:ind w:left="342" w:hanging="342"/>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auf Basis der Daten der Lohn- und Gehaltsbuchhaltung</w:t>
            </w:r>
          </w:p>
        </w:tc>
        <w:tc>
          <w:tcPr>
            <w:tcW w:w="1134" w:type="dxa"/>
            <w:tcBorders>
              <w:top w:val="single" w:sz="8" w:space="0" w:color="000000" w:themeColor="text1"/>
              <w:bottom w:val="single" w:sz="8" w:space="0" w:color="000000" w:themeColor="text1"/>
              <w:right w:val="single" w:sz="8" w:space="0" w:color="000000" w:themeColor="text1"/>
            </w:tcBorders>
          </w:tcPr>
          <w:p w14:paraId="2FF69B56" w14:textId="77777777" w:rsidR="00241858" w:rsidRPr="00241858" w:rsidRDefault="00241858" w:rsidP="00F55229">
            <w:pPr>
              <w:spacing w:before="0"/>
              <w:jc w:val="center"/>
              <w:cnfStyle w:val="000000100000" w:firstRow="0" w:lastRow="0" w:firstColumn="0" w:lastColumn="0" w:oddVBand="0" w:evenVBand="0" w:oddHBand="1" w:evenHBand="0" w:firstRowFirstColumn="0" w:firstRowLastColumn="0" w:lastRowFirstColumn="0" w:lastRowLastColumn="0"/>
              <w:rPr>
                <w:sz w:val="20"/>
              </w:rPr>
            </w:pPr>
            <w:r w:rsidRPr="00241858">
              <w:rPr>
                <w:sz w:val="20"/>
              </w:rPr>
              <w:t>12</w:t>
            </w:r>
          </w:p>
        </w:tc>
      </w:tr>
      <w:tr w:rsidR="00241858" w14:paraId="360D624F" w14:textId="77777777" w:rsidTr="00B74EB2">
        <w:tc>
          <w:tcPr>
            <w:cnfStyle w:val="001000000000" w:firstRow="0" w:lastRow="0" w:firstColumn="1" w:lastColumn="0" w:oddVBand="0" w:evenVBand="0" w:oddHBand="0" w:evenHBand="0" w:firstRowFirstColumn="0" w:firstRowLastColumn="0" w:lastRowFirstColumn="0" w:lastRowLastColumn="0"/>
            <w:tcW w:w="2030" w:type="dxa"/>
            <w:vMerge/>
            <w:tcBorders>
              <w:left w:val="single" w:sz="4" w:space="0" w:color="auto"/>
              <w:right w:val="single" w:sz="8" w:space="0" w:color="000000" w:themeColor="text1"/>
            </w:tcBorders>
            <w:shd w:val="clear" w:color="auto" w:fill="D9D9D9" w:themeFill="background1" w:themeFillShade="D9"/>
          </w:tcPr>
          <w:p w14:paraId="20E89170" w14:textId="77777777" w:rsidR="00241858" w:rsidRPr="00241858" w:rsidRDefault="00241858" w:rsidP="00F87152">
            <w:pPr>
              <w:spacing w:before="0"/>
              <w:rPr>
                <w:color w:val="00B0F0"/>
                <w:sz w:val="20"/>
              </w:rPr>
            </w:pPr>
          </w:p>
        </w:tc>
        <w:tc>
          <w:tcPr>
            <w:tcW w:w="2863" w:type="dxa"/>
            <w:tcBorders>
              <w:left w:val="single" w:sz="8" w:space="0" w:color="000000" w:themeColor="text1"/>
              <w:right w:val="single" w:sz="8" w:space="0" w:color="000000" w:themeColor="text1"/>
            </w:tcBorders>
          </w:tcPr>
          <w:p w14:paraId="152029D7" w14:textId="77777777" w:rsidR="00241858" w:rsidRPr="00241858" w:rsidRDefault="00241858" w:rsidP="00F87152">
            <w:pPr>
              <w:spacing w:before="0"/>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Kennzahlen</w:t>
            </w:r>
          </w:p>
        </w:tc>
        <w:tc>
          <w:tcPr>
            <w:tcW w:w="6129" w:type="dxa"/>
            <w:tcBorders>
              <w:left w:val="single" w:sz="8" w:space="0" w:color="000000" w:themeColor="text1"/>
              <w:right w:val="single" w:sz="8" w:space="0" w:color="000000" w:themeColor="text1"/>
            </w:tcBorders>
            <w:shd w:val="clear" w:color="auto" w:fill="auto"/>
          </w:tcPr>
          <w:p w14:paraId="0DF1E0C5" w14:textId="77777777" w:rsidR="00241858" w:rsidRPr="00241858" w:rsidRDefault="00241858" w:rsidP="00F55229">
            <w:pPr>
              <w:pStyle w:val="Listenabsatz"/>
              <w:numPr>
                <w:ilvl w:val="0"/>
                <w:numId w:val="23"/>
              </w:numPr>
              <w:spacing w:before="0"/>
              <w:ind w:left="435" w:hanging="426"/>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Vergleich Sozialaufwand zu Lohn- und Gehaltsaufwendungen</w:t>
            </w:r>
          </w:p>
        </w:tc>
        <w:tc>
          <w:tcPr>
            <w:tcW w:w="8827" w:type="dxa"/>
            <w:tcBorders>
              <w:left w:val="single" w:sz="8" w:space="0" w:color="000000" w:themeColor="text1"/>
              <w:bottom w:val="single" w:sz="8" w:space="0" w:color="000000" w:themeColor="text1"/>
              <w:right w:val="single" w:sz="8" w:space="0" w:color="000000" w:themeColor="text1"/>
            </w:tcBorders>
            <w:shd w:val="clear" w:color="auto" w:fill="F2DBDB"/>
          </w:tcPr>
          <w:p w14:paraId="134899DF" w14:textId="77777777" w:rsidR="00241858" w:rsidRPr="00241858" w:rsidRDefault="00241858"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left w:val="single" w:sz="8" w:space="0" w:color="000000" w:themeColor="text1"/>
              <w:bottom w:val="single" w:sz="8" w:space="0" w:color="000000" w:themeColor="text1"/>
            </w:tcBorders>
          </w:tcPr>
          <w:p w14:paraId="6343AB3E" w14:textId="77777777" w:rsidR="00241858" w:rsidRPr="00241858" w:rsidRDefault="00241858" w:rsidP="00F55229">
            <w:p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241858">
              <w:rPr>
                <w:sz w:val="20"/>
              </w:rPr>
              <w:t>13</w:t>
            </w:r>
          </w:p>
        </w:tc>
      </w:tr>
      <w:tr w:rsidR="00241858" w14:paraId="0C9A6048"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vMerge/>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3A81430C" w14:textId="77777777" w:rsidR="00241858" w:rsidRPr="00241858" w:rsidRDefault="00241858" w:rsidP="00F87152">
            <w:pPr>
              <w:spacing w:before="0"/>
              <w:rPr>
                <w:color w:val="00B0F0"/>
                <w:sz w:val="20"/>
              </w:rPr>
            </w:pPr>
          </w:p>
        </w:tc>
        <w:tc>
          <w:tcPr>
            <w:tcW w:w="2863" w:type="dxa"/>
            <w:tcBorders>
              <w:top w:val="single" w:sz="8" w:space="0" w:color="000000" w:themeColor="text1"/>
              <w:bottom w:val="single" w:sz="8" w:space="0" w:color="000000" w:themeColor="text1"/>
            </w:tcBorders>
          </w:tcPr>
          <w:p w14:paraId="0BF5EEBE" w14:textId="77777777" w:rsidR="00241858" w:rsidRPr="00241858" w:rsidRDefault="00241858" w:rsidP="00F87152">
            <w:pPr>
              <w:spacing w:before="0"/>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Plausibilitätsberechnungen</w:t>
            </w:r>
          </w:p>
        </w:tc>
        <w:tc>
          <w:tcPr>
            <w:tcW w:w="6129" w:type="dxa"/>
            <w:tcBorders>
              <w:top w:val="single" w:sz="8" w:space="0" w:color="000000" w:themeColor="text1"/>
              <w:bottom w:val="single" w:sz="8" w:space="0" w:color="000000" w:themeColor="text1"/>
            </w:tcBorders>
          </w:tcPr>
          <w:p w14:paraId="74D49828" w14:textId="77777777" w:rsidR="00241858" w:rsidRPr="00241858" w:rsidRDefault="00241858" w:rsidP="00F55229">
            <w:pPr>
              <w:pStyle w:val="Listenabsatz"/>
              <w:numPr>
                <w:ilvl w:val="0"/>
                <w:numId w:val="21"/>
              </w:numPr>
              <w:spacing w:before="0"/>
              <w:ind w:left="435" w:hanging="426"/>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Personalaufwand auf der Grundlage von Mitarbeiterzahlen auf der Basis von Vollzeitkräften, durchschnittlichen Lohn- und Gehaltssteigerungen und durchschnittlichen Arbeitsstunden</w:t>
            </w:r>
          </w:p>
          <w:p w14:paraId="1ADE2C05" w14:textId="77777777" w:rsidR="00241858" w:rsidRPr="00241858" w:rsidRDefault="00241858" w:rsidP="00F55229">
            <w:pPr>
              <w:spacing w:before="0"/>
              <w:ind w:left="435" w:hanging="426"/>
              <w:jc w:val="left"/>
              <w:cnfStyle w:val="000000100000" w:firstRow="0" w:lastRow="0" w:firstColumn="0" w:lastColumn="0" w:oddVBand="0" w:evenVBand="0" w:oddHBand="1" w:evenHBand="0" w:firstRowFirstColumn="0" w:firstRowLastColumn="0" w:lastRowFirstColumn="0" w:lastRowLastColumn="0"/>
              <w:rPr>
                <w:sz w:val="20"/>
              </w:rPr>
            </w:pPr>
          </w:p>
        </w:tc>
        <w:tc>
          <w:tcPr>
            <w:tcW w:w="8827" w:type="dxa"/>
            <w:tcBorders>
              <w:top w:val="single" w:sz="8" w:space="0" w:color="000000" w:themeColor="text1"/>
              <w:bottom w:val="single" w:sz="8" w:space="0" w:color="000000" w:themeColor="text1"/>
              <w:right w:val="single" w:sz="4" w:space="0" w:color="auto"/>
            </w:tcBorders>
            <w:shd w:val="clear" w:color="auto" w:fill="F2DBDB"/>
          </w:tcPr>
          <w:p w14:paraId="584B8E76" w14:textId="0A928093" w:rsidR="00241858" w:rsidRPr="00241858" w:rsidRDefault="00241858" w:rsidP="00F55229">
            <w:pPr>
              <w:pStyle w:val="Listenabsatz"/>
              <w:numPr>
                <w:ilvl w:val="0"/>
                <w:numId w:val="21"/>
              </w:numPr>
              <w:spacing w:before="0"/>
              <w:ind w:left="342" w:hanging="342"/>
              <w:jc w:val="left"/>
              <w:cnfStyle w:val="000000100000" w:firstRow="0" w:lastRow="0" w:firstColumn="0" w:lastColumn="0" w:oddVBand="0" w:evenVBand="0" w:oddHBand="1" w:evenHBand="0" w:firstRowFirstColumn="0" w:firstRowLastColumn="0" w:lastRowFirstColumn="0" w:lastRowLastColumn="0"/>
              <w:rPr>
                <w:sz w:val="20"/>
              </w:rPr>
            </w:pPr>
            <w:r w:rsidRPr="00241858">
              <w:rPr>
                <w:rStyle w:val="HervorhebungROT"/>
                <w:b w:val="0"/>
                <w:color w:val="auto"/>
                <w:sz w:val="20"/>
              </w:rPr>
              <w:t xml:space="preserve">Ist die Zusammensetzung der Arbeitnehmer sehr inhomogen, </w:t>
            </w:r>
            <w:r w:rsidRPr="00241858">
              <w:rPr>
                <w:sz w:val="20"/>
              </w:rPr>
              <w:t>umfasst</w:t>
            </w:r>
            <w:r w:rsidRPr="00241858">
              <w:rPr>
                <w:rStyle w:val="HervorhebungROT"/>
                <w:b w:val="0"/>
                <w:color w:val="auto"/>
                <w:sz w:val="20"/>
              </w:rPr>
              <w:t xml:space="preserve"> also tarifliche und außertarifliche Angestellte sowie gewerbliche </w:t>
            </w:r>
            <w:proofErr w:type="spellStart"/>
            <w:r w:rsidRPr="00241858">
              <w:rPr>
                <w:rStyle w:val="HervorhebungROT"/>
                <w:b w:val="0"/>
                <w:color w:val="auto"/>
                <w:sz w:val="20"/>
              </w:rPr>
              <w:t>Arbeitnehmer</w:t>
            </w:r>
            <w:r w:rsidR="00EF3B1A">
              <w:rPr>
                <w:rStyle w:val="HervorhebungROT"/>
                <w:b w:val="0"/>
                <w:color w:val="auto"/>
                <w:sz w:val="20"/>
              </w:rPr>
              <w:t>c</w:t>
            </w:r>
            <w:proofErr w:type="spellEnd"/>
            <w:r w:rsidRPr="00241858">
              <w:rPr>
                <w:rStyle w:val="HervorhebungROT"/>
                <w:b w:val="0"/>
                <w:color w:val="auto"/>
                <w:sz w:val="20"/>
              </w:rPr>
              <w:t>, reicht es für die Prognose des Personalaufwandes nicht, z.B. nur die Tariflohnsteigerungen zu berücksichtigen.</w:t>
            </w:r>
          </w:p>
        </w:tc>
        <w:tc>
          <w:tcPr>
            <w:tcW w:w="1134" w:type="dxa"/>
            <w:tcBorders>
              <w:top w:val="single" w:sz="8" w:space="0" w:color="000000" w:themeColor="text1"/>
              <w:bottom w:val="single" w:sz="8" w:space="0" w:color="000000" w:themeColor="text1"/>
              <w:right w:val="single" w:sz="8" w:space="0" w:color="000000" w:themeColor="text1"/>
            </w:tcBorders>
          </w:tcPr>
          <w:p w14:paraId="65A52C1E" w14:textId="77777777" w:rsidR="00241858" w:rsidRPr="00241858" w:rsidRDefault="00241858" w:rsidP="00F55229">
            <w:pPr>
              <w:spacing w:before="0"/>
              <w:jc w:val="center"/>
              <w:cnfStyle w:val="000000100000" w:firstRow="0" w:lastRow="0" w:firstColumn="0" w:lastColumn="0" w:oddVBand="0" w:evenVBand="0" w:oddHBand="1" w:evenHBand="0" w:firstRowFirstColumn="0" w:firstRowLastColumn="0" w:lastRowFirstColumn="0" w:lastRowLastColumn="0"/>
              <w:rPr>
                <w:rStyle w:val="HervorhebungROT"/>
                <w:b w:val="0"/>
                <w:color w:val="auto"/>
                <w:sz w:val="20"/>
              </w:rPr>
            </w:pPr>
            <w:r w:rsidRPr="00241858">
              <w:rPr>
                <w:rStyle w:val="HervorhebungROT"/>
                <w:b w:val="0"/>
                <w:color w:val="auto"/>
                <w:sz w:val="20"/>
              </w:rPr>
              <w:t>14</w:t>
            </w:r>
          </w:p>
        </w:tc>
      </w:tr>
      <w:tr w:rsidR="00241858" w14:paraId="54F84A45" w14:textId="77777777" w:rsidTr="00B74EB2">
        <w:tc>
          <w:tcPr>
            <w:cnfStyle w:val="001000000000" w:firstRow="0" w:lastRow="0" w:firstColumn="1" w:lastColumn="0" w:oddVBand="0" w:evenVBand="0" w:oddHBand="0" w:evenHBand="0" w:firstRowFirstColumn="0" w:firstRowLastColumn="0" w:lastRowFirstColumn="0" w:lastRowLastColumn="0"/>
            <w:tcW w:w="2030" w:type="dxa"/>
            <w:tcBorders>
              <w:left w:val="single" w:sz="4" w:space="0" w:color="auto"/>
            </w:tcBorders>
            <w:shd w:val="clear" w:color="auto" w:fill="D9D9D9" w:themeFill="background1" w:themeFillShade="D9"/>
          </w:tcPr>
          <w:p w14:paraId="196C546B" w14:textId="77777777" w:rsidR="00241858" w:rsidRPr="00241858" w:rsidRDefault="00241858" w:rsidP="00F87152">
            <w:pPr>
              <w:spacing w:before="0"/>
              <w:rPr>
                <w:color w:val="00B0F0"/>
                <w:sz w:val="20"/>
              </w:rPr>
            </w:pPr>
            <w:r w:rsidRPr="00241858">
              <w:rPr>
                <w:color w:val="00B0F0"/>
                <w:sz w:val="20"/>
              </w:rPr>
              <w:t>Abschreibungen</w:t>
            </w:r>
          </w:p>
        </w:tc>
        <w:tc>
          <w:tcPr>
            <w:tcW w:w="2863" w:type="dxa"/>
          </w:tcPr>
          <w:p w14:paraId="6BEF516E" w14:textId="77777777" w:rsidR="00241858" w:rsidRPr="00241858" w:rsidRDefault="00241858" w:rsidP="00F87152">
            <w:pPr>
              <w:spacing w:before="0"/>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Plausibilitätsüberlegungen</w:t>
            </w:r>
          </w:p>
        </w:tc>
        <w:tc>
          <w:tcPr>
            <w:tcW w:w="6129" w:type="dxa"/>
          </w:tcPr>
          <w:p w14:paraId="5713CA84" w14:textId="77777777" w:rsidR="00241858" w:rsidRPr="00241858" w:rsidRDefault="00241858" w:rsidP="00F55229">
            <w:pPr>
              <w:pStyle w:val="Listenabsatz"/>
              <w:numPr>
                <w:ilvl w:val="0"/>
                <w:numId w:val="22"/>
              </w:numPr>
              <w:spacing w:before="0"/>
              <w:ind w:left="435" w:hanging="426"/>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Ermittlung der des Erwartungswertes auf Basis der Vorjahreszahlen unter Berücksichtigung der Zu- und Abgänge bzw. der Beendigung von Abschreibungen; z</w:t>
            </w:r>
            <w:r w:rsidRPr="00241858">
              <w:rPr>
                <w:rStyle w:val="HervorhebungROT"/>
                <w:b w:val="0"/>
                <w:color w:val="auto"/>
                <w:sz w:val="20"/>
              </w:rPr>
              <w:t>u beachten sind aber auch Änderungen der Abschreibungsmethode von beispielsweise degressiv auf linear</w:t>
            </w:r>
          </w:p>
        </w:tc>
        <w:tc>
          <w:tcPr>
            <w:tcW w:w="8827" w:type="dxa"/>
            <w:tcBorders>
              <w:top w:val="single" w:sz="8" w:space="0" w:color="000000" w:themeColor="text1"/>
              <w:bottom w:val="single" w:sz="8" w:space="0" w:color="000000" w:themeColor="text1"/>
            </w:tcBorders>
            <w:shd w:val="clear" w:color="auto" w:fill="F2DBDB"/>
          </w:tcPr>
          <w:p w14:paraId="2D4D16FA" w14:textId="77777777" w:rsidR="00241858" w:rsidRPr="00241858" w:rsidRDefault="00241858" w:rsidP="00F55229">
            <w:pPr>
              <w:spacing w:before="0"/>
              <w:jc w:val="left"/>
              <w:cnfStyle w:val="000000000000" w:firstRow="0" w:lastRow="0" w:firstColumn="0" w:lastColumn="0" w:oddVBand="0" w:evenVBand="0" w:oddHBand="0" w:evenHBand="0" w:firstRowFirstColumn="0" w:firstRowLastColumn="0" w:lastRowFirstColumn="0" w:lastRowLastColumn="0"/>
              <w:rPr>
                <w:rStyle w:val="HervorhebungROT"/>
                <w:b w:val="0"/>
                <w:color w:val="auto"/>
                <w:sz w:val="20"/>
              </w:rPr>
            </w:pPr>
          </w:p>
        </w:tc>
        <w:tc>
          <w:tcPr>
            <w:tcW w:w="1134" w:type="dxa"/>
            <w:tcBorders>
              <w:top w:val="single" w:sz="8" w:space="0" w:color="000000" w:themeColor="text1"/>
              <w:bottom w:val="single" w:sz="8" w:space="0" w:color="000000" w:themeColor="text1"/>
            </w:tcBorders>
          </w:tcPr>
          <w:p w14:paraId="01773351" w14:textId="77777777" w:rsidR="00241858" w:rsidRPr="00241858" w:rsidRDefault="00241858" w:rsidP="00F55229">
            <w:pPr>
              <w:spacing w:before="0"/>
              <w:jc w:val="center"/>
              <w:cnfStyle w:val="000000000000" w:firstRow="0" w:lastRow="0" w:firstColumn="0" w:lastColumn="0" w:oddVBand="0" w:evenVBand="0" w:oddHBand="0" w:evenHBand="0" w:firstRowFirstColumn="0" w:firstRowLastColumn="0" w:lastRowFirstColumn="0" w:lastRowLastColumn="0"/>
              <w:rPr>
                <w:rStyle w:val="HervorhebungROT"/>
                <w:b w:val="0"/>
                <w:color w:val="auto"/>
                <w:sz w:val="20"/>
              </w:rPr>
            </w:pPr>
            <w:r w:rsidRPr="00241858">
              <w:rPr>
                <w:rStyle w:val="HervorhebungROT"/>
                <w:b w:val="0"/>
                <w:color w:val="auto"/>
                <w:sz w:val="20"/>
              </w:rPr>
              <w:t>15</w:t>
            </w:r>
          </w:p>
        </w:tc>
      </w:tr>
      <w:tr w:rsidR="00241858" w14:paraId="2046F2CC" w14:textId="77777777" w:rsidTr="00B74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vMerge w:val="restart"/>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54461A79" w14:textId="77777777" w:rsidR="00241858" w:rsidRPr="00241858" w:rsidRDefault="00241858" w:rsidP="00F87152">
            <w:pPr>
              <w:spacing w:before="0"/>
              <w:rPr>
                <w:color w:val="00B0F0"/>
                <w:sz w:val="20"/>
              </w:rPr>
            </w:pPr>
            <w:r w:rsidRPr="00241858">
              <w:rPr>
                <w:color w:val="00B0F0"/>
                <w:sz w:val="20"/>
              </w:rPr>
              <w:t>Provisionsaufwand</w:t>
            </w:r>
          </w:p>
        </w:tc>
        <w:tc>
          <w:tcPr>
            <w:tcW w:w="2863" w:type="dxa"/>
            <w:tcBorders>
              <w:top w:val="single" w:sz="8" w:space="0" w:color="000000" w:themeColor="text1"/>
              <w:bottom w:val="single" w:sz="8" w:space="0" w:color="000000" w:themeColor="text1"/>
            </w:tcBorders>
          </w:tcPr>
          <w:p w14:paraId="20727E5C" w14:textId="77777777" w:rsidR="00241858" w:rsidRPr="00241858" w:rsidRDefault="00241858" w:rsidP="00F87152">
            <w:pPr>
              <w:spacing w:before="0"/>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Kennzahlen</w:t>
            </w:r>
          </w:p>
        </w:tc>
        <w:tc>
          <w:tcPr>
            <w:tcW w:w="6129" w:type="dxa"/>
            <w:tcBorders>
              <w:top w:val="single" w:sz="8" w:space="0" w:color="000000" w:themeColor="text1"/>
              <w:bottom w:val="single" w:sz="8" w:space="0" w:color="000000" w:themeColor="text1"/>
            </w:tcBorders>
          </w:tcPr>
          <w:p w14:paraId="63664033" w14:textId="77777777" w:rsidR="00241858" w:rsidRPr="00241858" w:rsidRDefault="00241858" w:rsidP="00F55229">
            <w:pPr>
              <w:pStyle w:val="Listenabsatz"/>
              <w:numPr>
                <w:ilvl w:val="0"/>
                <w:numId w:val="22"/>
              </w:numPr>
              <w:spacing w:before="0"/>
              <w:ind w:left="435" w:hanging="426"/>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Relation Umsatz und Provisionsaufwand (wenn nur vom Umsatz abhängig)</w:t>
            </w:r>
          </w:p>
        </w:tc>
        <w:tc>
          <w:tcPr>
            <w:tcW w:w="8827" w:type="dxa"/>
            <w:tcBorders>
              <w:top w:val="single" w:sz="8" w:space="0" w:color="000000" w:themeColor="text1"/>
              <w:bottom w:val="single" w:sz="8" w:space="0" w:color="000000" w:themeColor="text1"/>
              <w:right w:val="single" w:sz="4" w:space="0" w:color="auto"/>
            </w:tcBorders>
            <w:shd w:val="clear" w:color="auto" w:fill="F2DBDB"/>
          </w:tcPr>
          <w:p w14:paraId="64B9C7E1" w14:textId="77777777" w:rsidR="00241858" w:rsidRPr="00241858" w:rsidRDefault="00241858" w:rsidP="00F55229">
            <w:pPr>
              <w:pStyle w:val="Listenabsatz"/>
              <w:numPr>
                <w:ilvl w:val="0"/>
                <w:numId w:val="22"/>
              </w:numPr>
              <w:spacing w:before="0"/>
              <w:ind w:left="342" w:hanging="342"/>
              <w:jc w:val="left"/>
              <w:cnfStyle w:val="000000100000" w:firstRow="0" w:lastRow="0" w:firstColumn="0" w:lastColumn="0" w:oddVBand="0" w:evenVBand="0" w:oddHBand="1" w:evenHBand="0" w:firstRowFirstColumn="0" w:firstRowLastColumn="0" w:lastRowFirstColumn="0" w:lastRowLastColumn="0"/>
              <w:rPr>
                <w:rStyle w:val="HervorhebungROT"/>
                <w:b w:val="0"/>
                <w:color w:val="auto"/>
                <w:sz w:val="20"/>
              </w:rPr>
            </w:pPr>
            <w:r w:rsidRPr="00241858">
              <w:rPr>
                <w:rStyle w:val="HervorhebungROT"/>
                <w:b w:val="0"/>
                <w:color w:val="auto"/>
                <w:sz w:val="20"/>
              </w:rPr>
              <w:t>Entsprechend nur die Realisierung hängt zudem von dem Zahlungseingang der Grundforderung ab</w:t>
            </w:r>
          </w:p>
        </w:tc>
        <w:tc>
          <w:tcPr>
            <w:tcW w:w="1134" w:type="dxa"/>
            <w:tcBorders>
              <w:top w:val="single" w:sz="8" w:space="0" w:color="000000" w:themeColor="text1"/>
              <w:bottom w:val="single" w:sz="8" w:space="0" w:color="000000" w:themeColor="text1"/>
              <w:right w:val="single" w:sz="8" w:space="0" w:color="000000" w:themeColor="text1"/>
            </w:tcBorders>
          </w:tcPr>
          <w:p w14:paraId="4635FD65" w14:textId="77777777" w:rsidR="00241858" w:rsidRPr="00241858" w:rsidRDefault="00241858" w:rsidP="00F55229">
            <w:pPr>
              <w:spacing w:before="0"/>
              <w:jc w:val="center"/>
              <w:cnfStyle w:val="000000100000" w:firstRow="0" w:lastRow="0" w:firstColumn="0" w:lastColumn="0" w:oddVBand="0" w:evenVBand="0" w:oddHBand="1" w:evenHBand="0" w:firstRowFirstColumn="0" w:firstRowLastColumn="0" w:lastRowFirstColumn="0" w:lastRowLastColumn="0"/>
              <w:rPr>
                <w:rStyle w:val="HervorhebungROT"/>
                <w:b w:val="0"/>
                <w:color w:val="auto"/>
                <w:sz w:val="20"/>
              </w:rPr>
            </w:pPr>
            <w:r w:rsidRPr="00241858">
              <w:rPr>
                <w:rStyle w:val="HervorhebungROT"/>
                <w:b w:val="0"/>
                <w:color w:val="auto"/>
                <w:sz w:val="20"/>
              </w:rPr>
              <w:t>16</w:t>
            </w:r>
          </w:p>
        </w:tc>
      </w:tr>
      <w:tr w:rsidR="00241858" w14:paraId="263ECDDE" w14:textId="77777777" w:rsidTr="00B74EB2">
        <w:tc>
          <w:tcPr>
            <w:cnfStyle w:val="001000000000" w:firstRow="0" w:lastRow="0" w:firstColumn="1" w:lastColumn="0" w:oddVBand="0" w:evenVBand="0" w:oddHBand="0" w:evenHBand="0" w:firstRowFirstColumn="0" w:firstRowLastColumn="0" w:lastRowFirstColumn="0" w:lastRowLastColumn="0"/>
            <w:tcW w:w="2030" w:type="dxa"/>
            <w:vMerge/>
            <w:tcBorders>
              <w:left w:val="single" w:sz="4" w:space="0" w:color="auto"/>
            </w:tcBorders>
            <w:shd w:val="clear" w:color="auto" w:fill="D9D9D9" w:themeFill="background1" w:themeFillShade="D9"/>
          </w:tcPr>
          <w:p w14:paraId="5CDD2D30" w14:textId="77777777" w:rsidR="00241858" w:rsidRPr="00241858" w:rsidRDefault="00241858" w:rsidP="00F87152">
            <w:pPr>
              <w:spacing w:before="0"/>
              <w:rPr>
                <w:sz w:val="20"/>
              </w:rPr>
            </w:pPr>
          </w:p>
        </w:tc>
        <w:tc>
          <w:tcPr>
            <w:tcW w:w="2863" w:type="dxa"/>
          </w:tcPr>
          <w:p w14:paraId="2C1B634E" w14:textId="77777777" w:rsidR="00241858" w:rsidRPr="00241858" w:rsidRDefault="00241858" w:rsidP="00F87152">
            <w:pPr>
              <w:spacing w:before="0"/>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Plausibilitätsberechnungen</w:t>
            </w:r>
          </w:p>
        </w:tc>
        <w:tc>
          <w:tcPr>
            <w:tcW w:w="6129" w:type="dxa"/>
          </w:tcPr>
          <w:p w14:paraId="31BD6B26" w14:textId="77777777" w:rsidR="00241858" w:rsidRPr="00241858" w:rsidRDefault="00241858" w:rsidP="00F55229">
            <w:pPr>
              <w:pStyle w:val="Listenabsatz"/>
              <w:numPr>
                <w:ilvl w:val="0"/>
                <w:numId w:val="22"/>
              </w:numPr>
              <w:spacing w:before="0"/>
              <w:ind w:left="435" w:hanging="426"/>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Hochrechnung des Aufwandes an Hand des Umsatzes und des %-Satzes, sofern der Aufwand nur von der Realisierung des Umsatzes abhängt</w:t>
            </w:r>
          </w:p>
        </w:tc>
        <w:tc>
          <w:tcPr>
            <w:tcW w:w="8827" w:type="dxa"/>
            <w:tcBorders>
              <w:top w:val="single" w:sz="8" w:space="0" w:color="000000" w:themeColor="text1"/>
            </w:tcBorders>
            <w:shd w:val="clear" w:color="auto" w:fill="F2DBDB"/>
          </w:tcPr>
          <w:p w14:paraId="4AC4530A" w14:textId="77777777" w:rsidR="00241858" w:rsidRPr="00241858" w:rsidRDefault="00241858" w:rsidP="00F55229">
            <w:pPr>
              <w:pStyle w:val="Listenabsatz"/>
              <w:numPr>
                <w:ilvl w:val="0"/>
                <w:numId w:val="22"/>
              </w:numPr>
              <w:spacing w:before="0"/>
              <w:ind w:left="342" w:hanging="342"/>
              <w:jc w:val="left"/>
              <w:cnfStyle w:val="000000000000" w:firstRow="0" w:lastRow="0" w:firstColumn="0" w:lastColumn="0" w:oddVBand="0" w:evenVBand="0" w:oddHBand="0" w:evenHBand="0" w:firstRowFirstColumn="0" w:firstRowLastColumn="0" w:lastRowFirstColumn="0" w:lastRowLastColumn="0"/>
              <w:rPr>
                <w:rStyle w:val="HervorhebungROT"/>
                <w:b w:val="0"/>
                <w:color w:val="auto"/>
                <w:sz w:val="20"/>
              </w:rPr>
            </w:pPr>
            <w:r w:rsidRPr="00241858">
              <w:rPr>
                <w:rStyle w:val="HervorhebungROT"/>
                <w:b w:val="0"/>
                <w:color w:val="auto"/>
                <w:sz w:val="20"/>
              </w:rPr>
              <w:t>Entsprechend nur die Realisierung hängt zudem von dem Zahlungseingang der Grundforderung</w:t>
            </w:r>
          </w:p>
        </w:tc>
        <w:tc>
          <w:tcPr>
            <w:tcW w:w="1134" w:type="dxa"/>
            <w:tcBorders>
              <w:top w:val="single" w:sz="8" w:space="0" w:color="000000" w:themeColor="text1"/>
            </w:tcBorders>
          </w:tcPr>
          <w:p w14:paraId="68B29659" w14:textId="77777777" w:rsidR="00241858" w:rsidRPr="00241858" w:rsidRDefault="00241858" w:rsidP="00F55229">
            <w:pPr>
              <w:spacing w:before="0"/>
              <w:jc w:val="center"/>
              <w:cnfStyle w:val="000000000000" w:firstRow="0" w:lastRow="0" w:firstColumn="0" w:lastColumn="0" w:oddVBand="0" w:evenVBand="0" w:oddHBand="0" w:evenHBand="0" w:firstRowFirstColumn="0" w:firstRowLastColumn="0" w:lastRowFirstColumn="0" w:lastRowLastColumn="0"/>
              <w:rPr>
                <w:rStyle w:val="HervorhebungROT"/>
                <w:b w:val="0"/>
                <w:color w:val="auto"/>
                <w:sz w:val="20"/>
              </w:rPr>
            </w:pPr>
            <w:r w:rsidRPr="00241858">
              <w:rPr>
                <w:rStyle w:val="HervorhebungROT"/>
                <w:b w:val="0"/>
                <w:color w:val="auto"/>
                <w:sz w:val="20"/>
              </w:rPr>
              <w:t>17</w:t>
            </w:r>
          </w:p>
        </w:tc>
      </w:tr>
    </w:tbl>
    <w:p w14:paraId="526C88F3" w14:textId="77777777" w:rsidR="00CF6001" w:rsidRDefault="00CF6001">
      <w:pPr>
        <w:spacing w:before="0"/>
        <w:rPr>
          <w:sz w:val="20"/>
        </w:rPr>
      </w:pPr>
    </w:p>
    <w:p w14:paraId="28CEC12C" w14:textId="77777777" w:rsidR="00CF6001" w:rsidRDefault="00CF6001" w:rsidP="00CF6001">
      <w:pPr>
        <w:pStyle w:val="Standardeinzug"/>
      </w:pPr>
      <w:r>
        <w:br w:type="page"/>
      </w:r>
    </w:p>
    <w:p w14:paraId="1ED5883B" w14:textId="77777777" w:rsidR="00760EDA" w:rsidRDefault="00760EDA">
      <w:pPr>
        <w:spacing w:before="0"/>
        <w:rPr>
          <w:sz w:val="20"/>
        </w:rPr>
      </w:pPr>
    </w:p>
    <w:p w14:paraId="00D811B6" w14:textId="77777777" w:rsidR="003B7177" w:rsidRPr="00F55229" w:rsidRDefault="00F55229" w:rsidP="00F55229">
      <w:pPr>
        <w:spacing w:before="0"/>
        <w:rPr>
          <w:b/>
          <w:color w:val="00B0F0"/>
          <w:sz w:val="28"/>
        </w:rPr>
      </w:pPr>
      <w:r w:rsidRPr="00F55229">
        <w:rPr>
          <w:b/>
          <w:color w:val="00B0F0"/>
          <w:sz w:val="28"/>
        </w:rPr>
        <w:t>Teil 2:</w:t>
      </w:r>
      <w:r w:rsidR="002851E6">
        <w:rPr>
          <w:b/>
          <w:color w:val="00B0F0"/>
          <w:sz w:val="28"/>
        </w:rPr>
        <w:t xml:space="preserve"> Überlegungen</w:t>
      </w:r>
      <w:r w:rsidRPr="00F55229">
        <w:rPr>
          <w:b/>
          <w:color w:val="00B0F0"/>
          <w:sz w:val="28"/>
        </w:rPr>
        <w:t xml:space="preserve"> </w:t>
      </w:r>
      <w:r w:rsidR="002851E6">
        <w:rPr>
          <w:b/>
          <w:color w:val="00B0F0"/>
          <w:sz w:val="28"/>
        </w:rPr>
        <w:t>i</w:t>
      </w:r>
      <w:r w:rsidRPr="00F55229">
        <w:rPr>
          <w:b/>
          <w:color w:val="00B0F0"/>
          <w:sz w:val="28"/>
        </w:rPr>
        <w:t xml:space="preserve">n Abhängigkeit von </w:t>
      </w:r>
      <w:r w:rsidR="002851E6">
        <w:rPr>
          <w:b/>
          <w:color w:val="00B0F0"/>
          <w:sz w:val="28"/>
        </w:rPr>
        <w:t xml:space="preserve">der </w:t>
      </w:r>
      <w:r w:rsidRPr="00F55229">
        <w:rPr>
          <w:b/>
          <w:color w:val="00B0F0"/>
          <w:sz w:val="28"/>
        </w:rPr>
        <w:t>Prüfungsphase</w:t>
      </w:r>
    </w:p>
    <w:p w14:paraId="7C2C1129" w14:textId="77777777" w:rsidR="00241858" w:rsidRDefault="00241858" w:rsidP="003B7177">
      <w:pPr>
        <w:spacing w:before="0"/>
        <w:rPr>
          <w:sz w:val="20"/>
        </w:rPr>
      </w:pPr>
    </w:p>
    <w:tbl>
      <w:tblPr>
        <w:tblStyle w:val="HelleListe-Akzent1"/>
        <w:tblW w:w="20983" w:type="dxa"/>
        <w:tblInd w:w="10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85" w:type="dxa"/>
          <w:bottom w:w="85" w:type="dxa"/>
        </w:tblCellMar>
        <w:tblLook w:val="04A0" w:firstRow="1" w:lastRow="0" w:firstColumn="1" w:lastColumn="0" w:noHBand="0" w:noVBand="1"/>
      </w:tblPr>
      <w:tblGrid>
        <w:gridCol w:w="2030"/>
        <w:gridCol w:w="2863"/>
        <w:gridCol w:w="6129"/>
        <w:gridCol w:w="8827"/>
        <w:gridCol w:w="1134"/>
      </w:tblGrid>
      <w:tr w:rsidR="00840BA4" w:rsidRPr="00241858" w14:paraId="2B8CCFB6" w14:textId="77777777" w:rsidTr="00C667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93" w:type="dxa"/>
            <w:gridSpan w:val="2"/>
            <w:tcBorders>
              <w:top w:val="nil"/>
              <w:left w:val="nil"/>
              <w:bottom w:val="single" w:sz="8" w:space="0" w:color="000000" w:themeColor="text1"/>
            </w:tcBorders>
            <w:shd w:val="clear" w:color="auto" w:fill="auto"/>
            <w:vAlign w:val="center"/>
          </w:tcPr>
          <w:p w14:paraId="419B4BE1" w14:textId="77777777" w:rsidR="00840BA4" w:rsidRPr="00241858" w:rsidRDefault="00840BA4" w:rsidP="00840BA4">
            <w:pPr>
              <w:spacing w:before="0"/>
              <w:jc w:val="center"/>
              <w:rPr>
                <w:color w:val="000000" w:themeColor="text1"/>
                <w:sz w:val="20"/>
              </w:rPr>
            </w:pPr>
          </w:p>
        </w:tc>
        <w:tc>
          <w:tcPr>
            <w:tcW w:w="6129" w:type="dxa"/>
            <w:tcBorders>
              <w:bottom w:val="single" w:sz="8" w:space="0" w:color="000000" w:themeColor="text1"/>
            </w:tcBorders>
            <w:shd w:val="clear" w:color="auto" w:fill="FFFFA3"/>
            <w:vAlign w:val="center"/>
          </w:tcPr>
          <w:p w14:paraId="7DBAD106" w14:textId="77777777" w:rsidR="00840BA4" w:rsidRPr="00241858" w:rsidRDefault="00840BA4" w:rsidP="00840BA4">
            <w:pPr>
              <w:spacing w:before="0"/>
              <w:jc w:val="left"/>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241858">
              <w:rPr>
                <w:color w:val="000000" w:themeColor="text1"/>
                <w:sz w:val="20"/>
              </w:rPr>
              <w:t>Anwendung</w:t>
            </w:r>
          </w:p>
        </w:tc>
        <w:tc>
          <w:tcPr>
            <w:tcW w:w="8827" w:type="dxa"/>
            <w:tcBorders>
              <w:bottom w:val="single" w:sz="8" w:space="0" w:color="000000" w:themeColor="text1"/>
            </w:tcBorders>
            <w:shd w:val="clear" w:color="auto" w:fill="FFFFA3"/>
            <w:vAlign w:val="center"/>
          </w:tcPr>
          <w:p w14:paraId="02F1CEAA" w14:textId="77777777" w:rsidR="00840BA4" w:rsidRPr="00241858" w:rsidRDefault="00840BA4" w:rsidP="00840BA4">
            <w:pPr>
              <w:spacing w:before="0"/>
              <w:jc w:val="left"/>
              <w:cnfStyle w:val="100000000000" w:firstRow="1" w:lastRow="0" w:firstColumn="0" w:lastColumn="0" w:oddVBand="0" w:evenVBand="0" w:oddHBand="0" w:evenHBand="0" w:firstRowFirstColumn="0" w:firstRowLastColumn="0" w:lastRowFirstColumn="0" w:lastRowLastColumn="0"/>
              <w:rPr>
                <w:color w:val="000000" w:themeColor="text1"/>
                <w:sz w:val="20"/>
              </w:rPr>
            </w:pPr>
            <w:r w:rsidRPr="00241858">
              <w:rPr>
                <w:color w:val="FF0000"/>
                <w:sz w:val="20"/>
              </w:rPr>
              <w:t>ABER:</w:t>
            </w:r>
          </w:p>
        </w:tc>
        <w:tc>
          <w:tcPr>
            <w:tcW w:w="1134" w:type="dxa"/>
            <w:tcBorders>
              <w:bottom w:val="single" w:sz="8" w:space="0" w:color="000000" w:themeColor="text1"/>
            </w:tcBorders>
            <w:shd w:val="clear" w:color="auto" w:fill="FFFFA3"/>
          </w:tcPr>
          <w:p w14:paraId="1192106D" w14:textId="3D7EC591" w:rsidR="00840BA4" w:rsidRPr="00241858" w:rsidRDefault="00840BA4" w:rsidP="00840BA4">
            <w:pPr>
              <w:spacing w:before="0"/>
              <w:jc w:val="center"/>
              <w:cnfStyle w:val="100000000000" w:firstRow="1" w:lastRow="0" w:firstColumn="0" w:lastColumn="0" w:oddVBand="0" w:evenVBand="0" w:oddHBand="0" w:evenHBand="0" w:firstRowFirstColumn="0" w:firstRowLastColumn="0" w:lastRowFirstColumn="0" w:lastRowLastColumn="0"/>
              <w:rPr>
                <w:color w:val="000000" w:themeColor="text1"/>
                <w:sz w:val="20"/>
              </w:rPr>
            </w:pPr>
            <w:r>
              <w:rPr>
                <w:color w:val="000000" w:themeColor="text1"/>
                <w:sz w:val="20"/>
              </w:rPr>
              <w:t>Tz. Nr.</w:t>
            </w:r>
          </w:p>
        </w:tc>
      </w:tr>
      <w:tr w:rsidR="00760EDA" w:rsidRPr="00241858" w14:paraId="12E35918" w14:textId="77777777" w:rsidTr="002128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vMerge w:val="restart"/>
            <w:tcBorders>
              <w:top w:val="single" w:sz="8" w:space="0" w:color="000000" w:themeColor="text1"/>
              <w:left w:val="single" w:sz="4" w:space="0" w:color="auto"/>
            </w:tcBorders>
            <w:shd w:val="clear" w:color="auto" w:fill="D9D9D9" w:themeFill="background1" w:themeFillShade="D9"/>
          </w:tcPr>
          <w:p w14:paraId="540946BE" w14:textId="77777777" w:rsidR="00760EDA" w:rsidRPr="00241858" w:rsidRDefault="00760EDA" w:rsidP="00F87152">
            <w:pPr>
              <w:spacing w:before="0"/>
              <w:rPr>
                <w:sz w:val="20"/>
              </w:rPr>
            </w:pPr>
            <w:r w:rsidRPr="00241858">
              <w:rPr>
                <w:color w:val="00B0F0"/>
                <w:sz w:val="20"/>
              </w:rPr>
              <w:t>Prüfungsplanung</w:t>
            </w:r>
          </w:p>
        </w:tc>
        <w:tc>
          <w:tcPr>
            <w:tcW w:w="2863" w:type="dxa"/>
            <w:tcBorders>
              <w:top w:val="single" w:sz="8" w:space="0" w:color="000000" w:themeColor="text1"/>
              <w:bottom w:val="single" w:sz="8" w:space="0" w:color="000000" w:themeColor="text1"/>
            </w:tcBorders>
          </w:tcPr>
          <w:p w14:paraId="02EBC7C3" w14:textId="77777777" w:rsidR="00760EDA" w:rsidRPr="00241858" w:rsidRDefault="00760EDA" w:rsidP="008F1F26">
            <w:pPr>
              <w:spacing w:before="0"/>
              <w:jc w:val="left"/>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Einfache Vorjahres</w:t>
            </w:r>
            <w:r>
              <w:rPr>
                <w:b/>
                <w:sz w:val="20"/>
              </w:rPr>
              <w:t>-</w:t>
            </w:r>
            <w:r w:rsidRPr="00241858">
              <w:rPr>
                <w:b/>
                <w:sz w:val="20"/>
              </w:rPr>
              <w:t>vergleiche</w:t>
            </w:r>
          </w:p>
        </w:tc>
        <w:tc>
          <w:tcPr>
            <w:tcW w:w="6129" w:type="dxa"/>
            <w:tcBorders>
              <w:top w:val="single" w:sz="8" w:space="0" w:color="000000" w:themeColor="text1"/>
              <w:bottom w:val="single" w:sz="8" w:space="0" w:color="000000" w:themeColor="text1"/>
            </w:tcBorders>
          </w:tcPr>
          <w:p w14:paraId="2A5B2410" w14:textId="7BA9CAC0" w:rsidR="00760EDA" w:rsidRPr="00241858" w:rsidRDefault="00760EDA" w:rsidP="00F55229">
            <w:pPr>
              <w:pStyle w:val="Listenabsatz"/>
              <w:numPr>
                <w:ilvl w:val="0"/>
                <w:numId w:val="24"/>
              </w:numPr>
              <w:spacing w:before="0"/>
              <w:ind w:left="459" w:hanging="687"/>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Treten hierbei im Vergleich zum Vorjahr signifikante Abweichungen zwischen den Werten auf, kann das ein Indiz für eine falsche Darstellung sein. Dieses würde dann im Rahmen der Prüfungsdurchführung durch den Einsatz weiterer Einzelfallprüfungen untersucht.</w:t>
            </w:r>
          </w:p>
        </w:tc>
        <w:tc>
          <w:tcPr>
            <w:tcW w:w="8827" w:type="dxa"/>
            <w:tcBorders>
              <w:top w:val="single" w:sz="8" w:space="0" w:color="000000" w:themeColor="text1"/>
              <w:bottom w:val="single" w:sz="8" w:space="0" w:color="000000" w:themeColor="text1"/>
              <w:right w:val="single" w:sz="4" w:space="0" w:color="auto"/>
            </w:tcBorders>
          </w:tcPr>
          <w:p w14:paraId="05833157" w14:textId="77777777" w:rsidR="00760EDA" w:rsidRPr="00241858" w:rsidRDefault="00760EDA" w:rsidP="00F55229">
            <w:pPr>
              <w:pStyle w:val="Listenabsatz"/>
              <w:numPr>
                <w:ilvl w:val="0"/>
                <w:numId w:val="24"/>
              </w:numPr>
              <w:spacing w:before="0"/>
              <w:ind w:left="317" w:hanging="284"/>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Der einfache Vorjahresvergleich ungeprüfter Zahlen kann scheinbar Abweichungen darstellen, die jedoch erklärbar sind.</w:t>
            </w:r>
          </w:p>
          <w:p w14:paraId="15089194" w14:textId="77777777" w:rsidR="00760EDA" w:rsidRPr="00241858" w:rsidRDefault="00760EDA" w:rsidP="00F55229">
            <w:pPr>
              <w:pStyle w:val="Listenabsatz"/>
              <w:numPr>
                <w:ilvl w:val="0"/>
                <w:numId w:val="24"/>
              </w:numPr>
              <w:spacing w:before="0"/>
              <w:ind w:left="317" w:hanging="284"/>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Beispiele für erklärbare Abweichungen sind:</w:t>
            </w:r>
          </w:p>
          <w:p w14:paraId="04C58C5F" w14:textId="77777777" w:rsidR="00760EDA" w:rsidRPr="00241858" w:rsidRDefault="00760EDA" w:rsidP="00F55229">
            <w:pPr>
              <w:spacing w:before="0"/>
              <w:ind w:left="884" w:hanging="425"/>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w:t>
            </w:r>
            <w:r w:rsidRPr="00241858">
              <w:rPr>
                <w:sz w:val="20"/>
              </w:rPr>
              <w:tab/>
              <w:t>Veränderungen im Unternehmensumfeld, wie z. B. Umwandlungsvorgänge</w:t>
            </w:r>
          </w:p>
          <w:p w14:paraId="29A6D56E" w14:textId="77777777" w:rsidR="00760EDA" w:rsidRPr="00241858" w:rsidRDefault="00760EDA" w:rsidP="00F55229">
            <w:pPr>
              <w:tabs>
                <w:tab w:val="left" w:pos="227"/>
                <w:tab w:val="left" w:pos="454"/>
                <w:tab w:val="left" w:pos="681"/>
                <w:tab w:val="left" w:pos="908"/>
                <w:tab w:val="left" w:pos="1135"/>
                <w:tab w:val="left" w:pos="1362"/>
                <w:tab w:val="left" w:pos="1589"/>
                <w:tab w:val="left" w:pos="1816"/>
                <w:tab w:val="left" w:pos="2043"/>
                <w:tab w:val="left" w:pos="2270"/>
                <w:tab w:val="left" w:pos="2497"/>
                <w:tab w:val="left" w:pos="2724"/>
                <w:tab w:val="left" w:pos="2951"/>
                <w:tab w:val="left" w:pos="3178"/>
                <w:tab w:val="left" w:pos="3405"/>
                <w:tab w:val="left" w:pos="3632"/>
                <w:tab w:val="left" w:pos="3859"/>
                <w:tab w:val="left" w:pos="4086"/>
                <w:tab w:val="left" w:pos="4313"/>
                <w:tab w:val="left" w:pos="4540"/>
                <w:tab w:val="left" w:pos="4767"/>
                <w:tab w:val="left" w:pos="4994"/>
                <w:tab w:val="left" w:pos="5221"/>
                <w:tab w:val="left" w:pos="5448"/>
                <w:tab w:val="left" w:pos="5675"/>
                <w:tab w:val="left" w:pos="5902"/>
                <w:tab w:val="left" w:pos="6129"/>
                <w:tab w:val="left" w:pos="6356"/>
                <w:tab w:val="left" w:pos="6583"/>
                <w:tab w:val="right" w:pos="7722"/>
              </w:tabs>
              <w:spacing w:before="0"/>
              <w:ind w:left="884" w:hanging="425"/>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w:t>
            </w:r>
            <w:r w:rsidRPr="00241858">
              <w:rPr>
                <w:sz w:val="20"/>
              </w:rPr>
              <w:tab/>
            </w:r>
            <w:r w:rsidRPr="00241858">
              <w:rPr>
                <w:sz w:val="20"/>
              </w:rPr>
              <w:tab/>
              <w:t>Veränderungen im Geschäftsumfeld, wie z. B. neue Produktserien</w:t>
            </w:r>
            <w:r w:rsidRPr="00241858">
              <w:rPr>
                <w:sz w:val="20"/>
              </w:rPr>
              <w:tab/>
            </w:r>
          </w:p>
          <w:p w14:paraId="0056AA4B" w14:textId="77777777" w:rsidR="00760EDA" w:rsidRPr="00241858" w:rsidRDefault="00760EDA" w:rsidP="00F55229">
            <w:pPr>
              <w:pStyle w:val="Listenabsatz"/>
              <w:numPr>
                <w:ilvl w:val="0"/>
                <w:numId w:val="25"/>
              </w:numPr>
              <w:spacing w:before="0"/>
              <w:ind w:left="317" w:hanging="284"/>
              <w:jc w:val="left"/>
              <w:cnfStyle w:val="000000100000" w:firstRow="0" w:lastRow="0" w:firstColumn="0" w:lastColumn="0" w:oddVBand="0" w:evenVBand="0" w:oddHBand="1" w:evenHBand="0" w:firstRowFirstColumn="0" w:firstRowLastColumn="0" w:lastRowFirstColumn="0" w:lastRowLastColumn="0"/>
              <w:rPr>
                <w:sz w:val="20"/>
              </w:rPr>
            </w:pPr>
            <w:r w:rsidRPr="00241858">
              <w:rPr>
                <w:sz w:val="20"/>
              </w:rPr>
              <w:t>Anders herum kann der Vorjahreszahlenvergleich dazu führen, dass dieser Vergleich keine signifikanten Abweichungen auf-weist. Es können hier aber fehlerhafte Daten vorliegen, die durch zuvor genannte Veränderungen im Geschäft- oder Unternehmensumfeld kompensiert werden.</w:t>
            </w:r>
          </w:p>
        </w:tc>
        <w:tc>
          <w:tcPr>
            <w:tcW w:w="1134" w:type="dxa"/>
            <w:tcBorders>
              <w:top w:val="single" w:sz="8" w:space="0" w:color="000000" w:themeColor="text1"/>
              <w:bottom w:val="single" w:sz="8" w:space="0" w:color="000000" w:themeColor="text1"/>
              <w:right w:val="single" w:sz="8" w:space="0" w:color="000000" w:themeColor="text1"/>
            </w:tcBorders>
          </w:tcPr>
          <w:p w14:paraId="17CF9DBF" w14:textId="77777777" w:rsidR="00760EDA" w:rsidRPr="00241858" w:rsidRDefault="00760EDA" w:rsidP="005227B1">
            <w:pPr>
              <w:spacing w:before="0"/>
              <w:ind w:left="33"/>
              <w:jc w:val="center"/>
              <w:cnfStyle w:val="000000100000" w:firstRow="0" w:lastRow="0" w:firstColumn="0" w:lastColumn="0" w:oddVBand="0" w:evenVBand="0" w:oddHBand="1" w:evenHBand="0" w:firstRowFirstColumn="0" w:firstRowLastColumn="0" w:lastRowFirstColumn="0" w:lastRowLastColumn="0"/>
              <w:rPr>
                <w:sz w:val="20"/>
              </w:rPr>
            </w:pPr>
            <w:r w:rsidRPr="00241858">
              <w:rPr>
                <w:sz w:val="20"/>
              </w:rPr>
              <w:t>18</w:t>
            </w:r>
          </w:p>
        </w:tc>
      </w:tr>
      <w:tr w:rsidR="00760EDA" w:rsidRPr="00241858" w14:paraId="542DE65D" w14:textId="77777777" w:rsidTr="00241858">
        <w:tc>
          <w:tcPr>
            <w:cnfStyle w:val="001000000000" w:firstRow="0" w:lastRow="0" w:firstColumn="1" w:lastColumn="0" w:oddVBand="0" w:evenVBand="0" w:oddHBand="0" w:evenHBand="0" w:firstRowFirstColumn="0" w:firstRowLastColumn="0" w:lastRowFirstColumn="0" w:lastRowLastColumn="0"/>
            <w:tcW w:w="2030" w:type="dxa"/>
            <w:vMerge/>
            <w:tcBorders>
              <w:left w:val="single" w:sz="4" w:space="0" w:color="auto"/>
            </w:tcBorders>
            <w:shd w:val="clear" w:color="auto" w:fill="D9D9D9" w:themeFill="background1" w:themeFillShade="D9"/>
          </w:tcPr>
          <w:p w14:paraId="36DDB21C" w14:textId="77777777" w:rsidR="00760EDA" w:rsidRPr="00241858" w:rsidRDefault="00760EDA" w:rsidP="00F87152">
            <w:pPr>
              <w:spacing w:before="0"/>
              <w:rPr>
                <w:sz w:val="20"/>
              </w:rPr>
            </w:pPr>
          </w:p>
        </w:tc>
        <w:tc>
          <w:tcPr>
            <w:tcW w:w="2863" w:type="dxa"/>
          </w:tcPr>
          <w:p w14:paraId="7206B7A3" w14:textId="77777777" w:rsidR="00760EDA" w:rsidRPr="00241858" w:rsidRDefault="00760EDA" w:rsidP="008F1F26">
            <w:pPr>
              <w:spacing w:before="0"/>
              <w:jc w:val="left"/>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Kennzahlenanalysen</w:t>
            </w:r>
          </w:p>
        </w:tc>
        <w:tc>
          <w:tcPr>
            <w:tcW w:w="6129" w:type="dxa"/>
            <w:tcBorders>
              <w:top w:val="single" w:sz="8" w:space="0" w:color="000000" w:themeColor="text1"/>
            </w:tcBorders>
          </w:tcPr>
          <w:p w14:paraId="06BFE7F9" w14:textId="77777777" w:rsidR="00760EDA" w:rsidRPr="00241858" w:rsidRDefault="00760EDA" w:rsidP="00840BA4">
            <w:pPr>
              <w:pStyle w:val="Listenabsatz"/>
              <w:numPr>
                <w:ilvl w:val="0"/>
                <w:numId w:val="25"/>
              </w:numPr>
              <w:spacing w:before="0"/>
              <w:ind w:left="393" w:hanging="425"/>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Insbesondere diejenigen, die unter 1. als schlechter beurteilt wurden, da sie in der Planung nur erste Hinweise für weitere Untersuchungen liefern sollen.</w:t>
            </w:r>
          </w:p>
        </w:tc>
        <w:tc>
          <w:tcPr>
            <w:tcW w:w="8827" w:type="dxa"/>
            <w:tcBorders>
              <w:top w:val="single" w:sz="8" w:space="0" w:color="000000" w:themeColor="text1"/>
            </w:tcBorders>
          </w:tcPr>
          <w:p w14:paraId="0B32E366" w14:textId="77777777" w:rsidR="00760EDA" w:rsidRPr="00241858" w:rsidRDefault="00760EDA" w:rsidP="00F55229">
            <w:pPr>
              <w:spacing w:before="0"/>
              <w:jc w:val="left"/>
              <w:cnfStyle w:val="000000000000" w:firstRow="0" w:lastRow="0" w:firstColumn="0" w:lastColumn="0" w:oddVBand="0" w:evenVBand="0" w:oddHBand="0" w:evenHBand="0" w:firstRowFirstColumn="0" w:firstRowLastColumn="0" w:lastRowFirstColumn="0" w:lastRowLastColumn="0"/>
              <w:rPr>
                <w:sz w:val="20"/>
              </w:rPr>
            </w:pPr>
            <w:r w:rsidRPr="00241858">
              <w:rPr>
                <w:sz w:val="20"/>
              </w:rPr>
              <w:t>s.o.</w:t>
            </w:r>
          </w:p>
        </w:tc>
        <w:tc>
          <w:tcPr>
            <w:tcW w:w="1134" w:type="dxa"/>
            <w:tcBorders>
              <w:top w:val="single" w:sz="8" w:space="0" w:color="000000" w:themeColor="text1"/>
            </w:tcBorders>
          </w:tcPr>
          <w:p w14:paraId="3A4A6C6A" w14:textId="77777777" w:rsidR="00760EDA" w:rsidRPr="00241858" w:rsidRDefault="00760EDA" w:rsidP="005227B1">
            <w:p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241858">
              <w:rPr>
                <w:sz w:val="20"/>
              </w:rPr>
              <w:t>19</w:t>
            </w:r>
          </w:p>
        </w:tc>
      </w:tr>
      <w:tr w:rsidR="005E7292" w:rsidRPr="00241858" w14:paraId="37BEF6D4" w14:textId="77777777" w:rsidTr="00C6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vMerge w:val="restart"/>
            <w:tcBorders>
              <w:top w:val="single" w:sz="8" w:space="0" w:color="000000" w:themeColor="text1"/>
              <w:left w:val="single" w:sz="4" w:space="0" w:color="auto"/>
              <w:bottom w:val="single" w:sz="8" w:space="0" w:color="000000" w:themeColor="text1"/>
            </w:tcBorders>
            <w:shd w:val="clear" w:color="auto" w:fill="D9D9D9" w:themeFill="background1" w:themeFillShade="D9"/>
          </w:tcPr>
          <w:p w14:paraId="7FEB5F0A" w14:textId="77777777" w:rsidR="005E7292" w:rsidRPr="00241858" w:rsidRDefault="005E7292" w:rsidP="004A0CB2">
            <w:pPr>
              <w:spacing w:before="0"/>
              <w:rPr>
                <w:color w:val="00B0F0"/>
                <w:sz w:val="20"/>
              </w:rPr>
            </w:pPr>
            <w:r w:rsidRPr="00241858">
              <w:rPr>
                <w:color w:val="00B0F0"/>
                <w:sz w:val="20"/>
              </w:rPr>
              <w:t>Prüfungsdurchführung</w:t>
            </w:r>
          </w:p>
        </w:tc>
        <w:tc>
          <w:tcPr>
            <w:tcW w:w="2863" w:type="dxa"/>
            <w:tcBorders>
              <w:top w:val="single" w:sz="8" w:space="0" w:color="000000" w:themeColor="text1"/>
              <w:bottom w:val="single" w:sz="8" w:space="0" w:color="000000" w:themeColor="text1"/>
            </w:tcBorders>
          </w:tcPr>
          <w:p w14:paraId="03A9F9FF" w14:textId="77777777" w:rsidR="005E7292" w:rsidRPr="00241858" w:rsidRDefault="005E7292" w:rsidP="004A0CB2">
            <w:pPr>
              <w:spacing w:before="0"/>
              <w:cnfStyle w:val="000000100000" w:firstRow="0" w:lastRow="0" w:firstColumn="0" w:lastColumn="0" w:oddVBand="0" w:evenVBand="0" w:oddHBand="1" w:evenHBand="0" w:firstRowFirstColumn="0" w:firstRowLastColumn="0" w:lastRowFirstColumn="0" w:lastRowLastColumn="0"/>
              <w:rPr>
                <w:b/>
                <w:sz w:val="20"/>
              </w:rPr>
            </w:pPr>
            <w:r w:rsidRPr="00241858">
              <w:rPr>
                <w:b/>
                <w:sz w:val="20"/>
              </w:rPr>
              <w:t>Kennzahlen</w:t>
            </w:r>
          </w:p>
        </w:tc>
        <w:tc>
          <w:tcPr>
            <w:tcW w:w="6129" w:type="dxa"/>
            <w:tcBorders>
              <w:top w:val="single" w:sz="8" w:space="0" w:color="000000" w:themeColor="text1"/>
              <w:bottom w:val="single" w:sz="8" w:space="0" w:color="000000" w:themeColor="text1"/>
            </w:tcBorders>
          </w:tcPr>
          <w:p w14:paraId="2AE86CC0" w14:textId="77777777" w:rsidR="005E7292" w:rsidRPr="00241858" w:rsidRDefault="005E7292" w:rsidP="004A0CB2">
            <w:pPr>
              <w:pStyle w:val="Listenabsatz"/>
              <w:numPr>
                <w:ilvl w:val="0"/>
                <w:numId w:val="17"/>
              </w:numPr>
              <w:spacing w:before="0"/>
              <w:cnfStyle w:val="000000100000" w:firstRow="0" w:lastRow="0" w:firstColumn="0" w:lastColumn="0" w:oddVBand="0" w:evenVBand="0" w:oddHBand="1" w:evenHBand="0" w:firstRowFirstColumn="0" w:firstRowLastColumn="0" w:lastRowFirstColumn="0" w:lastRowLastColumn="0"/>
              <w:rPr>
                <w:sz w:val="20"/>
              </w:rPr>
            </w:pPr>
            <w:r w:rsidRPr="00241858">
              <w:rPr>
                <w:sz w:val="20"/>
              </w:rPr>
              <w:t>Forderungsbewertung bezogen auf die Anwendbarkeit des Prozentsatzes der Pauschalwertberichtigung u.U. als einzige Prüfungshandlung, wenn bei der Forderungsbewertung keine weiteren Risiken zu beachten sind</w:t>
            </w:r>
          </w:p>
          <w:p w14:paraId="31A0D5AC" w14:textId="77777777" w:rsidR="005E7292" w:rsidRPr="00241858" w:rsidRDefault="005E7292" w:rsidP="004A0CB2">
            <w:pPr>
              <w:pStyle w:val="Listenabsatz"/>
              <w:numPr>
                <w:ilvl w:val="0"/>
                <w:numId w:val="17"/>
              </w:numPr>
              <w:spacing w:before="0"/>
              <w:cnfStyle w:val="000000100000" w:firstRow="0" w:lastRow="0" w:firstColumn="0" w:lastColumn="0" w:oddVBand="0" w:evenVBand="0" w:oddHBand="1" w:evenHBand="0" w:firstRowFirstColumn="0" w:firstRowLastColumn="0" w:lastRowFirstColumn="0" w:lastRowLastColumn="0"/>
              <w:rPr>
                <w:sz w:val="20"/>
              </w:rPr>
            </w:pPr>
            <w:r w:rsidRPr="00241858">
              <w:rPr>
                <w:sz w:val="20"/>
              </w:rPr>
              <w:t xml:space="preserve">Gewinnmarge im Branchenvergleich zur Unterstützung von Prüfungsaussagen </w:t>
            </w:r>
          </w:p>
          <w:p w14:paraId="0231EBC0" w14:textId="77777777" w:rsidR="005E7292" w:rsidRPr="00241858" w:rsidRDefault="005E7292" w:rsidP="004A0CB2">
            <w:pPr>
              <w:pStyle w:val="Listenabsatz"/>
              <w:numPr>
                <w:ilvl w:val="0"/>
                <w:numId w:val="17"/>
              </w:numPr>
              <w:spacing w:before="0"/>
              <w:cnfStyle w:val="000000100000" w:firstRow="0" w:lastRow="0" w:firstColumn="0" w:lastColumn="0" w:oddVBand="0" w:evenVBand="0" w:oddHBand="1" w:evenHBand="0" w:firstRowFirstColumn="0" w:firstRowLastColumn="0" w:lastRowFirstColumn="0" w:lastRowLastColumn="0"/>
              <w:rPr>
                <w:sz w:val="20"/>
              </w:rPr>
            </w:pPr>
            <w:r w:rsidRPr="00241858">
              <w:rPr>
                <w:sz w:val="20"/>
              </w:rPr>
              <w:t>Berechnung der Umschlagshäufigkeit des Vorratsvermögens zur Unterstützung der Prüfungsaussagen aus Einzelfallprüfungen</w:t>
            </w:r>
          </w:p>
        </w:tc>
        <w:tc>
          <w:tcPr>
            <w:tcW w:w="8827" w:type="dxa"/>
            <w:tcBorders>
              <w:top w:val="single" w:sz="8" w:space="0" w:color="000000" w:themeColor="text1"/>
              <w:bottom w:val="single" w:sz="8" w:space="0" w:color="000000" w:themeColor="text1"/>
              <w:right w:val="single" w:sz="4" w:space="0" w:color="auto"/>
            </w:tcBorders>
          </w:tcPr>
          <w:p w14:paraId="502DC412" w14:textId="05FC14E1" w:rsidR="005E7292" w:rsidRPr="00241858" w:rsidRDefault="005E7292" w:rsidP="004A0CB2">
            <w:pPr>
              <w:pStyle w:val="Listenabsatz"/>
              <w:numPr>
                <w:ilvl w:val="0"/>
                <w:numId w:val="17"/>
              </w:numPr>
              <w:spacing w:before="0"/>
              <w:cnfStyle w:val="000000100000" w:firstRow="0" w:lastRow="0" w:firstColumn="0" w:lastColumn="0" w:oddVBand="0" w:evenVBand="0" w:oddHBand="1" w:evenHBand="0" w:firstRowFirstColumn="0" w:firstRowLastColumn="0" w:lastRowFirstColumn="0" w:lastRowLastColumn="0"/>
              <w:rPr>
                <w:sz w:val="20"/>
              </w:rPr>
            </w:pPr>
            <w:r w:rsidRPr="00241858">
              <w:rPr>
                <w:sz w:val="20"/>
              </w:rPr>
              <w:t xml:space="preserve">Bei wesentlichen Posten darf sich der Abschlussprüfer nicht </w:t>
            </w:r>
            <w:r w:rsidR="00840BA4">
              <w:rPr>
                <w:sz w:val="20"/>
              </w:rPr>
              <w:t>ausschließlich</w:t>
            </w:r>
            <w:r w:rsidRPr="00241858">
              <w:rPr>
                <w:sz w:val="20"/>
              </w:rPr>
              <w:t xml:space="preserve"> auf analytische Prüfungshandlungen stützen</w:t>
            </w:r>
          </w:p>
        </w:tc>
        <w:tc>
          <w:tcPr>
            <w:tcW w:w="1134" w:type="dxa"/>
            <w:tcBorders>
              <w:top w:val="single" w:sz="8" w:space="0" w:color="000000" w:themeColor="text1"/>
              <w:bottom w:val="single" w:sz="8" w:space="0" w:color="000000" w:themeColor="text1"/>
              <w:right w:val="single" w:sz="8" w:space="0" w:color="000000" w:themeColor="text1"/>
            </w:tcBorders>
          </w:tcPr>
          <w:p w14:paraId="06C7BD89" w14:textId="77777777" w:rsidR="005E7292" w:rsidRPr="00241858" w:rsidRDefault="005E7292" w:rsidP="004A0CB2">
            <w:pPr>
              <w:spacing w:before="0"/>
              <w:jc w:val="center"/>
              <w:cnfStyle w:val="000000100000" w:firstRow="0" w:lastRow="0" w:firstColumn="0" w:lastColumn="0" w:oddVBand="0" w:evenVBand="0" w:oddHBand="1" w:evenHBand="0" w:firstRowFirstColumn="0" w:firstRowLastColumn="0" w:lastRowFirstColumn="0" w:lastRowLastColumn="0"/>
              <w:rPr>
                <w:sz w:val="20"/>
              </w:rPr>
            </w:pPr>
            <w:r w:rsidRPr="00241858">
              <w:rPr>
                <w:sz w:val="20"/>
              </w:rPr>
              <w:t>20</w:t>
            </w:r>
          </w:p>
        </w:tc>
      </w:tr>
      <w:tr w:rsidR="005E7292" w:rsidRPr="00241858" w14:paraId="3BBFA8DB" w14:textId="77777777" w:rsidTr="005E7292">
        <w:tc>
          <w:tcPr>
            <w:cnfStyle w:val="001000000000" w:firstRow="0" w:lastRow="0" w:firstColumn="1" w:lastColumn="0" w:oddVBand="0" w:evenVBand="0" w:oddHBand="0" w:evenHBand="0" w:firstRowFirstColumn="0" w:firstRowLastColumn="0" w:lastRowFirstColumn="0" w:lastRowLastColumn="0"/>
            <w:tcW w:w="2030" w:type="dxa"/>
            <w:vMerge/>
            <w:tcBorders>
              <w:left w:val="single" w:sz="4" w:space="0" w:color="auto"/>
            </w:tcBorders>
            <w:shd w:val="clear" w:color="auto" w:fill="D9D9D9" w:themeFill="background1" w:themeFillShade="D9"/>
          </w:tcPr>
          <w:p w14:paraId="340FF67D" w14:textId="77777777" w:rsidR="005E7292" w:rsidRPr="00241858" w:rsidRDefault="005E7292" w:rsidP="004A0CB2">
            <w:pPr>
              <w:spacing w:before="0"/>
              <w:rPr>
                <w:sz w:val="20"/>
              </w:rPr>
            </w:pPr>
          </w:p>
        </w:tc>
        <w:tc>
          <w:tcPr>
            <w:tcW w:w="2863" w:type="dxa"/>
          </w:tcPr>
          <w:p w14:paraId="636FDA39" w14:textId="77777777" w:rsidR="005E7292" w:rsidRPr="00241858" w:rsidRDefault="005E7292" w:rsidP="004A0CB2">
            <w:pPr>
              <w:spacing w:before="0"/>
              <w:cnfStyle w:val="000000000000" w:firstRow="0" w:lastRow="0" w:firstColumn="0" w:lastColumn="0" w:oddVBand="0" w:evenVBand="0" w:oddHBand="0" w:evenHBand="0" w:firstRowFirstColumn="0" w:firstRowLastColumn="0" w:lastRowFirstColumn="0" w:lastRowLastColumn="0"/>
              <w:rPr>
                <w:b/>
                <w:sz w:val="20"/>
              </w:rPr>
            </w:pPr>
            <w:r w:rsidRPr="00241858">
              <w:rPr>
                <w:b/>
                <w:sz w:val="20"/>
              </w:rPr>
              <w:t>Plausibilitätsüberlegungen</w:t>
            </w:r>
          </w:p>
        </w:tc>
        <w:tc>
          <w:tcPr>
            <w:tcW w:w="6129" w:type="dxa"/>
            <w:tcBorders>
              <w:top w:val="single" w:sz="8" w:space="0" w:color="000000" w:themeColor="text1"/>
              <w:bottom w:val="single" w:sz="8" w:space="0" w:color="000000" w:themeColor="text1"/>
            </w:tcBorders>
          </w:tcPr>
          <w:p w14:paraId="55139B1E" w14:textId="77777777" w:rsidR="005E7292" w:rsidRPr="00241858" w:rsidRDefault="005E7292" w:rsidP="004A0CB2">
            <w:pPr>
              <w:pStyle w:val="Listenabsatz"/>
              <w:numPr>
                <w:ilvl w:val="0"/>
                <w:numId w:val="27"/>
              </w:numPr>
              <w:spacing w:before="0"/>
              <w:ind w:left="434" w:hanging="434"/>
              <w:cnfStyle w:val="000000000000" w:firstRow="0" w:lastRow="0" w:firstColumn="0" w:lastColumn="0" w:oddVBand="0" w:evenVBand="0" w:oddHBand="0" w:evenHBand="0" w:firstRowFirstColumn="0" w:firstRowLastColumn="0" w:lastRowFirstColumn="0" w:lastRowLastColumn="0"/>
              <w:rPr>
                <w:sz w:val="20"/>
              </w:rPr>
            </w:pPr>
            <w:r w:rsidRPr="00241858">
              <w:rPr>
                <w:sz w:val="20"/>
              </w:rPr>
              <w:t>vor allem für Posten der GuV, und zwar insbesondere dann, wenn ein korrespondierender Bilanzposten bereits im Rahmen von Einzelfallprüfungen untersucht wurde</w:t>
            </w:r>
          </w:p>
        </w:tc>
        <w:tc>
          <w:tcPr>
            <w:tcW w:w="8827" w:type="dxa"/>
            <w:tcBorders>
              <w:top w:val="single" w:sz="8" w:space="0" w:color="000000" w:themeColor="text1"/>
              <w:bottom w:val="single" w:sz="8" w:space="0" w:color="000000" w:themeColor="text1"/>
            </w:tcBorders>
          </w:tcPr>
          <w:p w14:paraId="6C32A2A4" w14:textId="77777777" w:rsidR="005E7292" w:rsidRPr="00241858" w:rsidRDefault="005E7292" w:rsidP="004A0CB2">
            <w:pPr>
              <w:spacing w:before="0"/>
              <w:cnfStyle w:val="000000000000" w:firstRow="0" w:lastRow="0" w:firstColumn="0" w:lastColumn="0" w:oddVBand="0" w:evenVBand="0" w:oddHBand="0" w:evenHBand="0" w:firstRowFirstColumn="0" w:firstRowLastColumn="0" w:lastRowFirstColumn="0" w:lastRowLastColumn="0"/>
              <w:rPr>
                <w:sz w:val="20"/>
              </w:rPr>
            </w:pPr>
          </w:p>
        </w:tc>
        <w:tc>
          <w:tcPr>
            <w:tcW w:w="1134" w:type="dxa"/>
            <w:tcBorders>
              <w:top w:val="single" w:sz="8" w:space="0" w:color="000000" w:themeColor="text1"/>
              <w:bottom w:val="single" w:sz="8" w:space="0" w:color="000000" w:themeColor="text1"/>
            </w:tcBorders>
          </w:tcPr>
          <w:p w14:paraId="6D965820" w14:textId="77777777" w:rsidR="005E7292" w:rsidRPr="00241858" w:rsidRDefault="005E7292" w:rsidP="004A0CB2">
            <w:pPr>
              <w:spacing w:before="0"/>
              <w:jc w:val="center"/>
              <w:cnfStyle w:val="000000000000" w:firstRow="0" w:lastRow="0" w:firstColumn="0" w:lastColumn="0" w:oddVBand="0" w:evenVBand="0" w:oddHBand="0" w:evenHBand="0" w:firstRowFirstColumn="0" w:firstRowLastColumn="0" w:lastRowFirstColumn="0" w:lastRowLastColumn="0"/>
              <w:rPr>
                <w:sz w:val="20"/>
              </w:rPr>
            </w:pPr>
            <w:r w:rsidRPr="00241858">
              <w:rPr>
                <w:sz w:val="20"/>
              </w:rPr>
              <w:t>21</w:t>
            </w:r>
          </w:p>
        </w:tc>
      </w:tr>
      <w:tr w:rsidR="005E7292" w:rsidRPr="00241858" w14:paraId="1F4EBD04" w14:textId="77777777" w:rsidTr="00C667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0" w:type="dxa"/>
            <w:tcBorders>
              <w:top w:val="single" w:sz="8" w:space="0" w:color="000000" w:themeColor="text1"/>
              <w:left w:val="single" w:sz="4" w:space="0" w:color="auto"/>
              <w:bottom w:val="single" w:sz="4" w:space="0" w:color="auto"/>
            </w:tcBorders>
            <w:shd w:val="clear" w:color="auto" w:fill="D9D9D9" w:themeFill="background1" w:themeFillShade="D9"/>
          </w:tcPr>
          <w:p w14:paraId="42BD9C52" w14:textId="77777777" w:rsidR="005E7292" w:rsidRPr="00241858" w:rsidRDefault="005E7292" w:rsidP="004A0CB2">
            <w:pPr>
              <w:spacing w:before="0"/>
              <w:rPr>
                <w:color w:val="00B0F0"/>
                <w:sz w:val="20"/>
              </w:rPr>
            </w:pPr>
            <w:r w:rsidRPr="00241858">
              <w:rPr>
                <w:color w:val="00B0F0"/>
                <w:sz w:val="20"/>
              </w:rPr>
              <w:t>Abschließende Durchsicht</w:t>
            </w:r>
          </w:p>
        </w:tc>
        <w:tc>
          <w:tcPr>
            <w:tcW w:w="2863" w:type="dxa"/>
            <w:tcBorders>
              <w:top w:val="single" w:sz="8" w:space="0" w:color="000000" w:themeColor="text1"/>
              <w:bottom w:val="single" w:sz="4" w:space="0" w:color="auto"/>
            </w:tcBorders>
          </w:tcPr>
          <w:p w14:paraId="7F22C98E" w14:textId="77777777" w:rsidR="005E7292" w:rsidRPr="00241858" w:rsidRDefault="005E7292" w:rsidP="004A0CB2">
            <w:pPr>
              <w:spacing w:before="0"/>
              <w:jc w:val="left"/>
              <w:cnfStyle w:val="000000100000" w:firstRow="0" w:lastRow="0" w:firstColumn="0" w:lastColumn="0" w:oddVBand="0" w:evenVBand="0" w:oddHBand="1" w:evenHBand="0" w:firstRowFirstColumn="0" w:firstRowLastColumn="0" w:lastRowFirstColumn="0" w:lastRowLastColumn="0"/>
              <w:rPr>
                <w:b/>
                <w:sz w:val="20"/>
              </w:rPr>
            </w:pPr>
          </w:p>
        </w:tc>
        <w:tc>
          <w:tcPr>
            <w:tcW w:w="6129" w:type="dxa"/>
            <w:tcBorders>
              <w:top w:val="single" w:sz="8" w:space="0" w:color="000000" w:themeColor="text1"/>
              <w:bottom w:val="single" w:sz="4" w:space="0" w:color="auto"/>
            </w:tcBorders>
          </w:tcPr>
          <w:p w14:paraId="749B4FA2" w14:textId="77777777" w:rsidR="005E7292" w:rsidRPr="00241858" w:rsidRDefault="005E7292" w:rsidP="004A0CB2">
            <w:pPr>
              <w:pStyle w:val="Listenabsatz"/>
              <w:numPr>
                <w:ilvl w:val="0"/>
                <w:numId w:val="26"/>
              </w:numPr>
              <w:spacing w:before="0"/>
              <w:ind w:left="434" w:hanging="425"/>
              <w:cnfStyle w:val="000000100000" w:firstRow="0" w:lastRow="0" w:firstColumn="0" w:lastColumn="0" w:oddVBand="0" w:evenVBand="0" w:oddHBand="1" w:evenHBand="0" w:firstRowFirstColumn="0" w:firstRowLastColumn="0" w:lastRowFirstColumn="0" w:lastRowLastColumn="0"/>
              <w:rPr>
                <w:sz w:val="20"/>
              </w:rPr>
            </w:pPr>
            <w:r w:rsidRPr="00241858">
              <w:rPr>
                <w:sz w:val="20"/>
              </w:rPr>
              <w:t>Vergleichbare analytische Prüfungshandlungen, die zur Risikobeurteilung im Rahmen der Prüfungsplanung verwendet wurden</w:t>
            </w:r>
          </w:p>
        </w:tc>
        <w:tc>
          <w:tcPr>
            <w:tcW w:w="8827" w:type="dxa"/>
            <w:tcBorders>
              <w:top w:val="single" w:sz="8" w:space="0" w:color="000000" w:themeColor="text1"/>
              <w:bottom w:val="single" w:sz="4" w:space="0" w:color="auto"/>
            </w:tcBorders>
          </w:tcPr>
          <w:p w14:paraId="054AEE38" w14:textId="77777777" w:rsidR="005E7292" w:rsidRPr="00241858" w:rsidRDefault="005E7292" w:rsidP="004A0CB2">
            <w:pPr>
              <w:pStyle w:val="Listenabsatz"/>
              <w:numPr>
                <w:ilvl w:val="0"/>
                <w:numId w:val="26"/>
              </w:numPr>
              <w:spacing w:before="0"/>
              <w:ind w:left="454" w:hanging="426"/>
              <w:cnfStyle w:val="000000100000" w:firstRow="0" w:lastRow="0" w:firstColumn="0" w:lastColumn="0" w:oddVBand="0" w:evenVBand="0" w:oddHBand="1" w:evenHBand="0" w:firstRowFirstColumn="0" w:firstRowLastColumn="0" w:lastRowFirstColumn="0" w:lastRowLastColumn="0"/>
              <w:rPr>
                <w:sz w:val="20"/>
              </w:rPr>
            </w:pPr>
            <w:r w:rsidRPr="00241858">
              <w:rPr>
                <w:sz w:val="20"/>
              </w:rPr>
              <w:t>Sollten die Ergebnisse nicht plausibel sein, werden weitere Prüfungshandlungen erforderlich. Ggf. ist die Risikobeurteilung zu korrigieren.</w:t>
            </w:r>
          </w:p>
        </w:tc>
        <w:tc>
          <w:tcPr>
            <w:tcW w:w="1134" w:type="dxa"/>
            <w:tcBorders>
              <w:top w:val="single" w:sz="8" w:space="0" w:color="000000" w:themeColor="text1"/>
              <w:bottom w:val="single" w:sz="4" w:space="0" w:color="auto"/>
              <w:right w:val="single" w:sz="8" w:space="0" w:color="000000" w:themeColor="text1"/>
            </w:tcBorders>
          </w:tcPr>
          <w:p w14:paraId="26A19145" w14:textId="77777777" w:rsidR="005E7292" w:rsidRPr="00241858" w:rsidRDefault="005E7292" w:rsidP="004A0CB2">
            <w:pPr>
              <w:spacing w:before="0"/>
              <w:jc w:val="center"/>
              <w:cnfStyle w:val="000000100000" w:firstRow="0" w:lastRow="0" w:firstColumn="0" w:lastColumn="0" w:oddVBand="0" w:evenVBand="0" w:oddHBand="1" w:evenHBand="0" w:firstRowFirstColumn="0" w:firstRowLastColumn="0" w:lastRowFirstColumn="0" w:lastRowLastColumn="0"/>
              <w:rPr>
                <w:sz w:val="20"/>
              </w:rPr>
            </w:pPr>
            <w:r w:rsidRPr="00241858">
              <w:rPr>
                <w:sz w:val="20"/>
              </w:rPr>
              <w:t>22</w:t>
            </w:r>
          </w:p>
        </w:tc>
      </w:tr>
    </w:tbl>
    <w:p w14:paraId="2AB5F7BB" w14:textId="77777777" w:rsidR="003B7177" w:rsidRPr="003B7177" w:rsidRDefault="003B7177" w:rsidP="003B7177">
      <w:pPr>
        <w:spacing w:before="0"/>
        <w:rPr>
          <w:sz w:val="20"/>
        </w:rPr>
      </w:pPr>
    </w:p>
    <w:sectPr w:rsidR="003B7177" w:rsidRPr="003B7177" w:rsidSect="00CF6001">
      <w:headerReference w:type="default" r:id="rId9"/>
      <w:footerReference w:type="default" r:id="rId10"/>
      <w:headerReference w:type="first" r:id="rId11"/>
      <w:footerReference w:type="first" r:id="rId12"/>
      <w:type w:val="continuous"/>
      <w:pgSz w:w="23814" w:h="16839" w:orient="landscape" w:code="8"/>
      <w:pgMar w:top="1134" w:right="1701" w:bottom="1985" w:left="1134" w:header="1134"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5011" w14:textId="77777777" w:rsidR="00370171" w:rsidRDefault="00370171">
      <w:pPr>
        <w:spacing w:before="0"/>
      </w:pPr>
      <w:r>
        <w:separator/>
      </w:r>
    </w:p>
  </w:endnote>
  <w:endnote w:type="continuationSeparator" w:id="0">
    <w:p w14:paraId="6FBB1A74" w14:textId="77777777" w:rsidR="00370171" w:rsidRDefault="0037017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utura Md BT">
    <w:altName w:val="Segoe UI Semibold"/>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utura-Book">
    <w:altName w:val="Vrind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209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6413"/>
      <w:gridCol w:w="8221"/>
      <w:gridCol w:w="6345"/>
    </w:tblGrid>
    <w:tr w:rsidR="00CB1506" w14:paraId="690BB575" w14:textId="77777777" w:rsidTr="002B579C">
      <w:trPr>
        <w:trHeight w:hRule="exact" w:val="821"/>
      </w:trPr>
      <w:tc>
        <w:tcPr>
          <w:tcW w:w="6413" w:type="dxa"/>
          <w:vAlign w:val="bottom"/>
        </w:tcPr>
        <w:p w14:paraId="66CA4D0F" w14:textId="77777777" w:rsidR="00CB1506" w:rsidRPr="007E6E46" w:rsidRDefault="00CB1506" w:rsidP="00CB1506">
          <w:pPr>
            <w:tabs>
              <w:tab w:val="left" w:pos="2100"/>
            </w:tabs>
            <w:spacing w:before="0"/>
            <w:jc w:val="left"/>
            <w:rPr>
              <w:rFonts w:eastAsiaTheme="minorHAnsi" w:cstheme="minorBidi"/>
              <w:sz w:val="20"/>
              <w:lang w:eastAsia="en-US"/>
            </w:rPr>
          </w:pPr>
          <w:r w:rsidRPr="007E6E46">
            <w:rPr>
              <w:sz w:val="20"/>
            </w:rPr>
            <w:t xml:space="preserve">Seite </w:t>
          </w:r>
          <w:r w:rsidRPr="007E6E46">
            <w:rPr>
              <w:rFonts w:eastAsiaTheme="minorHAnsi" w:cstheme="minorBidi"/>
              <w:sz w:val="20"/>
              <w:lang w:eastAsia="en-US"/>
            </w:rPr>
            <w:fldChar w:fldCharType="begin"/>
          </w:r>
          <w:r w:rsidRPr="007E6E46">
            <w:rPr>
              <w:rFonts w:eastAsiaTheme="minorHAnsi" w:cstheme="minorBidi"/>
              <w:sz w:val="20"/>
              <w:lang w:eastAsia="en-US"/>
            </w:rPr>
            <w:instrText>PAGE   \* MERGEFORMAT</w:instrText>
          </w:r>
          <w:r w:rsidRPr="007E6E46">
            <w:rPr>
              <w:rFonts w:eastAsiaTheme="minorHAnsi" w:cstheme="minorBidi"/>
              <w:sz w:val="20"/>
              <w:lang w:eastAsia="en-US"/>
            </w:rPr>
            <w:fldChar w:fldCharType="separate"/>
          </w:r>
          <w:r w:rsidRPr="007E6E46">
            <w:rPr>
              <w:rFonts w:eastAsiaTheme="minorHAnsi" w:cstheme="minorBidi"/>
              <w:sz w:val="20"/>
              <w:lang w:eastAsia="en-US"/>
            </w:rPr>
            <w:t>1</w:t>
          </w:r>
          <w:r w:rsidRPr="007E6E46">
            <w:rPr>
              <w:rFonts w:eastAsiaTheme="minorHAnsi" w:cstheme="minorBidi"/>
              <w:sz w:val="20"/>
              <w:lang w:eastAsia="en-US"/>
            </w:rPr>
            <w:fldChar w:fldCharType="end"/>
          </w:r>
          <w:r w:rsidRPr="007E6E46">
            <w:rPr>
              <w:rFonts w:eastAsiaTheme="minorHAnsi" w:cstheme="minorBidi"/>
              <w:sz w:val="20"/>
              <w:lang w:eastAsia="en-US"/>
            </w:rPr>
            <w:t xml:space="preserve"> </w:t>
          </w:r>
          <w:sdt>
            <w:sdtPr>
              <w:rPr>
                <w:rFonts w:eastAsiaTheme="minorHAnsi" w:cstheme="minorBidi"/>
                <w:sz w:val="20"/>
                <w:lang w:eastAsia="en-US"/>
              </w:rPr>
              <w:id w:val="1391846958"/>
              <w:docPartObj>
                <w:docPartGallery w:val="Page Numbers (Top of Page)"/>
                <w:docPartUnique/>
              </w:docPartObj>
            </w:sdtPr>
            <w:sdtEndPr/>
            <w:sdtContent>
              <w:r w:rsidRPr="007E6E46">
                <w:rPr>
                  <w:rFonts w:eastAsiaTheme="minorHAnsi" w:cstheme="minorBidi"/>
                  <w:sz w:val="20"/>
                  <w:lang w:eastAsia="en-US"/>
                </w:rPr>
                <w:t xml:space="preserve">von </w:t>
              </w:r>
              <w:r w:rsidRPr="007E6E46">
                <w:rPr>
                  <w:rFonts w:eastAsiaTheme="minorHAnsi" w:cstheme="minorBidi"/>
                  <w:sz w:val="20"/>
                  <w:lang w:eastAsia="en-US"/>
                </w:rPr>
                <w:fldChar w:fldCharType="begin"/>
              </w:r>
              <w:r w:rsidRPr="007E6E46">
                <w:rPr>
                  <w:rFonts w:eastAsiaTheme="minorHAnsi" w:cstheme="minorBidi"/>
                  <w:sz w:val="20"/>
                  <w:lang w:eastAsia="en-US"/>
                </w:rPr>
                <w:instrText xml:space="preserve"> NUMPAGES  \* Arabic  \* MERGEFORMAT </w:instrText>
              </w:r>
              <w:r w:rsidRPr="007E6E46">
                <w:rPr>
                  <w:rFonts w:eastAsiaTheme="minorHAnsi" w:cstheme="minorBidi"/>
                  <w:sz w:val="20"/>
                  <w:lang w:eastAsia="en-US"/>
                </w:rPr>
                <w:fldChar w:fldCharType="separate"/>
              </w:r>
              <w:r w:rsidRPr="007E6E46">
                <w:rPr>
                  <w:rFonts w:eastAsiaTheme="minorHAnsi" w:cstheme="minorBidi"/>
                  <w:sz w:val="20"/>
                  <w:lang w:eastAsia="en-US"/>
                </w:rPr>
                <w:t>26</w:t>
              </w:r>
              <w:r w:rsidRPr="007E6E46">
                <w:rPr>
                  <w:rFonts w:eastAsiaTheme="minorHAnsi" w:cstheme="minorBidi"/>
                  <w:sz w:val="20"/>
                  <w:lang w:eastAsia="en-US"/>
                </w:rPr>
                <w:fldChar w:fldCharType="end"/>
              </w:r>
            </w:sdtContent>
          </w:sdt>
        </w:p>
        <w:p w14:paraId="79FB2F5B" w14:textId="77777777" w:rsidR="00CB1506" w:rsidRPr="007E6E46" w:rsidRDefault="00CB1506" w:rsidP="00CB1506">
          <w:pPr>
            <w:tabs>
              <w:tab w:val="left" w:pos="2100"/>
            </w:tabs>
            <w:spacing w:before="0"/>
            <w:jc w:val="left"/>
            <w:rPr>
              <w:sz w:val="18"/>
              <w:szCs w:val="18"/>
            </w:rPr>
          </w:pPr>
          <w:r w:rsidRPr="007E6E46">
            <w:rPr>
              <w:rFonts w:eastAsiaTheme="minorHAnsi" w:cstheme="minorBidi"/>
              <w:b/>
              <w:color w:val="00B0F0"/>
              <w:sz w:val="18"/>
              <w:szCs w:val="18"/>
              <w:lang w:eastAsia="en-US"/>
            </w:rPr>
            <w:t>UWP 1 2026</w:t>
          </w:r>
        </w:p>
      </w:tc>
      <w:tc>
        <w:tcPr>
          <w:tcW w:w="8221" w:type="dxa"/>
          <w:vAlign w:val="bottom"/>
        </w:tcPr>
        <w:p w14:paraId="3454C061" w14:textId="77777777" w:rsidR="00CB1506" w:rsidRPr="007E6E46" w:rsidRDefault="00CB1506" w:rsidP="00CB1506">
          <w:pPr>
            <w:tabs>
              <w:tab w:val="center" w:pos="4536"/>
              <w:tab w:val="right" w:pos="9072"/>
              <w:tab w:val="left" w:pos="9781"/>
            </w:tabs>
            <w:spacing w:before="0"/>
            <w:jc w:val="center"/>
          </w:pPr>
          <w:r w:rsidRPr="007E6E46">
            <w:rPr>
              <w:noProof/>
            </w:rPr>
            <w:drawing>
              <wp:inline distT="0" distB="0" distL="0" distR="0" wp14:anchorId="013D4211" wp14:editId="261C439E">
                <wp:extent cx="1113288" cy="342000"/>
                <wp:effectExtent l="0" t="0" r="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13288" cy="342000"/>
                        </a:xfrm>
                        <a:prstGeom prst="rect">
                          <a:avLst/>
                        </a:prstGeom>
                        <a:noFill/>
                        <a:ln>
                          <a:noFill/>
                        </a:ln>
                      </pic:spPr>
                    </pic:pic>
                  </a:graphicData>
                </a:graphic>
              </wp:inline>
            </w:drawing>
          </w:r>
        </w:p>
      </w:tc>
      <w:tc>
        <w:tcPr>
          <w:tcW w:w="6345" w:type="dxa"/>
          <w:vAlign w:val="bottom"/>
        </w:tcPr>
        <w:p w14:paraId="326508B4" w14:textId="1BB8C749" w:rsidR="00CB1506" w:rsidRPr="0009625D" w:rsidRDefault="00CB1506" w:rsidP="00CB1506">
          <w:pPr>
            <w:tabs>
              <w:tab w:val="left" w:pos="1731"/>
            </w:tabs>
            <w:spacing w:before="0"/>
            <w:ind w:right="-110"/>
            <w:jc w:val="right"/>
            <w:rPr>
              <w:rFonts w:eastAsiaTheme="minorHAnsi" w:cstheme="minorBidi"/>
              <w:b/>
              <w:color w:val="00B0F0"/>
              <w:sz w:val="16"/>
              <w:szCs w:val="16"/>
              <w:lang w:eastAsia="en-US"/>
            </w:rPr>
          </w:pPr>
          <w:r w:rsidRPr="007E6E46">
            <w:rPr>
              <w:rFonts w:eastAsiaTheme="minorHAnsi" w:cstheme="minorBidi"/>
              <w:b/>
              <w:color w:val="00B0F0"/>
              <w:sz w:val="20"/>
              <w:lang w:eastAsia="en-US"/>
            </w:rPr>
            <w:t xml:space="preserve">Praxishilfe </w:t>
          </w:r>
          <w:r w:rsidR="00840BA4">
            <w:rPr>
              <w:rFonts w:eastAsiaTheme="minorHAnsi" w:cstheme="minorBidi"/>
              <w:b/>
              <w:color w:val="00B0F0"/>
              <w:sz w:val="20"/>
              <w:lang w:eastAsia="en-US"/>
            </w:rPr>
            <w:t>12</w:t>
          </w:r>
        </w:p>
      </w:tc>
    </w:tr>
  </w:tbl>
  <w:p w14:paraId="646E6B01" w14:textId="65C74A52" w:rsidR="001E1F96" w:rsidRPr="00CB1506" w:rsidRDefault="001E1F96" w:rsidP="00CB1506">
    <w:pPr>
      <w:pStyle w:val="Fuzeile"/>
      <w:spacing w:before="0"/>
      <w:rPr>
        <w:rFonts w:eastAsiaTheme="minorHAnsi"/>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2097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6413"/>
      <w:gridCol w:w="8221"/>
      <w:gridCol w:w="6345"/>
    </w:tblGrid>
    <w:tr w:rsidR="00CB1506" w14:paraId="50DB9D35" w14:textId="77777777" w:rsidTr="00CB1506">
      <w:trPr>
        <w:trHeight w:hRule="exact" w:val="821"/>
      </w:trPr>
      <w:tc>
        <w:tcPr>
          <w:tcW w:w="6413" w:type="dxa"/>
          <w:vAlign w:val="bottom"/>
        </w:tcPr>
        <w:p w14:paraId="129455E1" w14:textId="77777777" w:rsidR="00CB1506" w:rsidRPr="007E6E46" w:rsidRDefault="00CB1506" w:rsidP="00CB1506">
          <w:pPr>
            <w:tabs>
              <w:tab w:val="left" w:pos="2100"/>
            </w:tabs>
            <w:spacing w:before="0"/>
            <w:jc w:val="left"/>
            <w:rPr>
              <w:rFonts w:eastAsiaTheme="minorHAnsi" w:cstheme="minorBidi"/>
              <w:sz w:val="20"/>
              <w:lang w:eastAsia="en-US"/>
            </w:rPr>
          </w:pPr>
          <w:r w:rsidRPr="007E6E46">
            <w:rPr>
              <w:sz w:val="20"/>
            </w:rPr>
            <w:t xml:space="preserve">Seite </w:t>
          </w:r>
          <w:r w:rsidRPr="007E6E46">
            <w:rPr>
              <w:rFonts w:eastAsiaTheme="minorHAnsi" w:cstheme="minorBidi"/>
              <w:sz w:val="20"/>
              <w:lang w:eastAsia="en-US"/>
            </w:rPr>
            <w:fldChar w:fldCharType="begin"/>
          </w:r>
          <w:r w:rsidRPr="007E6E46">
            <w:rPr>
              <w:rFonts w:eastAsiaTheme="minorHAnsi" w:cstheme="minorBidi"/>
              <w:sz w:val="20"/>
              <w:lang w:eastAsia="en-US"/>
            </w:rPr>
            <w:instrText>PAGE   \* MERGEFORMAT</w:instrText>
          </w:r>
          <w:r w:rsidRPr="007E6E46">
            <w:rPr>
              <w:rFonts w:eastAsiaTheme="minorHAnsi" w:cstheme="minorBidi"/>
              <w:sz w:val="20"/>
              <w:lang w:eastAsia="en-US"/>
            </w:rPr>
            <w:fldChar w:fldCharType="separate"/>
          </w:r>
          <w:r w:rsidRPr="007E6E46">
            <w:rPr>
              <w:rFonts w:eastAsiaTheme="minorHAnsi" w:cstheme="minorBidi"/>
              <w:sz w:val="20"/>
              <w:lang w:eastAsia="en-US"/>
            </w:rPr>
            <w:t>1</w:t>
          </w:r>
          <w:r w:rsidRPr="007E6E46">
            <w:rPr>
              <w:rFonts w:eastAsiaTheme="minorHAnsi" w:cstheme="minorBidi"/>
              <w:sz w:val="20"/>
              <w:lang w:eastAsia="en-US"/>
            </w:rPr>
            <w:fldChar w:fldCharType="end"/>
          </w:r>
          <w:r w:rsidRPr="007E6E46">
            <w:rPr>
              <w:rFonts w:eastAsiaTheme="minorHAnsi" w:cstheme="minorBidi"/>
              <w:sz w:val="20"/>
              <w:lang w:eastAsia="en-US"/>
            </w:rPr>
            <w:t xml:space="preserve"> </w:t>
          </w:r>
          <w:sdt>
            <w:sdtPr>
              <w:rPr>
                <w:rFonts w:eastAsiaTheme="minorHAnsi" w:cstheme="minorBidi"/>
                <w:sz w:val="20"/>
                <w:lang w:eastAsia="en-US"/>
              </w:rPr>
              <w:id w:val="-1877616359"/>
              <w:docPartObj>
                <w:docPartGallery w:val="Page Numbers (Top of Page)"/>
                <w:docPartUnique/>
              </w:docPartObj>
            </w:sdtPr>
            <w:sdtEndPr/>
            <w:sdtContent>
              <w:r w:rsidRPr="007E6E46">
                <w:rPr>
                  <w:rFonts w:eastAsiaTheme="minorHAnsi" w:cstheme="minorBidi"/>
                  <w:sz w:val="20"/>
                  <w:lang w:eastAsia="en-US"/>
                </w:rPr>
                <w:t xml:space="preserve">von </w:t>
              </w:r>
              <w:r w:rsidRPr="007E6E46">
                <w:rPr>
                  <w:rFonts w:eastAsiaTheme="minorHAnsi" w:cstheme="minorBidi"/>
                  <w:sz w:val="20"/>
                  <w:lang w:eastAsia="en-US"/>
                </w:rPr>
                <w:fldChar w:fldCharType="begin"/>
              </w:r>
              <w:r w:rsidRPr="007E6E46">
                <w:rPr>
                  <w:rFonts w:eastAsiaTheme="minorHAnsi" w:cstheme="minorBidi"/>
                  <w:sz w:val="20"/>
                  <w:lang w:eastAsia="en-US"/>
                </w:rPr>
                <w:instrText xml:space="preserve"> NUMPAGES  \* Arabic  \* MERGEFORMAT </w:instrText>
              </w:r>
              <w:r w:rsidRPr="007E6E46">
                <w:rPr>
                  <w:rFonts w:eastAsiaTheme="minorHAnsi" w:cstheme="minorBidi"/>
                  <w:sz w:val="20"/>
                  <w:lang w:eastAsia="en-US"/>
                </w:rPr>
                <w:fldChar w:fldCharType="separate"/>
              </w:r>
              <w:r w:rsidRPr="007E6E46">
                <w:rPr>
                  <w:rFonts w:eastAsiaTheme="minorHAnsi" w:cstheme="minorBidi"/>
                  <w:sz w:val="20"/>
                  <w:lang w:eastAsia="en-US"/>
                </w:rPr>
                <w:t>26</w:t>
              </w:r>
              <w:r w:rsidRPr="007E6E46">
                <w:rPr>
                  <w:rFonts w:eastAsiaTheme="minorHAnsi" w:cstheme="minorBidi"/>
                  <w:sz w:val="20"/>
                  <w:lang w:eastAsia="en-US"/>
                </w:rPr>
                <w:fldChar w:fldCharType="end"/>
              </w:r>
            </w:sdtContent>
          </w:sdt>
        </w:p>
        <w:p w14:paraId="5FAF4505" w14:textId="77777777" w:rsidR="00CB1506" w:rsidRPr="007E6E46" w:rsidRDefault="00CB1506" w:rsidP="00CB1506">
          <w:pPr>
            <w:tabs>
              <w:tab w:val="left" w:pos="2100"/>
            </w:tabs>
            <w:spacing w:before="0"/>
            <w:jc w:val="left"/>
            <w:rPr>
              <w:sz w:val="18"/>
              <w:szCs w:val="18"/>
            </w:rPr>
          </w:pPr>
          <w:r w:rsidRPr="007E6E46">
            <w:rPr>
              <w:rFonts w:eastAsiaTheme="minorHAnsi" w:cstheme="minorBidi"/>
              <w:b/>
              <w:color w:val="00B0F0"/>
              <w:sz w:val="18"/>
              <w:szCs w:val="18"/>
              <w:lang w:eastAsia="en-US"/>
            </w:rPr>
            <w:t>UWP 1 2026</w:t>
          </w:r>
        </w:p>
      </w:tc>
      <w:tc>
        <w:tcPr>
          <w:tcW w:w="8221" w:type="dxa"/>
          <w:vAlign w:val="bottom"/>
        </w:tcPr>
        <w:p w14:paraId="61F7B811" w14:textId="77777777" w:rsidR="00CB1506" w:rsidRPr="007E6E46" w:rsidRDefault="00CB1506" w:rsidP="00CB1506">
          <w:pPr>
            <w:tabs>
              <w:tab w:val="center" w:pos="4536"/>
              <w:tab w:val="right" w:pos="9072"/>
              <w:tab w:val="left" w:pos="9781"/>
            </w:tabs>
            <w:spacing w:before="0"/>
            <w:jc w:val="center"/>
          </w:pPr>
          <w:r w:rsidRPr="007E6E46">
            <w:rPr>
              <w:noProof/>
            </w:rPr>
            <w:drawing>
              <wp:inline distT="0" distB="0" distL="0" distR="0" wp14:anchorId="142AE52E" wp14:editId="4CA6D0E7">
                <wp:extent cx="1113288" cy="342000"/>
                <wp:effectExtent l="0" t="0" r="0" b="127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13288" cy="342000"/>
                        </a:xfrm>
                        <a:prstGeom prst="rect">
                          <a:avLst/>
                        </a:prstGeom>
                        <a:noFill/>
                        <a:ln>
                          <a:noFill/>
                        </a:ln>
                      </pic:spPr>
                    </pic:pic>
                  </a:graphicData>
                </a:graphic>
              </wp:inline>
            </w:drawing>
          </w:r>
        </w:p>
      </w:tc>
      <w:tc>
        <w:tcPr>
          <w:tcW w:w="6345" w:type="dxa"/>
          <w:vAlign w:val="bottom"/>
        </w:tcPr>
        <w:p w14:paraId="775D498D" w14:textId="4D431107" w:rsidR="00CB1506" w:rsidRPr="0009625D" w:rsidRDefault="00CB1506" w:rsidP="00CB1506">
          <w:pPr>
            <w:tabs>
              <w:tab w:val="left" w:pos="1731"/>
            </w:tabs>
            <w:spacing w:before="0"/>
            <w:ind w:right="-110"/>
            <w:jc w:val="right"/>
            <w:rPr>
              <w:rFonts w:eastAsiaTheme="minorHAnsi" w:cstheme="minorBidi"/>
              <w:b/>
              <w:color w:val="00B0F0"/>
              <w:sz w:val="16"/>
              <w:szCs w:val="16"/>
              <w:lang w:eastAsia="en-US"/>
            </w:rPr>
          </w:pPr>
          <w:r w:rsidRPr="007E6E46">
            <w:rPr>
              <w:rFonts w:eastAsiaTheme="minorHAnsi" w:cstheme="minorBidi"/>
              <w:b/>
              <w:color w:val="00B0F0"/>
              <w:sz w:val="20"/>
              <w:lang w:eastAsia="en-US"/>
            </w:rPr>
            <w:t xml:space="preserve">Praxishilfe </w:t>
          </w:r>
          <w:r w:rsidR="00284DBE">
            <w:rPr>
              <w:rFonts w:eastAsiaTheme="minorHAnsi" w:cstheme="minorBidi"/>
              <w:b/>
              <w:color w:val="00B0F0"/>
              <w:sz w:val="20"/>
              <w:lang w:eastAsia="en-US"/>
            </w:rPr>
            <w:t>12</w:t>
          </w:r>
        </w:p>
      </w:tc>
    </w:tr>
  </w:tbl>
  <w:p w14:paraId="00844FFD" w14:textId="6F9DC4D0" w:rsidR="001E1F96" w:rsidRPr="00CB1506" w:rsidRDefault="001E1F96" w:rsidP="00CB1506">
    <w:pPr>
      <w:pStyle w:val="Fuzeile"/>
      <w:spacing w:before="0"/>
      <w:ind w:firstLine="227"/>
      <w:rPr>
        <w:rFonts w:eastAsiaTheme="minorHAnsi"/>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481E" w14:textId="77777777" w:rsidR="00370171" w:rsidRPr="00EE217B" w:rsidRDefault="00370171" w:rsidP="00EA66E7">
      <w:pPr>
        <w:spacing w:before="0"/>
      </w:pPr>
      <w:r w:rsidRPr="00027F72">
        <w:separator/>
      </w:r>
      <w:r w:rsidRPr="00027F72">
        <w:separator/>
      </w:r>
    </w:p>
  </w:footnote>
  <w:footnote w:type="continuationSeparator" w:id="0">
    <w:p w14:paraId="58A908DB" w14:textId="77777777" w:rsidR="00370171" w:rsidRPr="00711AB6" w:rsidRDefault="00370171" w:rsidP="00EA66E7">
      <w:pPr>
        <w:spacing w:before="0"/>
      </w:pPr>
      <w:r w:rsidRPr="00027F72">
        <w:separator/>
      </w:r>
      <w:r w:rsidRPr="00027F72">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AE95" w14:textId="1E885DE1" w:rsidR="001E1F96" w:rsidRPr="00B73242" w:rsidRDefault="001E1F96" w:rsidP="00B73242">
    <w:pPr>
      <w:pStyle w:val="Kopfzeile"/>
      <w:pBdr>
        <w:bottom w:val="none" w:sz="0" w:space="0" w:color="auto"/>
      </w:pBdr>
      <w:spacing w:before="0"/>
      <w:rPr>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DBB9D" w14:textId="77777777" w:rsidR="001E1F96" w:rsidRDefault="001E1F96" w:rsidP="00870FF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3C3F36"/>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6A6458C"/>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F788D9E6"/>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B7A2702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AF84E9B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C46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5ECC18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BE124A82"/>
    <w:lvl w:ilvl="0">
      <w:start w:val="1"/>
      <w:numFmt w:val="decimal"/>
      <w:pStyle w:val="Listennummer"/>
      <w:lvlText w:val="%1."/>
      <w:lvlJc w:val="left"/>
      <w:pPr>
        <w:tabs>
          <w:tab w:val="num" w:pos="360"/>
        </w:tabs>
        <w:ind w:left="360" w:hanging="360"/>
      </w:pPr>
    </w:lvl>
  </w:abstractNum>
  <w:abstractNum w:abstractNumId="8" w15:restartNumberingAfterBreak="0">
    <w:nsid w:val="05D61A0C"/>
    <w:multiLevelType w:val="hybridMultilevel"/>
    <w:tmpl w:val="5824C4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0AC517C"/>
    <w:multiLevelType w:val="hybridMultilevel"/>
    <w:tmpl w:val="DA605592"/>
    <w:lvl w:ilvl="0" w:tplc="41CEEF3C">
      <w:start w:val="1"/>
      <w:numFmt w:val="bullet"/>
      <w:pStyle w:val="Aufzhlungszeichen"/>
      <w:lvlText w:val=""/>
      <w:lvlJc w:val="left"/>
      <w:pPr>
        <w:ind w:left="1074" w:hanging="360"/>
      </w:pPr>
      <w:rPr>
        <w:rFonts w:ascii="Symbol" w:hAnsi="Symbol" w:hint="default"/>
      </w:rPr>
    </w:lvl>
    <w:lvl w:ilvl="1" w:tplc="04070003">
      <w:start w:val="1"/>
      <w:numFmt w:val="bullet"/>
      <w:lvlText w:val="o"/>
      <w:lvlJc w:val="left"/>
      <w:pPr>
        <w:ind w:left="1794" w:hanging="360"/>
      </w:pPr>
      <w:rPr>
        <w:rFonts w:ascii="Courier New" w:hAnsi="Courier New" w:cs="Courier New" w:hint="default"/>
      </w:rPr>
    </w:lvl>
    <w:lvl w:ilvl="2" w:tplc="04070005" w:tentative="1">
      <w:start w:val="1"/>
      <w:numFmt w:val="bullet"/>
      <w:lvlText w:val=""/>
      <w:lvlJc w:val="left"/>
      <w:pPr>
        <w:ind w:left="2514" w:hanging="360"/>
      </w:pPr>
      <w:rPr>
        <w:rFonts w:ascii="Wingdings" w:hAnsi="Wingdings" w:hint="default"/>
      </w:rPr>
    </w:lvl>
    <w:lvl w:ilvl="3" w:tplc="04070001" w:tentative="1">
      <w:start w:val="1"/>
      <w:numFmt w:val="bullet"/>
      <w:lvlText w:val=""/>
      <w:lvlJc w:val="left"/>
      <w:pPr>
        <w:ind w:left="3234" w:hanging="360"/>
      </w:pPr>
      <w:rPr>
        <w:rFonts w:ascii="Symbol" w:hAnsi="Symbol" w:hint="default"/>
      </w:rPr>
    </w:lvl>
    <w:lvl w:ilvl="4" w:tplc="04070003" w:tentative="1">
      <w:start w:val="1"/>
      <w:numFmt w:val="bullet"/>
      <w:lvlText w:val="o"/>
      <w:lvlJc w:val="left"/>
      <w:pPr>
        <w:ind w:left="3954" w:hanging="360"/>
      </w:pPr>
      <w:rPr>
        <w:rFonts w:ascii="Courier New" w:hAnsi="Courier New" w:cs="Courier New" w:hint="default"/>
      </w:rPr>
    </w:lvl>
    <w:lvl w:ilvl="5" w:tplc="04070005" w:tentative="1">
      <w:start w:val="1"/>
      <w:numFmt w:val="bullet"/>
      <w:lvlText w:val=""/>
      <w:lvlJc w:val="left"/>
      <w:pPr>
        <w:ind w:left="4674" w:hanging="360"/>
      </w:pPr>
      <w:rPr>
        <w:rFonts w:ascii="Wingdings" w:hAnsi="Wingdings" w:hint="default"/>
      </w:rPr>
    </w:lvl>
    <w:lvl w:ilvl="6" w:tplc="04070001" w:tentative="1">
      <w:start w:val="1"/>
      <w:numFmt w:val="bullet"/>
      <w:lvlText w:val=""/>
      <w:lvlJc w:val="left"/>
      <w:pPr>
        <w:ind w:left="5394" w:hanging="360"/>
      </w:pPr>
      <w:rPr>
        <w:rFonts w:ascii="Symbol" w:hAnsi="Symbol" w:hint="default"/>
      </w:rPr>
    </w:lvl>
    <w:lvl w:ilvl="7" w:tplc="04070003" w:tentative="1">
      <w:start w:val="1"/>
      <w:numFmt w:val="bullet"/>
      <w:lvlText w:val="o"/>
      <w:lvlJc w:val="left"/>
      <w:pPr>
        <w:ind w:left="6114" w:hanging="360"/>
      </w:pPr>
      <w:rPr>
        <w:rFonts w:ascii="Courier New" w:hAnsi="Courier New" w:cs="Courier New" w:hint="default"/>
      </w:rPr>
    </w:lvl>
    <w:lvl w:ilvl="8" w:tplc="04070005" w:tentative="1">
      <w:start w:val="1"/>
      <w:numFmt w:val="bullet"/>
      <w:lvlText w:val=""/>
      <w:lvlJc w:val="left"/>
      <w:pPr>
        <w:ind w:left="6834" w:hanging="360"/>
      </w:pPr>
      <w:rPr>
        <w:rFonts w:ascii="Wingdings" w:hAnsi="Wingdings" w:hint="default"/>
      </w:rPr>
    </w:lvl>
  </w:abstractNum>
  <w:abstractNum w:abstractNumId="10" w15:restartNumberingAfterBreak="0">
    <w:nsid w:val="11312DD0"/>
    <w:multiLevelType w:val="hybridMultilevel"/>
    <w:tmpl w:val="7930C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6143A6F"/>
    <w:multiLevelType w:val="multilevel"/>
    <w:tmpl w:val="5E5E9E74"/>
    <w:styleLink w:val="Listen1"/>
    <w:lvl w:ilvl="0">
      <w:start w:val="1"/>
      <w:numFmt w:val="bullet"/>
      <w:lvlText w:val=""/>
      <w:lvlJc w:val="left"/>
      <w:pPr>
        <w:ind w:left="1428" w:hanging="360"/>
      </w:pPr>
      <w:rPr>
        <w:rFonts w:ascii="Symbol" w:hAnsi="Symbol"/>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1B14060A"/>
    <w:multiLevelType w:val="hybridMultilevel"/>
    <w:tmpl w:val="F4BC8EA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34252DE"/>
    <w:multiLevelType w:val="hybridMultilevel"/>
    <w:tmpl w:val="265C1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0FD0E29"/>
    <w:multiLevelType w:val="hybridMultilevel"/>
    <w:tmpl w:val="F51233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1914F06"/>
    <w:multiLevelType w:val="hybridMultilevel"/>
    <w:tmpl w:val="C04A6076"/>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16" w15:restartNumberingAfterBreak="0">
    <w:nsid w:val="39FA76BC"/>
    <w:multiLevelType w:val="hybridMultilevel"/>
    <w:tmpl w:val="905EDE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E3662B4"/>
    <w:multiLevelType w:val="hybridMultilevel"/>
    <w:tmpl w:val="A008BC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3136227"/>
    <w:multiLevelType w:val="hybridMultilevel"/>
    <w:tmpl w:val="6720B5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6EA1804"/>
    <w:multiLevelType w:val="hybridMultilevel"/>
    <w:tmpl w:val="CC3468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B9D71DC"/>
    <w:multiLevelType w:val="hybridMultilevel"/>
    <w:tmpl w:val="4628C72E"/>
    <w:lvl w:ilvl="0" w:tplc="C92E87F4">
      <w:start w:val="1"/>
      <w:numFmt w:val="lowerLetter"/>
      <w:pStyle w:val="Aufzhlungszeichen2"/>
      <w:lvlText w:val="%1."/>
      <w:lvlJc w:val="left"/>
      <w:pPr>
        <w:ind w:left="1074" w:hanging="360"/>
      </w:pPr>
      <w:rPr>
        <w:rFonts w:hint="default"/>
      </w:rPr>
    </w:lvl>
    <w:lvl w:ilvl="1" w:tplc="04070019" w:tentative="1">
      <w:start w:val="1"/>
      <w:numFmt w:val="lowerLetter"/>
      <w:lvlText w:val="%2."/>
      <w:lvlJc w:val="left"/>
      <w:pPr>
        <w:ind w:left="1794" w:hanging="360"/>
      </w:pPr>
    </w:lvl>
    <w:lvl w:ilvl="2" w:tplc="0407001B" w:tentative="1">
      <w:start w:val="1"/>
      <w:numFmt w:val="lowerRoman"/>
      <w:lvlText w:val="%3."/>
      <w:lvlJc w:val="right"/>
      <w:pPr>
        <w:ind w:left="2514" w:hanging="180"/>
      </w:pPr>
    </w:lvl>
    <w:lvl w:ilvl="3" w:tplc="0407000F" w:tentative="1">
      <w:start w:val="1"/>
      <w:numFmt w:val="decimal"/>
      <w:lvlText w:val="%4."/>
      <w:lvlJc w:val="left"/>
      <w:pPr>
        <w:ind w:left="3234" w:hanging="360"/>
      </w:pPr>
    </w:lvl>
    <w:lvl w:ilvl="4" w:tplc="04070019" w:tentative="1">
      <w:start w:val="1"/>
      <w:numFmt w:val="lowerLetter"/>
      <w:lvlText w:val="%5."/>
      <w:lvlJc w:val="left"/>
      <w:pPr>
        <w:ind w:left="3954" w:hanging="360"/>
      </w:pPr>
    </w:lvl>
    <w:lvl w:ilvl="5" w:tplc="0407001B" w:tentative="1">
      <w:start w:val="1"/>
      <w:numFmt w:val="lowerRoman"/>
      <w:lvlText w:val="%6."/>
      <w:lvlJc w:val="right"/>
      <w:pPr>
        <w:ind w:left="4674" w:hanging="180"/>
      </w:pPr>
    </w:lvl>
    <w:lvl w:ilvl="6" w:tplc="0407000F" w:tentative="1">
      <w:start w:val="1"/>
      <w:numFmt w:val="decimal"/>
      <w:lvlText w:val="%7."/>
      <w:lvlJc w:val="left"/>
      <w:pPr>
        <w:ind w:left="5394" w:hanging="360"/>
      </w:pPr>
    </w:lvl>
    <w:lvl w:ilvl="7" w:tplc="04070019" w:tentative="1">
      <w:start w:val="1"/>
      <w:numFmt w:val="lowerLetter"/>
      <w:lvlText w:val="%8."/>
      <w:lvlJc w:val="left"/>
      <w:pPr>
        <w:ind w:left="6114" w:hanging="360"/>
      </w:pPr>
    </w:lvl>
    <w:lvl w:ilvl="8" w:tplc="0407001B" w:tentative="1">
      <w:start w:val="1"/>
      <w:numFmt w:val="lowerRoman"/>
      <w:lvlText w:val="%9."/>
      <w:lvlJc w:val="right"/>
      <w:pPr>
        <w:ind w:left="6834" w:hanging="180"/>
      </w:pPr>
    </w:lvl>
  </w:abstractNum>
  <w:abstractNum w:abstractNumId="21" w15:restartNumberingAfterBreak="0">
    <w:nsid w:val="5CBA2381"/>
    <w:multiLevelType w:val="hybridMultilevel"/>
    <w:tmpl w:val="AF584080"/>
    <w:lvl w:ilvl="0" w:tplc="04070001">
      <w:start w:val="1"/>
      <w:numFmt w:val="bullet"/>
      <w:lvlText w:val=""/>
      <w:lvlJc w:val="left"/>
      <w:pPr>
        <w:ind w:left="587" w:hanging="360"/>
      </w:pPr>
      <w:rPr>
        <w:rFonts w:ascii="Symbol" w:hAnsi="Symbol" w:hint="default"/>
      </w:rPr>
    </w:lvl>
    <w:lvl w:ilvl="1" w:tplc="04070003" w:tentative="1">
      <w:start w:val="1"/>
      <w:numFmt w:val="bullet"/>
      <w:lvlText w:val="o"/>
      <w:lvlJc w:val="left"/>
      <w:pPr>
        <w:ind w:left="1307" w:hanging="360"/>
      </w:pPr>
      <w:rPr>
        <w:rFonts w:ascii="Courier New" w:hAnsi="Courier New" w:cs="Courier New" w:hint="default"/>
      </w:rPr>
    </w:lvl>
    <w:lvl w:ilvl="2" w:tplc="04070005" w:tentative="1">
      <w:start w:val="1"/>
      <w:numFmt w:val="bullet"/>
      <w:lvlText w:val=""/>
      <w:lvlJc w:val="left"/>
      <w:pPr>
        <w:ind w:left="2027" w:hanging="360"/>
      </w:pPr>
      <w:rPr>
        <w:rFonts w:ascii="Wingdings" w:hAnsi="Wingdings" w:hint="default"/>
      </w:rPr>
    </w:lvl>
    <w:lvl w:ilvl="3" w:tplc="04070001" w:tentative="1">
      <w:start w:val="1"/>
      <w:numFmt w:val="bullet"/>
      <w:lvlText w:val=""/>
      <w:lvlJc w:val="left"/>
      <w:pPr>
        <w:ind w:left="2747" w:hanging="360"/>
      </w:pPr>
      <w:rPr>
        <w:rFonts w:ascii="Symbol" w:hAnsi="Symbol" w:hint="default"/>
      </w:rPr>
    </w:lvl>
    <w:lvl w:ilvl="4" w:tplc="04070003" w:tentative="1">
      <w:start w:val="1"/>
      <w:numFmt w:val="bullet"/>
      <w:lvlText w:val="o"/>
      <w:lvlJc w:val="left"/>
      <w:pPr>
        <w:ind w:left="3467" w:hanging="360"/>
      </w:pPr>
      <w:rPr>
        <w:rFonts w:ascii="Courier New" w:hAnsi="Courier New" w:cs="Courier New" w:hint="default"/>
      </w:rPr>
    </w:lvl>
    <w:lvl w:ilvl="5" w:tplc="04070005" w:tentative="1">
      <w:start w:val="1"/>
      <w:numFmt w:val="bullet"/>
      <w:lvlText w:val=""/>
      <w:lvlJc w:val="left"/>
      <w:pPr>
        <w:ind w:left="4187" w:hanging="360"/>
      </w:pPr>
      <w:rPr>
        <w:rFonts w:ascii="Wingdings" w:hAnsi="Wingdings" w:hint="default"/>
      </w:rPr>
    </w:lvl>
    <w:lvl w:ilvl="6" w:tplc="04070001" w:tentative="1">
      <w:start w:val="1"/>
      <w:numFmt w:val="bullet"/>
      <w:lvlText w:val=""/>
      <w:lvlJc w:val="left"/>
      <w:pPr>
        <w:ind w:left="4907" w:hanging="360"/>
      </w:pPr>
      <w:rPr>
        <w:rFonts w:ascii="Symbol" w:hAnsi="Symbol" w:hint="default"/>
      </w:rPr>
    </w:lvl>
    <w:lvl w:ilvl="7" w:tplc="04070003" w:tentative="1">
      <w:start w:val="1"/>
      <w:numFmt w:val="bullet"/>
      <w:lvlText w:val="o"/>
      <w:lvlJc w:val="left"/>
      <w:pPr>
        <w:ind w:left="5627" w:hanging="360"/>
      </w:pPr>
      <w:rPr>
        <w:rFonts w:ascii="Courier New" w:hAnsi="Courier New" w:cs="Courier New" w:hint="default"/>
      </w:rPr>
    </w:lvl>
    <w:lvl w:ilvl="8" w:tplc="04070005" w:tentative="1">
      <w:start w:val="1"/>
      <w:numFmt w:val="bullet"/>
      <w:lvlText w:val=""/>
      <w:lvlJc w:val="left"/>
      <w:pPr>
        <w:ind w:left="6347" w:hanging="360"/>
      </w:pPr>
      <w:rPr>
        <w:rFonts w:ascii="Wingdings" w:hAnsi="Wingdings" w:hint="default"/>
      </w:rPr>
    </w:lvl>
  </w:abstractNum>
  <w:abstractNum w:abstractNumId="22" w15:restartNumberingAfterBreak="0">
    <w:nsid w:val="5DCB7729"/>
    <w:multiLevelType w:val="hybridMultilevel"/>
    <w:tmpl w:val="74CC2D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CF2423"/>
    <w:multiLevelType w:val="hybridMultilevel"/>
    <w:tmpl w:val="01520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713767"/>
    <w:multiLevelType w:val="hybridMultilevel"/>
    <w:tmpl w:val="B776D9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27D6E50"/>
    <w:multiLevelType w:val="hybridMultilevel"/>
    <w:tmpl w:val="A0F2CE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8A6FE6"/>
    <w:multiLevelType w:val="multilevel"/>
    <w:tmpl w:val="50121D20"/>
    <w:lvl w:ilvl="0">
      <w:start w:val="1"/>
      <w:numFmt w:val="decimal"/>
      <w:pStyle w:val="berschrift1"/>
      <w:lvlText w:val="%1."/>
      <w:lvlJc w:val="left"/>
      <w:pPr>
        <w:tabs>
          <w:tab w:val="num" w:pos="1105"/>
        </w:tabs>
        <w:ind w:left="1105" w:hanging="680"/>
      </w:pPr>
      <w:rPr>
        <w:rFonts w:ascii="Arial" w:eastAsiaTheme="minorHAnsi" w:hAnsi="Arial" w:cs="Arial" w:hint="default"/>
      </w:rPr>
    </w:lvl>
    <w:lvl w:ilvl="1">
      <w:start w:val="1"/>
      <w:numFmt w:val="decimal"/>
      <w:pStyle w:val="berschrift2"/>
      <w:lvlText w:val="%1.%2"/>
      <w:lvlJc w:val="left"/>
      <w:pPr>
        <w:tabs>
          <w:tab w:val="num" w:pos="1105"/>
        </w:tabs>
        <w:ind w:left="1105" w:hanging="680"/>
      </w:pPr>
    </w:lvl>
    <w:lvl w:ilvl="2">
      <w:start w:val="1"/>
      <w:numFmt w:val="decimal"/>
      <w:pStyle w:val="berschrift3"/>
      <w:lvlText w:val="%1.%2.%3"/>
      <w:lvlJc w:val="left"/>
      <w:pPr>
        <w:tabs>
          <w:tab w:val="num" w:pos="1105"/>
        </w:tabs>
        <w:ind w:left="1105" w:hanging="680"/>
      </w:pPr>
    </w:lvl>
    <w:lvl w:ilvl="3">
      <w:start w:val="1"/>
      <w:numFmt w:val="decimal"/>
      <w:pStyle w:val="berschrift4"/>
      <w:lvlText w:val="%1.%2.%3.%4"/>
      <w:lvlJc w:val="left"/>
      <w:pPr>
        <w:tabs>
          <w:tab w:val="num" w:pos="1289"/>
        </w:tabs>
        <w:ind w:left="1289" w:hanging="864"/>
      </w:pPr>
    </w:lvl>
    <w:lvl w:ilvl="4">
      <w:start w:val="1"/>
      <w:numFmt w:val="decimal"/>
      <w:pStyle w:val="berschrift5"/>
      <w:lvlText w:val="%1.%2.%3.%4.%5"/>
      <w:lvlJc w:val="left"/>
      <w:pPr>
        <w:tabs>
          <w:tab w:val="num" w:pos="1433"/>
        </w:tabs>
        <w:ind w:left="1433" w:hanging="1008"/>
      </w:pPr>
    </w:lvl>
    <w:lvl w:ilvl="5">
      <w:start w:val="1"/>
      <w:numFmt w:val="decimal"/>
      <w:pStyle w:val="berschrift6"/>
      <w:lvlText w:val="%1.%2.%3.%4.%5.%6"/>
      <w:lvlJc w:val="left"/>
      <w:pPr>
        <w:tabs>
          <w:tab w:val="num" w:pos="1577"/>
        </w:tabs>
        <w:ind w:left="1577" w:hanging="1152"/>
      </w:pPr>
    </w:lvl>
    <w:lvl w:ilvl="6">
      <w:start w:val="1"/>
      <w:numFmt w:val="decimal"/>
      <w:pStyle w:val="berschrift7"/>
      <w:lvlText w:val="%1.%2.%3.%4.%5.%6.%7"/>
      <w:lvlJc w:val="left"/>
      <w:pPr>
        <w:tabs>
          <w:tab w:val="num" w:pos="1721"/>
        </w:tabs>
        <w:ind w:left="1721" w:hanging="1296"/>
      </w:pPr>
    </w:lvl>
    <w:lvl w:ilvl="7">
      <w:start w:val="1"/>
      <w:numFmt w:val="decimal"/>
      <w:pStyle w:val="berschrift8"/>
      <w:lvlText w:val="%1.%2.%3.%4.%5.%6.%7.%8"/>
      <w:lvlJc w:val="left"/>
      <w:pPr>
        <w:tabs>
          <w:tab w:val="num" w:pos="1865"/>
        </w:tabs>
        <w:ind w:left="1865" w:hanging="1440"/>
      </w:pPr>
    </w:lvl>
    <w:lvl w:ilvl="8">
      <w:start w:val="1"/>
      <w:numFmt w:val="decimal"/>
      <w:pStyle w:val="berschrift9"/>
      <w:lvlText w:val="%1.%2.%3.%4.%5.%6.%7.%8.%9"/>
      <w:lvlJc w:val="left"/>
      <w:pPr>
        <w:tabs>
          <w:tab w:val="num" w:pos="2585"/>
        </w:tabs>
        <w:ind w:left="2009" w:hanging="1584"/>
      </w:pPr>
    </w:lvl>
  </w:abstractNum>
  <w:num w:numId="1" w16cid:durableId="1736275818">
    <w:abstractNumId w:val="26"/>
  </w:num>
  <w:num w:numId="2" w16cid:durableId="1776435807">
    <w:abstractNumId w:val="6"/>
  </w:num>
  <w:num w:numId="3" w16cid:durableId="1837958199">
    <w:abstractNumId w:val="5"/>
  </w:num>
  <w:num w:numId="4" w16cid:durableId="447357259">
    <w:abstractNumId w:val="4"/>
  </w:num>
  <w:num w:numId="5" w16cid:durableId="1451241546">
    <w:abstractNumId w:val="7"/>
  </w:num>
  <w:num w:numId="6" w16cid:durableId="1289046211">
    <w:abstractNumId w:val="3"/>
  </w:num>
  <w:num w:numId="7" w16cid:durableId="289672038">
    <w:abstractNumId w:val="2"/>
  </w:num>
  <w:num w:numId="8" w16cid:durableId="2031057182">
    <w:abstractNumId w:val="1"/>
  </w:num>
  <w:num w:numId="9" w16cid:durableId="1493982003">
    <w:abstractNumId w:val="0"/>
  </w:num>
  <w:num w:numId="10" w16cid:durableId="550272290">
    <w:abstractNumId w:val="9"/>
  </w:num>
  <w:num w:numId="11" w16cid:durableId="1998849114">
    <w:abstractNumId w:val="20"/>
  </w:num>
  <w:num w:numId="12" w16cid:durableId="290552735">
    <w:abstractNumId w:val="11"/>
  </w:num>
  <w:num w:numId="13" w16cid:durableId="1643461427">
    <w:abstractNumId w:val="12"/>
  </w:num>
  <w:num w:numId="14" w16cid:durableId="625892809">
    <w:abstractNumId w:val="15"/>
  </w:num>
  <w:num w:numId="15" w16cid:durableId="126314555">
    <w:abstractNumId w:val="21"/>
  </w:num>
  <w:num w:numId="16" w16cid:durableId="1470586865">
    <w:abstractNumId w:val="22"/>
  </w:num>
  <w:num w:numId="17" w16cid:durableId="934705774">
    <w:abstractNumId w:val="16"/>
  </w:num>
  <w:num w:numId="18" w16cid:durableId="1862350851">
    <w:abstractNumId w:val="8"/>
  </w:num>
  <w:num w:numId="19" w16cid:durableId="1695960971">
    <w:abstractNumId w:val="24"/>
  </w:num>
  <w:num w:numId="20" w16cid:durableId="1962570588">
    <w:abstractNumId w:val="25"/>
  </w:num>
  <w:num w:numId="21" w16cid:durableId="1287004251">
    <w:abstractNumId w:val="19"/>
  </w:num>
  <w:num w:numId="22" w16cid:durableId="1801532949">
    <w:abstractNumId w:val="10"/>
  </w:num>
  <w:num w:numId="23" w16cid:durableId="1543860157">
    <w:abstractNumId w:val="18"/>
  </w:num>
  <w:num w:numId="24" w16cid:durableId="1980498120">
    <w:abstractNumId w:val="13"/>
  </w:num>
  <w:num w:numId="25" w16cid:durableId="126120937">
    <w:abstractNumId w:val="14"/>
  </w:num>
  <w:num w:numId="26" w16cid:durableId="384332237">
    <w:abstractNumId w:val="23"/>
  </w:num>
  <w:num w:numId="27" w16cid:durableId="1718159514">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27"/>
  <w:autoHyphenation/>
  <w:hyphenationZone w:val="425"/>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0171"/>
    <w:rsid w:val="00002230"/>
    <w:rsid w:val="00002EED"/>
    <w:rsid w:val="000030A9"/>
    <w:rsid w:val="0001477C"/>
    <w:rsid w:val="000172B2"/>
    <w:rsid w:val="00020528"/>
    <w:rsid w:val="000272C3"/>
    <w:rsid w:val="0003242D"/>
    <w:rsid w:val="0004061E"/>
    <w:rsid w:val="0005326E"/>
    <w:rsid w:val="000616B8"/>
    <w:rsid w:val="00064F40"/>
    <w:rsid w:val="00075E7C"/>
    <w:rsid w:val="00080B9A"/>
    <w:rsid w:val="00086B8A"/>
    <w:rsid w:val="00097B2B"/>
    <w:rsid w:val="000A1757"/>
    <w:rsid w:val="000B1337"/>
    <w:rsid w:val="000B4873"/>
    <w:rsid w:val="000D1989"/>
    <w:rsid w:val="000E26F7"/>
    <w:rsid w:val="000E7FEB"/>
    <w:rsid w:val="0010567B"/>
    <w:rsid w:val="00111AC6"/>
    <w:rsid w:val="001205E2"/>
    <w:rsid w:val="001227C6"/>
    <w:rsid w:val="00131583"/>
    <w:rsid w:val="00143F11"/>
    <w:rsid w:val="00162F29"/>
    <w:rsid w:val="00165A53"/>
    <w:rsid w:val="0019585B"/>
    <w:rsid w:val="001A1B58"/>
    <w:rsid w:val="001B3F50"/>
    <w:rsid w:val="001B7E25"/>
    <w:rsid w:val="001C0D6B"/>
    <w:rsid w:val="001C1789"/>
    <w:rsid w:val="001D22E2"/>
    <w:rsid w:val="001D6478"/>
    <w:rsid w:val="001E1F96"/>
    <w:rsid w:val="001E38E2"/>
    <w:rsid w:val="001E7A82"/>
    <w:rsid w:val="001F04DD"/>
    <w:rsid w:val="00203134"/>
    <w:rsid w:val="0020327D"/>
    <w:rsid w:val="002065BE"/>
    <w:rsid w:val="0021047B"/>
    <w:rsid w:val="00226806"/>
    <w:rsid w:val="002305AB"/>
    <w:rsid w:val="00237212"/>
    <w:rsid w:val="00241858"/>
    <w:rsid w:val="00257647"/>
    <w:rsid w:val="002717FB"/>
    <w:rsid w:val="00277292"/>
    <w:rsid w:val="00280297"/>
    <w:rsid w:val="00284DBE"/>
    <w:rsid w:val="00284FA6"/>
    <w:rsid w:val="002851E6"/>
    <w:rsid w:val="00285560"/>
    <w:rsid w:val="00290924"/>
    <w:rsid w:val="0029592F"/>
    <w:rsid w:val="002A064F"/>
    <w:rsid w:val="002B17CE"/>
    <w:rsid w:val="002B298F"/>
    <w:rsid w:val="002B7BCB"/>
    <w:rsid w:val="002C6854"/>
    <w:rsid w:val="002D0908"/>
    <w:rsid w:val="002D7E2D"/>
    <w:rsid w:val="002E42C1"/>
    <w:rsid w:val="002F09D8"/>
    <w:rsid w:val="002F6B99"/>
    <w:rsid w:val="002F771F"/>
    <w:rsid w:val="00304799"/>
    <w:rsid w:val="00340216"/>
    <w:rsid w:val="00342964"/>
    <w:rsid w:val="0034387A"/>
    <w:rsid w:val="00352142"/>
    <w:rsid w:val="00356546"/>
    <w:rsid w:val="00357EF6"/>
    <w:rsid w:val="00364269"/>
    <w:rsid w:val="003667BC"/>
    <w:rsid w:val="00370171"/>
    <w:rsid w:val="00376DCD"/>
    <w:rsid w:val="00380CF4"/>
    <w:rsid w:val="00382BCD"/>
    <w:rsid w:val="003903F2"/>
    <w:rsid w:val="003932A1"/>
    <w:rsid w:val="003A6FEB"/>
    <w:rsid w:val="003B4A05"/>
    <w:rsid w:val="003B58FF"/>
    <w:rsid w:val="003B7177"/>
    <w:rsid w:val="003E103A"/>
    <w:rsid w:val="003E348F"/>
    <w:rsid w:val="003F1B18"/>
    <w:rsid w:val="003F686B"/>
    <w:rsid w:val="0041107A"/>
    <w:rsid w:val="004125D6"/>
    <w:rsid w:val="0041402E"/>
    <w:rsid w:val="00415ECB"/>
    <w:rsid w:val="0042725B"/>
    <w:rsid w:val="00433509"/>
    <w:rsid w:val="00440D21"/>
    <w:rsid w:val="00445BB8"/>
    <w:rsid w:val="0044742E"/>
    <w:rsid w:val="00454705"/>
    <w:rsid w:val="00465DB3"/>
    <w:rsid w:val="004867BC"/>
    <w:rsid w:val="0049126F"/>
    <w:rsid w:val="004B2234"/>
    <w:rsid w:val="004B5526"/>
    <w:rsid w:val="004B5A8E"/>
    <w:rsid w:val="004B6415"/>
    <w:rsid w:val="004C60FF"/>
    <w:rsid w:val="004D1C19"/>
    <w:rsid w:val="004D6C91"/>
    <w:rsid w:val="004E1A75"/>
    <w:rsid w:val="004E699D"/>
    <w:rsid w:val="004F1C26"/>
    <w:rsid w:val="004F1E92"/>
    <w:rsid w:val="004F64F8"/>
    <w:rsid w:val="0050152B"/>
    <w:rsid w:val="005060F4"/>
    <w:rsid w:val="005108DA"/>
    <w:rsid w:val="005227B1"/>
    <w:rsid w:val="00525CDB"/>
    <w:rsid w:val="00527267"/>
    <w:rsid w:val="005473EF"/>
    <w:rsid w:val="0055136F"/>
    <w:rsid w:val="0055156D"/>
    <w:rsid w:val="00567521"/>
    <w:rsid w:val="00583AA1"/>
    <w:rsid w:val="005913EC"/>
    <w:rsid w:val="005921A2"/>
    <w:rsid w:val="005967E6"/>
    <w:rsid w:val="005B57D7"/>
    <w:rsid w:val="005B7F7F"/>
    <w:rsid w:val="005C2ADF"/>
    <w:rsid w:val="005D26BD"/>
    <w:rsid w:val="005D2A74"/>
    <w:rsid w:val="005E07BD"/>
    <w:rsid w:val="005E7292"/>
    <w:rsid w:val="005F6F40"/>
    <w:rsid w:val="00601D3E"/>
    <w:rsid w:val="00606EF1"/>
    <w:rsid w:val="006140FC"/>
    <w:rsid w:val="006454CF"/>
    <w:rsid w:val="0065198F"/>
    <w:rsid w:val="0066763B"/>
    <w:rsid w:val="00671E10"/>
    <w:rsid w:val="00684B37"/>
    <w:rsid w:val="0068635E"/>
    <w:rsid w:val="006C4228"/>
    <w:rsid w:val="006D45A1"/>
    <w:rsid w:val="006E24F6"/>
    <w:rsid w:val="006E2829"/>
    <w:rsid w:val="006E2E38"/>
    <w:rsid w:val="006E7126"/>
    <w:rsid w:val="006F08D9"/>
    <w:rsid w:val="007026D1"/>
    <w:rsid w:val="00710EC8"/>
    <w:rsid w:val="00711AB6"/>
    <w:rsid w:val="00716DD5"/>
    <w:rsid w:val="00720E5C"/>
    <w:rsid w:val="0072407E"/>
    <w:rsid w:val="007336B6"/>
    <w:rsid w:val="00736649"/>
    <w:rsid w:val="00744772"/>
    <w:rsid w:val="0075013A"/>
    <w:rsid w:val="00760EDA"/>
    <w:rsid w:val="00763FC1"/>
    <w:rsid w:val="007648E0"/>
    <w:rsid w:val="00765666"/>
    <w:rsid w:val="0078728B"/>
    <w:rsid w:val="00790130"/>
    <w:rsid w:val="00796513"/>
    <w:rsid w:val="007A060E"/>
    <w:rsid w:val="007A3E0C"/>
    <w:rsid w:val="007C0D45"/>
    <w:rsid w:val="007D3743"/>
    <w:rsid w:val="007D3976"/>
    <w:rsid w:val="007E0249"/>
    <w:rsid w:val="007E0CDD"/>
    <w:rsid w:val="007F3A7C"/>
    <w:rsid w:val="00802BDB"/>
    <w:rsid w:val="00802ED4"/>
    <w:rsid w:val="00805892"/>
    <w:rsid w:val="0081072B"/>
    <w:rsid w:val="008136F2"/>
    <w:rsid w:val="00823C17"/>
    <w:rsid w:val="00832360"/>
    <w:rsid w:val="00840BA4"/>
    <w:rsid w:val="008471C9"/>
    <w:rsid w:val="00855B99"/>
    <w:rsid w:val="00862DDF"/>
    <w:rsid w:val="00870FFE"/>
    <w:rsid w:val="00872C95"/>
    <w:rsid w:val="00872F5F"/>
    <w:rsid w:val="0087591D"/>
    <w:rsid w:val="0088020C"/>
    <w:rsid w:val="00884570"/>
    <w:rsid w:val="00891EEA"/>
    <w:rsid w:val="008976BA"/>
    <w:rsid w:val="008A5560"/>
    <w:rsid w:val="008C44B0"/>
    <w:rsid w:val="008D1A8E"/>
    <w:rsid w:val="008D27A8"/>
    <w:rsid w:val="008D29BD"/>
    <w:rsid w:val="008E0FC7"/>
    <w:rsid w:val="008F1F26"/>
    <w:rsid w:val="008F2103"/>
    <w:rsid w:val="00902F9C"/>
    <w:rsid w:val="0090308E"/>
    <w:rsid w:val="009075A9"/>
    <w:rsid w:val="00914A96"/>
    <w:rsid w:val="009172E0"/>
    <w:rsid w:val="009212B4"/>
    <w:rsid w:val="00955F00"/>
    <w:rsid w:val="00957638"/>
    <w:rsid w:val="009A6E64"/>
    <w:rsid w:val="009C2FF2"/>
    <w:rsid w:val="009D32BD"/>
    <w:rsid w:val="009D429E"/>
    <w:rsid w:val="009E1FB1"/>
    <w:rsid w:val="009F6E01"/>
    <w:rsid w:val="00A021C2"/>
    <w:rsid w:val="00A06317"/>
    <w:rsid w:val="00A237ED"/>
    <w:rsid w:val="00A31197"/>
    <w:rsid w:val="00A5114A"/>
    <w:rsid w:val="00A613A1"/>
    <w:rsid w:val="00A649A3"/>
    <w:rsid w:val="00A7113B"/>
    <w:rsid w:val="00A75CE3"/>
    <w:rsid w:val="00A8486F"/>
    <w:rsid w:val="00AC17EE"/>
    <w:rsid w:val="00AC22E9"/>
    <w:rsid w:val="00AD3B33"/>
    <w:rsid w:val="00AD5D35"/>
    <w:rsid w:val="00AD6F77"/>
    <w:rsid w:val="00AE290A"/>
    <w:rsid w:val="00AF1983"/>
    <w:rsid w:val="00B05028"/>
    <w:rsid w:val="00B13741"/>
    <w:rsid w:val="00B145B7"/>
    <w:rsid w:val="00B15817"/>
    <w:rsid w:val="00B22993"/>
    <w:rsid w:val="00B261B2"/>
    <w:rsid w:val="00B47E26"/>
    <w:rsid w:val="00B60C44"/>
    <w:rsid w:val="00B6345C"/>
    <w:rsid w:val="00B73242"/>
    <w:rsid w:val="00B74EB2"/>
    <w:rsid w:val="00B77530"/>
    <w:rsid w:val="00B805C3"/>
    <w:rsid w:val="00BA02EC"/>
    <w:rsid w:val="00BA1564"/>
    <w:rsid w:val="00BA184B"/>
    <w:rsid w:val="00BA7590"/>
    <w:rsid w:val="00BC6A51"/>
    <w:rsid w:val="00BD2864"/>
    <w:rsid w:val="00BD37FF"/>
    <w:rsid w:val="00BD62C0"/>
    <w:rsid w:val="00BE368B"/>
    <w:rsid w:val="00BE56B4"/>
    <w:rsid w:val="00BF0354"/>
    <w:rsid w:val="00BF7EB9"/>
    <w:rsid w:val="00C07CF5"/>
    <w:rsid w:val="00C15DA1"/>
    <w:rsid w:val="00C24E59"/>
    <w:rsid w:val="00C43D74"/>
    <w:rsid w:val="00C470A2"/>
    <w:rsid w:val="00C66712"/>
    <w:rsid w:val="00C775BE"/>
    <w:rsid w:val="00C80687"/>
    <w:rsid w:val="00C8522D"/>
    <w:rsid w:val="00C91AC1"/>
    <w:rsid w:val="00C940C7"/>
    <w:rsid w:val="00CA6FFC"/>
    <w:rsid w:val="00CB1506"/>
    <w:rsid w:val="00CB24C7"/>
    <w:rsid w:val="00CC0286"/>
    <w:rsid w:val="00CC19EF"/>
    <w:rsid w:val="00CD1A9A"/>
    <w:rsid w:val="00CE0534"/>
    <w:rsid w:val="00CE66EF"/>
    <w:rsid w:val="00CE73C2"/>
    <w:rsid w:val="00CF6001"/>
    <w:rsid w:val="00D13BD1"/>
    <w:rsid w:val="00D27CAF"/>
    <w:rsid w:val="00D45365"/>
    <w:rsid w:val="00D61222"/>
    <w:rsid w:val="00D70FF6"/>
    <w:rsid w:val="00D712A2"/>
    <w:rsid w:val="00DA6374"/>
    <w:rsid w:val="00DB3B77"/>
    <w:rsid w:val="00DB70DF"/>
    <w:rsid w:val="00DB7D09"/>
    <w:rsid w:val="00DC79C4"/>
    <w:rsid w:val="00DD3447"/>
    <w:rsid w:val="00DD5810"/>
    <w:rsid w:val="00DE10AB"/>
    <w:rsid w:val="00DE2B44"/>
    <w:rsid w:val="00E016C0"/>
    <w:rsid w:val="00E342CA"/>
    <w:rsid w:val="00E368C3"/>
    <w:rsid w:val="00E50734"/>
    <w:rsid w:val="00E54CF5"/>
    <w:rsid w:val="00E57522"/>
    <w:rsid w:val="00E57793"/>
    <w:rsid w:val="00E61BCD"/>
    <w:rsid w:val="00E77518"/>
    <w:rsid w:val="00E8588A"/>
    <w:rsid w:val="00EA66E7"/>
    <w:rsid w:val="00EA74B3"/>
    <w:rsid w:val="00EC00F0"/>
    <w:rsid w:val="00EE0117"/>
    <w:rsid w:val="00EE1FA4"/>
    <w:rsid w:val="00EE217B"/>
    <w:rsid w:val="00EF2558"/>
    <w:rsid w:val="00EF3B1A"/>
    <w:rsid w:val="00EF7810"/>
    <w:rsid w:val="00F029CC"/>
    <w:rsid w:val="00F02A61"/>
    <w:rsid w:val="00F20C00"/>
    <w:rsid w:val="00F2421E"/>
    <w:rsid w:val="00F3121A"/>
    <w:rsid w:val="00F35247"/>
    <w:rsid w:val="00F508B7"/>
    <w:rsid w:val="00F51F9C"/>
    <w:rsid w:val="00F52FCF"/>
    <w:rsid w:val="00F55229"/>
    <w:rsid w:val="00F559E3"/>
    <w:rsid w:val="00F579A0"/>
    <w:rsid w:val="00F60FA7"/>
    <w:rsid w:val="00F672A4"/>
    <w:rsid w:val="00F80032"/>
    <w:rsid w:val="00F87375"/>
    <w:rsid w:val="00F920AB"/>
    <w:rsid w:val="00FA1E51"/>
    <w:rsid w:val="00FB19BE"/>
    <w:rsid w:val="00FB74D4"/>
    <w:rsid w:val="00FC548E"/>
    <w:rsid w:val="00FC6834"/>
    <w:rsid w:val="00FD0600"/>
    <w:rsid w:val="00FD08B6"/>
    <w:rsid w:val="00FD6CCC"/>
    <w:rsid w:val="00FE65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C4593E3"/>
  <w15:docId w15:val="{6A60BEBB-A066-449D-AA26-C7FEC8035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80297"/>
    <w:pPr>
      <w:spacing w:before="120"/>
      <w:jc w:val="both"/>
    </w:pPr>
    <w:rPr>
      <w:rFonts w:ascii="Century Gothic" w:hAnsi="Century Gothic"/>
      <w:sz w:val="22"/>
    </w:rPr>
  </w:style>
  <w:style w:type="paragraph" w:styleId="berschrift1">
    <w:name w:val="heading 1"/>
    <w:basedOn w:val="Standard"/>
    <w:next w:val="Standardeinzug"/>
    <w:qFormat/>
    <w:rsid w:val="00364269"/>
    <w:pPr>
      <w:keepNext/>
      <w:pageBreakBefore/>
      <w:numPr>
        <w:numId w:val="1"/>
      </w:numPr>
      <w:tabs>
        <w:tab w:val="num" w:pos="709"/>
      </w:tabs>
      <w:suppressAutoHyphens/>
      <w:spacing w:before="0"/>
      <w:ind w:left="709" w:hanging="709"/>
      <w:jc w:val="left"/>
      <w:outlineLvl w:val="0"/>
    </w:pPr>
    <w:rPr>
      <w:rFonts w:ascii="Futura Md BT" w:hAnsi="Futura Md BT"/>
      <w:b/>
      <w:color w:val="00A7DE"/>
      <w:kern w:val="28"/>
      <w:sz w:val="32"/>
    </w:rPr>
  </w:style>
  <w:style w:type="paragraph" w:styleId="berschrift2">
    <w:name w:val="heading 2"/>
    <w:basedOn w:val="berschrift1"/>
    <w:next w:val="Standardeinzug"/>
    <w:qFormat/>
    <w:rsid w:val="00A237ED"/>
    <w:pPr>
      <w:pageBreakBefore w:val="0"/>
      <w:numPr>
        <w:ilvl w:val="1"/>
      </w:numPr>
      <w:tabs>
        <w:tab w:val="left" w:pos="720"/>
      </w:tabs>
      <w:suppressAutoHyphens w:val="0"/>
      <w:spacing w:before="480"/>
      <w:ind w:left="709" w:hanging="709"/>
      <w:outlineLvl w:val="1"/>
    </w:pPr>
    <w:rPr>
      <w:sz w:val="28"/>
    </w:rPr>
  </w:style>
  <w:style w:type="paragraph" w:styleId="berschrift3">
    <w:name w:val="heading 3"/>
    <w:basedOn w:val="berschrift2"/>
    <w:next w:val="Standardeinzug"/>
    <w:qFormat/>
    <w:rsid w:val="00CB24C7"/>
    <w:pPr>
      <w:numPr>
        <w:ilvl w:val="2"/>
      </w:numPr>
      <w:spacing w:before="360"/>
      <w:ind w:left="709" w:hanging="709"/>
      <w:outlineLvl w:val="2"/>
    </w:pPr>
    <w:rPr>
      <w:sz w:val="24"/>
    </w:rPr>
  </w:style>
  <w:style w:type="paragraph" w:styleId="berschrift4">
    <w:name w:val="heading 4"/>
    <w:basedOn w:val="berschrift3"/>
    <w:next w:val="Standardeinzug"/>
    <w:qFormat/>
    <w:pPr>
      <w:numPr>
        <w:ilvl w:val="3"/>
      </w:numPr>
      <w:spacing w:before="240"/>
      <w:ind w:left="720" w:hanging="720"/>
      <w:outlineLvl w:val="3"/>
    </w:pPr>
    <w:rPr>
      <w:b w:val="0"/>
    </w:rPr>
  </w:style>
  <w:style w:type="paragraph" w:styleId="berschrift5">
    <w:name w:val="heading 5"/>
    <w:basedOn w:val="berschrift4"/>
    <w:next w:val="Standard"/>
    <w:pPr>
      <w:numPr>
        <w:ilvl w:val="4"/>
      </w:numPr>
      <w:ind w:left="720" w:hanging="720"/>
      <w:outlineLvl w:val="4"/>
    </w:pPr>
  </w:style>
  <w:style w:type="paragraph" w:styleId="berschrift6">
    <w:name w:val="heading 6"/>
    <w:basedOn w:val="berschrift5"/>
    <w:next w:val="Standard"/>
    <w:pPr>
      <w:numPr>
        <w:ilvl w:val="5"/>
      </w:numPr>
      <w:ind w:left="720" w:hanging="720"/>
      <w:outlineLvl w:val="5"/>
    </w:pPr>
  </w:style>
  <w:style w:type="paragraph" w:styleId="berschrift7">
    <w:name w:val="heading 7"/>
    <w:basedOn w:val="berschrift6"/>
    <w:next w:val="Standard"/>
    <w:pPr>
      <w:numPr>
        <w:ilvl w:val="6"/>
      </w:numPr>
      <w:ind w:left="720" w:hanging="720"/>
      <w:outlineLvl w:val="6"/>
    </w:pPr>
  </w:style>
  <w:style w:type="paragraph" w:styleId="berschrift8">
    <w:name w:val="heading 8"/>
    <w:basedOn w:val="berschrift7"/>
    <w:next w:val="Standard"/>
    <w:pPr>
      <w:numPr>
        <w:ilvl w:val="7"/>
      </w:numPr>
      <w:ind w:left="720" w:hanging="720"/>
      <w:outlineLvl w:val="7"/>
    </w:pPr>
  </w:style>
  <w:style w:type="paragraph" w:styleId="berschrift9">
    <w:name w:val="heading 9"/>
    <w:basedOn w:val="berschrift8"/>
    <w:next w:val="Standard"/>
    <w:pPr>
      <w:numPr>
        <w:ilvl w:val="8"/>
      </w:numPr>
      <w:ind w:left="720" w:hanging="72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Pr>
      <w:sz w:val="16"/>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Verzeichnis1">
    <w:name w:val="toc 1"/>
    <w:basedOn w:val="Standard"/>
    <w:next w:val="Standard"/>
    <w:autoRedefine/>
    <w:uiPriority w:val="39"/>
    <w:qFormat/>
    <w:pPr>
      <w:tabs>
        <w:tab w:val="right" w:leader="dot" w:pos="8505"/>
      </w:tabs>
      <w:spacing w:before="240"/>
      <w:ind w:left="680" w:right="424" w:hanging="680"/>
      <w:jc w:val="left"/>
    </w:pPr>
    <w:rPr>
      <w:b/>
      <w:noProof/>
    </w:rPr>
  </w:style>
  <w:style w:type="paragraph" w:styleId="Verzeichnis2">
    <w:name w:val="toc 2"/>
    <w:basedOn w:val="Verzeichnis1"/>
    <w:next w:val="Standard"/>
    <w:autoRedefine/>
    <w:uiPriority w:val="39"/>
    <w:qFormat/>
    <w:pPr>
      <w:tabs>
        <w:tab w:val="left" w:pos="680"/>
      </w:tabs>
      <w:spacing w:before="120"/>
    </w:pPr>
    <w:rPr>
      <w:b w:val="0"/>
    </w:rPr>
  </w:style>
  <w:style w:type="paragraph" w:styleId="Verzeichnis3">
    <w:name w:val="toc 3"/>
    <w:basedOn w:val="Verzeichnis2"/>
    <w:next w:val="Standard"/>
    <w:autoRedefine/>
    <w:uiPriority w:val="39"/>
    <w:qFormat/>
    <w:pPr>
      <w:tabs>
        <w:tab w:val="left" w:pos="1004"/>
      </w:tabs>
      <w:spacing w:before="60"/>
    </w:pPr>
  </w:style>
  <w:style w:type="paragraph" w:styleId="Umschlagabsenderadresse">
    <w:name w:val="envelope return"/>
    <w:basedOn w:val="Standard"/>
    <w:semiHidden/>
  </w:style>
  <w:style w:type="paragraph" w:styleId="Beschriftung">
    <w:name w:val="caption"/>
    <w:basedOn w:val="Standard"/>
    <w:next w:val="Standardeinzug"/>
    <w:qFormat/>
    <w:rsid w:val="0055156D"/>
    <w:pPr>
      <w:spacing w:before="0"/>
      <w:ind w:left="1985" w:hanging="1276"/>
      <w:jc w:val="left"/>
    </w:pPr>
    <w:rPr>
      <w:sz w:val="20"/>
    </w:rPr>
  </w:style>
  <w:style w:type="character" w:styleId="Funotenzeichen">
    <w:name w:val="footnote reference"/>
    <w:semiHidden/>
    <w:rsid w:val="00DD3447"/>
    <w:rPr>
      <w:szCs w:val="24"/>
      <w:vertAlign w:val="superscript"/>
    </w:rPr>
  </w:style>
  <w:style w:type="paragraph" w:styleId="Sprechblasentext">
    <w:name w:val="Balloon Text"/>
    <w:basedOn w:val="Standard"/>
    <w:link w:val="SprechblasentextZchn"/>
    <w:uiPriority w:val="99"/>
    <w:semiHidden/>
    <w:unhideWhenUsed/>
    <w:rsid w:val="006E7126"/>
    <w:pPr>
      <w:spacing w:before="0"/>
    </w:pPr>
    <w:rPr>
      <w:rFonts w:ascii="Tahoma" w:hAnsi="Tahoma" w:cs="Tahoma"/>
      <w:sz w:val="16"/>
      <w:szCs w:val="16"/>
    </w:rPr>
  </w:style>
  <w:style w:type="paragraph" w:customStyle="1" w:styleId="Computerprogramm">
    <w:name w:val="Computerprogramm"/>
    <w:basedOn w:val="Standard"/>
    <w:rsid w:val="0000223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contextualSpacing/>
      <w:jc w:val="left"/>
    </w:pPr>
    <w:rPr>
      <w:noProof/>
      <w:sz w:val="20"/>
    </w:rPr>
  </w:style>
  <w:style w:type="character" w:customStyle="1" w:styleId="SprechblasentextZchn">
    <w:name w:val="Sprechblasentext Zchn"/>
    <w:basedOn w:val="Absatz-Standardschriftart"/>
    <w:link w:val="Sprechblasentext"/>
    <w:uiPriority w:val="99"/>
    <w:semiHidden/>
    <w:rsid w:val="006E7126"/>
    <w:rPr>
      <w:rFonts w:ascii="Tahoma" w:hAnsi="Tahoma" w:cs="Tahoma"/>
      <w:sz w:val="16"/>
      <w:szCs w:val="16"/>
    </w:rPr>
  </w:style>
  <w:style w:type="paragraph" w:styleId="Literaturverzeichnis">
    <w:name w:val="Bibliography"/>
    <w:basedOn w:val="Standard"/>
    <w:autoRedefine/>
    <w:qFormat/>
    <w:rsid w:val="00002230"/>
    <w:pPr>
      <w:jc w:val="left"/>
    </w:pPr>
  </w:style>
  <w:style w:type="paragraph" w:styleId="Funotentext">
    <w:name w:val="footnote text"/>
    <w:basedOn w:val="Standard"/>
    <w:semiHidden/>
    <w:qFormat/>
    <w:rsid w:val="001E1F96"/>
    <w:pPr>
      <w:tabs>
        <w:tab w:val="left" w:pos="142"/>
      </w:tabs>
      <w:spacing w:before="60"/>
      <w:ind w:left="108" w:hanging="108"/>
      <w:jc w:val="left"/>
    </w:pPr>
    <w:rPr>
      <w:sz w:val="14"/>
    </w:rPr>
  </w:style>
  <w:style w:type="paragraph" w:styleId="Kopfzeile">
    <w:name w:val="header"/>
    <w:basedOn w:val="Standard"/>
    <w:semiHidden/>
    <w:pPr>
      <w:pBdr>
        <w:bottom w:val="single" w:sz="4" w:space="1" w:color="auto"/>
      </w:pBdr>
      <w:tabs>
        <w:tab w:val="right" w:pos="7938"/>
      </w:tabs>
    </w:pPr>
    <w:rPr>
      <w:sz w:val="20"/>
    </w:rPr>
  </w:style>
  <w:style w:type="paragraph" w:styleId="Abbildungsverzeichnis">
    <w:name w:val="table of figures"/>
    <w:basedOn w:val="Verzeichnis3"/>
    <w:next w:val="Standard"/>
    <w:autoRedefine/>
    <w:uiPriority w:val="99"/>
    <w:rsid w:val="00A613A1"/>
    <w:pPr>
      <w:tabs>
        <w:tab w:val="clear" w:pos="680"/>
        <w:tab w:val="clear" w:pos="1004"/>
        <w:tab w:val="clear" w:pos="8505"/>
        <w:tab w:val="right" w:leader="dot" w:pos="9072"/>
      </w:tabs>
      <w:ind w:left="709" w:hanging="709"/>
    </w:pPr>
  </w:style>
  <w:style w:type="paragraph" w:styleId="Aufzhlungszeichen2">
    <w:name w:val="List Bullet 2"/>
    <w:basedOn w:val="Listenabsatz"/>
    <w:next w:val="Standardeinzug"/>
    <w:qFormat/>
    <w:rsid w:val="0055156D"/>
    <w:pPr>
      <w:numPr>
        <w:numId w:val="11"/>
      </w:numPr>
      <w:spacing w:before="60" w:after="60"/>
      <w:ind w:left="1134" w:hanging="420"/>
      <w:contextualSpacing w:val="0"/>
    </w:pPr>
  </w:style>
  <w:style w:type="paragraph" w:customStyle="1" w:styleId="Abbildung">
    <w:name w:val="Abbildung"/>
    <w:basedOn w:val="Standard"/>
    <w:next w:val="Beschriftung"/>
    <w:qFormat/>
    <w:rsid w:val="00CB24C7"/>
    <w:pPr>
      <w:keepNext/>
      <w:ind w:left="709"/>
      <w:jc w:val="center"/>
    </w:pPr>
  </w:style>
  <w:style w:type="paragraph" w:styleId="Fuzeile">
    <w:name w:val="footer"/>
    <w:basedOn w:val="Standard"/>
    <w:link w:val="FuzeileZchn"/>
    <w:uiPriority w:val="99"/>
    <w:pPr>
      <w:tabs>
        <w:tab w:val="center" w:pos="4536"/>
        <w:tab w:val="right" w:pos="9072"/>
      </w:tabs>
    </w:pPr>
  </w:style>
  <w:style w:type="paragraph" w:styleId="Aufzhlungszeichen">
    <w:name w:val="List Bullet"/>
    <w:basedOn w:val="Listenabsatz"/>
    <w:next w:val="Standardeinzug"/>
    <w:qFormat/>
    <w:rsid w:val="0055156D"/>
    <w:pPr>
      <w:numPr>
        <w:numId w:val="10"/>
      </w:numPr>
      <w:spacing w:before="60" w:after="60"/>
      <w:ind w:left="1134" w:hanging="420"/>
      <w:contextualSpacing w:val="0"/>
    </w:pPr>
  </w:style>
  <w:style w:type="paragraph" w:styleId="Zitat">
    <w:name w:val="Quote"/>
    <w:basedOn w:val="Standard"/>
    <w:qFormat/>
    <w:rsid w:val="005473EF"/>
    <w:pPr>
      <w:spacing w:before="0"/>
    </w:pPr>
    <w:rPr>
      <w:i/>
      <w:sz w:val="20"/>
    </w:rPr>
  </w:style>
  <w:style w:type="paragraph" w:styleId="Anrede">
    <w:name w:val="Salutation"/>
    <w:basedOn w:val="Standard"/>
    <w:next w:val="Standard"/>
    <w:semiHidden/>
  </w:style>
  <w:style w:type="paragraph" w:styleId="Blocktext">
    <w:name w:val="Block Text"/>
    <w:basedOn w:val="Standard"/>
    <w:semiHidden/>
    <w:pPr>
      <w:ind w:left="1440" w:right="1440"/>
    </w:pPr>
  </w:style>
  <w:style w:type="paragraph" w:styleId="Datum">
    <w:name w:val="Date"/>
    <w:basedOn w:val="Standard"/>
    <w:next w:val="Standard"/>
    <w:semiHidden/>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style>
  <w:style w:type="paragraph" w:styleId="Fu-Endnotenberschrift">
    <w:name w:val="Note Heading"/>
    <w:basedOn w:val="Standard"/>
    <w:next w:val="Standard"/>
    <w:semiHidden/>
  </w:style>
  <w:style w:type="paragraph" w:styleId="Gruformel">
    <w:name w:val="Closing"/>
    <w:basedOn w:val="Standard"/>
    <w:semiHidden/>
    <w:pPr>
      <w:ind w:left="4252"/>
    </w:pPr>
  </w:style>
  <w:style w:type="paragraph" w:styleId="Index1">
    <w:name w:val="index 1"/>
    <w:basedOn w:val="Standard"/>
    <w:next w:val="Standard"/>
    <w:autoRedefine/>
    <w:uiPriority w:val="99"/>
    <w:semiHidden/>
    <w:pPr>
      <w:tabs>
        <w:tab w:val="right" w:leader="dot" w:pos="3598"/>
      </w:tabs>
      <w:ind w:left="198" w:hanging="198"/>
    </w:pPr>
    <w:rPr>
      <w:noProof/>
    </w:rPr>
  </w:style>
  <w:style w:type="paragraph" w:styleId="Index2">
    <w:name w:val="index 2"/>
    <w:basedOn w:val="Standard"/>
    <w:next w:val="Standard"/>
    <w:autoRedefine/>
    <w:semiHidden/>
    <w:pPr>
      <w:ind w:left="396" w:hanging="198"/>
    </w:pPr>
  </w:style>
  <w:style w:type="paragraph" w:styleId="Index3">
    <w:name w:val="index 3"/>
    <w:basedOn w:val="Standard"/>
    <w:next w:val="Standard"/>
    <w:autoRedefine/>
    <w:semiHidden/>
    <w:pPr>
      <w:ind w:left="601" w:hanging="198"/>
    </w:pPr>
  </w:style>
  <w:style w:type="paragraph" w:styleId="Index4">
    <w:name w:val="index 4"/>
    <w:basedOn w:val="Standard"/>
    <w:next w:val="Standard"/>
    <w:autoRedefine/>
    <w:semiHidden/>
    <w:pPr>
      <w:ind w:left="799" w:hanging="198"/>
    </w:pPr>
  </w:style>
  <w:style w:type="paragraph" w:styleId="Index5">
    <w:name w:val="index 5"/>
    <w:basedOn w:val="Standard"/>
    <w:next w:val="Standard"/>
    <w:autoRedefine/>
    <w:semiHidden/>
    <w:pPr>
      <w:ind w:left="997" w:hanging="198"/>
    </w:pPr>
  </w:style>
  <w:style w:type="paragraph" w:styleId="Index6">
    <w:name w:val="index 6"/>
    <w:basedOn w:val="Standard"/>
    <w:next w:val="Standard"/>
    <w:autoRedefine/>
    <w:semiHidden/>
    <w:pPr>
      <w:ind w:left="1196" w:hanging="198"/>
    </w:pPr>
  </w:style>
  <w:style w:type="paragraph" w:styleId="Index7">
    <w:name w:val="index 7"/>
    <w:basedOn w:val="Standard"/>
    <w:next w:val="Standard"/>
    <w:autoRedefine/>
    <w:semiHidden/>
    <w:pPr>
      <w:ind w:left="1400" w:hanging="198"/>
    </w:pPr>
  </w:style>
  <w:style w:type="paragraph" w:styleId="Index8">
    <w:name w:val="index 8"/>
    <w:basedOn w:val="Standard"/>
    <w:next w:val="Standard"/>
    <w:autoRedefine/>
    <w:semiHidden/>
    <w:pPr>
      <w:ind w:left="1598" w:hanging="198"/>
    </w:pPr>
  </w:style>
  <w:style w:type="paragraph" w:styleId="Index9">
    <w:name w:val="index 9"/>
    <w:basedOn w:val="Standard"/>
    <w:next w:val="Standard"/>
    <w:autoRedefine/>
    <w:semiHidden/>
    <w:pPr>
      <w:ind w:left="1797" w:hanging="198"/>
    </w:pPr>
  </w:style>
  <w:style w:type="paragraph" w:styleId="Indexberschrift">
    <w:name w:val="index heading"/>
    <w:basedOn w:val="Standard"/>
    <w:next w:val="Index1"/>
    <w:semiHidden/>
    <w:rPr>
      <w:b/>
    </w:rPr>
  </w:style>
  <w:style w:type="paragraph" w:styleId="Kommentartext">
    <w:name w:val="annotation text"/>
    <w:basedOn w:val="Standard"/>
    <w:link w:val="KommentartextZchn"/>
    <w:semiHidden/>
  </w:style>
  <w:style w:type="paragraph" w:styleId="Liste">
    <w:name w:val="List"/>
    <w:basedOn w:val="Standard"/>
    <w:semiHidden/>
    <w:pPr>
      <w:ind w:left="357" w:hanging="357"/>
    </w:pPr>
  </w:style>
  <w:style w:type="paragraph" w:styleId="Liste2">
    <w:name w:val="List 2"/>
    <w:basedOn w:val="Standard"/>
    <w:semiHidden/>
    <w:pPr>
      <w:ind w:left="714" w:hanging="357"/>
    </w:pPr>
  </w:style>
  <w:style w:type="paragraph" w:styleId="Liste3">
    <w:name w:val="List 3"/>
    <w:basedOn w:val="Standard"/>
    <w:semiHidden/>
    <w:pPr>
      <w:ind w:left="1077" w:hanging="357"/>
    </w:pPr>
  </w:style>
  <w:style w:type="paragraph" w:styleId="Liste4">
    <w:name w:val="List 4"/>
    <w:basedOn w:val="Standard"/>
    <w:semiHidden/>
    <w:pPr>
      <w:ind w:left="1434" w:hanging="357"/>
    </w:pPr>
  </w:style>
  <w:style w:type="paragraph" w:styleId="Liste5">
    <w:name w:val="List 5"/>
    <w:basedOn w:val="Standard"/>
    <w:semiHidden/>
    <w:pPr>
      <w:ind w:left="1797" w:hanging="357"/>
    </w:pPr>
  </w:style>
  <w:style w:type="paragraph" w:styleId="Listenfortsetzung">
    <w:name w:val="List Continue"/>
    <w:basedOn w:val="Standard"/>
    <w:semiHidden/>
    <w:pPr>
      <w:ind w:left="357"/>
    </w:pPr>
  </w:style>
  <w:style w:type="paragraph" w:styleId="Listenfortsetzung2">
    <w:name w:val="List Continue 2"/>
    <w:basedOn w:val="Standard"/>
    <w:semiHidden/>
    <w:pPr>
      <w:ind w:left="720"/>
    </w:pPr>
  </w:style>
  <w:style w:type="paragraph" w:styleId="Listenfortsetzung3">
    <w:name w:val="List Continue 3"/>
    <w:basedOn w:val="Standard"/>
    <w:semiHidden/>
    <w:pPr>
      <w:ind w:left="1077"/>
    </w:pPr>
  </w:style>
  <w:style w:type="paragraph" w:styleId="Listenfortsetzung4">
    <w:name w:val="List Continue 4"/>
    <w:basedOn w:val="Standard"/>
    <w:semiHidden/>
    <w:pPr>
      <w:ind w:left="1440"/>
    </w:pPr>
  </w:style>
  <w:style w:type="paragraph" w:styleId="Listenfortsetzung5">
    <w:name w:val="List Continue 5"/>
    <w:basedOn w:val="Standard"/>
    <w:semiHidden/>
    <w:pPr>
      <w:ind w:left="1797"/>
    </w:pPr>
  </w:style>
  <w:style w:type="paragraph" w:styleId="Listennummer">
    <w:name w:val="List Number"/>
    <w:basedOn w:val="Standard"/>
    <w:semiHidden/>
    <w:pPr>
      <w:numPr>
        <w:numId w:val="5"/>
      </w:numPr>
      <w:tabs>
        <w:tab w:val="clear" w:pos="360"/>
        <w:tab w:val="num" w:pos="357"/>
      </w:tabs>
      <w:ind w:left="357" w:hanging="357"/>
    </w:pPr>
  </w:style>
  <w:style w:type="paragraph" w:styleId="Listennummer2">
    <w:name w:val="List Number 2"/>
    <w:basedOn w:val="Standard"/>
    <w:semiHidden/>
    <w:pPr>
      <w:numPr>
        <w:numId w:val="6"/>
      </w:numPr>
      <w:tabs>
        <w:tab w:val="clear" w:pos="643"/>
        <w:tab w:val="num" w:pos="357"/>
      </w:tabs>
      <w:ind w:left="714" w:hanging="357"/>
    </w:pPr>
  </w:style>
  <w:style w:type="paragraph" w:styleId="Listennummer3">
    <w:name w:val="List Number 3"/>
    <w:basedOn w:val="Standard"/>
    <w:semiHidden/>
    <w:pPr>
      <w:numPr>
        <w:numId w:val="7"/>
      </w:numPr>
      <w:tabs>
        <w:tab w:val="clear" w:pos="926"/>
        <w:tab w:val="right" w:pos="1077"/>
      </w:tabs>
      <w:ind w:left="1077" w:hanging="357"/>
    </w:pPr>
  </w:style>
  <w:style w:type="paragraph" w:styleId="Listennummer4">
    <w:name w:val="List Number 4"/>
    <w:basedOn w:val="Standard"/>
    <w:semiHidden/>
    <w:pPr>
      <w:numPr>
        <w:numId w:val="8"/>
      </w:numPr>
      <w:tabs>
        <w:tab w:val="clear" w:pos="1209"/>
        <w:tab w:val="right" w:pos="1440"/>
      </w:tabs>
      <w:ind w:left="1434" w:hanging="357"/>
    </w:pPr>
  </w:style>
  <w:style w:type="paragraph" w:styleId="Listennummer5">
    <w:name w:val="List Number 5"/>
    <w:basedOn w:val="Standard"/>
    <w:semiHidden/>
    <w:pPr>
      <w:numPr>
        <w:numId w:val="9"/>
      </w:numPr>
      <w:tabs>
        <w:tab w:val="clear" w:pos="1492"/>
        <w:tab w:val="right" w:pos="1797"/>
      </w:tabs>
      <w:ind w:left="1797" w:hanging="357"/>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urText">
    <w:name w:val="Plain Text"/>
    <w:basedOn w:val="Standard"/>
    <w:semiHidden/>
    <w:rPr>
      <w:rFonts w:ascii="Courier New" w:hAnsi="Courier New"/>
    </w:rPr>
  </w:style>
  <w:style w:type="paragraph" w:styleId="Standardeinzug">
    <w:name w:val="Normal Indent"/>
    <w:basedOn w:val="Standard"/>
    <w:qFormat/>
    <w:pPr>
      <w:ind w:left="708"/>
    </w:p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rPr>
  </w:style>
  <w:style w:type="paragraph" w:styleId="Textkrper-Zeileneinzug">
    <w:name w:val="Body Text Indent"/>
    <w:basedOn w:val="Standard"/>
    <w:semiHidden/>
    <w:pPr>
      <w:spacing w:after="120"/>
      <w:ind w:left="283"/>
    </w:p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rPr>
  </w:style>
  <w:style w:type="paragraph" w:styleId="Textkrper-Erstzeileneinzug">
    <w:name w:val="Body Text First Indent"/>
    <w:basedOn w:val="Textkrper"/>
    <w:semiHidden/>
    <w:pPr>
      <w:ind w:firstLine="210"/>
    </w:pPr>
  </w:style>
  <w:style w:type="paragraph" w:styleId="Textkrper-Erstzeileneinzug2">
    <w:name w:val="Body Text First Indent 2"/>
    <w:basedOn w:val="Textkrper-Zeileneinzug"/>
    <w:semiHidden/>
    <w:pPr>
      <w:ind w:firstLine="210"/>
    </w:pPr>
  </w:style>
  <w:style w:type="paragraph" w:styleId="Titel">
    <w:name w:val="Title"/>
    <w:basedOn w:val="Standard"/>
    <w:next w:val="Untertitel"/>
    <w:link w:val="TitelZchn"/>
    <w:qFormat/>
    <w:rsid w:val="00002230"/>
    <w:pPr>
      <w:suppressAutoHyphens/>
      <w:spacing w:before="0" w:line="360" w:lineRule="auto"/>
      <w:jc w:val="center"/>
    </w:pPr>
    <w:rPr>
      <w:b/>
      <w:kern w:val="28"/>
      <w:sz w:val="44"/>
    </w:rPr>
  </w:style>
  <w:style w:type="paragraph" w:styleId="Umschlagadresse">
    <w:name w:val="envelope address"/>
    <w:basedOn w:val="Standard"/>
    <w:semiHidden/>
    <w:pPr>
      <w:framePr w:w="4320" w:h="2160" w:hRule="exact" w:hSpace="141" w:wrap="auto" w:hAnchor="page" w:xAlign="center" w:yAlign="bottom"/>
      <w:ind w:left="1"/>
    </w:pPr>
  </w:style>
  <w:style w:type="paragraph" w:styleId="Unterschrift">
    <w:name w:val="Signature"/>
    <w:basedOn w:val="Standard"/>
    <w:semiHidden/>
    <w:pPr>
      <w:ind w:left="4252"/>
    </w:pPr>
  </w:style>
  <w:style w:type="paragraph" w:styleId="Untertitel">
    <w:name w:val="Subtitle"/>
    <w:basedOn w:val="Standard"/>
    <w:link w:val="UntertitelZchn"/>
    <w:qFormat/>
    <w:rsid w:val="00002230"/>
    <w:pPr>
      <w:suppressAutoHyphens/>
      <w:spacing w:before="240"/>
      <w:jc w:val="center"/>
    </w:pPr>
    <w:rPr>
      <w:sz w:val="32"/>
    </w:rPr>
  </w:style>
  <w:style w:type="paragraph" w:styleId="Verzeichnis4">
    <w:name w:val="toc 4"/>
    <w:basedOn w:val="Verzeichnis3"/>
    <w:next w:val="Standard"/>
    <w:autoRedefine/>
    <w:semiHidden/>
  </w:style>
  <w:style w:type="paragraph" w:styleId="Verzeichnis5">
    <w:name w:val="toc 5"/>
    <w:basedOn w:val="Verzeichnis4"/>
    <w:next w:val="Standard"/>
    <w:autoRedefine/>
    <w:semiHidden/>
  </w:style>
  <w:style w:type="paragraph" w:styleId="Verzeichnis6">
    <w:name w:val="toc 6"/>
    <w:basedOn w:val="Verzeichnis5"/>
    <w:next w:val="Standard"/>
    <w:autoRedefine/>
    <w:semiHidden/>
  </w:style>
  <w:style w:type="paragraph" w:styleId="Verzeichnis7">
    <w:name w:val="toc 7"/>
    <w:basedOn w:val="Verzeichnis6"/>
    <w:next w:val="Standard"/>
    <w:autoRedefine/>
    <w:semiHidden/>
  </w:style>
  <w:style w:type="paragraph" w:styleId="Verzeichnis8">
    <w:name w:val="toc 8"/>
    <w:basedOn w:val="Verzeichnis7"/>
    <w:next w:val="Standard"/>
    <w:autoRedefine/>
    <w:semiHidden/>
  </w:style>
  <w:style w:type="paragraph" w:styleId="Verzeichnis9">
    <w:name w:val="toc 9"/>
    <w:basedOn w:val="Verzeichnis8"/>
    <w:next w:val="Standard"/>
    <w:autoRedefine/>
    <w:semiHidden/>
    <w:pPr>
      <w:outlineLvl w:val="8"/>
    </w:pPr>
  </w:style>
  <w:style w:type="paragraph" w:styleId="RGV-berschrift">
    <w:name w:val="toa heading"/>
    <w:basedOn w:val="Standard"/>
    <w:next w:val="Standard"/>
    <w:semiHidden/>
    <w:rPr>
      <w:b/>
    </w:rPr>
  </w:style>
  <w:style w:type="paragraph" w:styleId="Rechtsgrundlagenverzeichnis">
    <w:name w:val="table of authorities"/>
    <w:basedOn w:val="Standard"/>
    <w:next w:val="Standard"/>
    <w:semiHidden/>
    <w:pPr>
      <w:ind w:left="200" w:hanging="200"/>
    </w:pPr>
  </w:style>
  <w:style w:type="paragraph" w:styleId="Aufzhlungszeichen4">
    <w:name w:val="List Bullet 4"/>
    <w:basedOn w:val="Standard"/>
    <w:semiHidden/>
    <w:pPr>
      <w:numPr>
        <w:numId w:val="3"/>
      </w:numPr>
      <w:tabs>
        <w:tab w:val="clear" w:pos="1209"/>
        <w:tab w:val="right" w:pos="1440"/>
      </w:tabs>
      <w:ind w:left="1434" w:hanging="357"/>
    </w:pPr>
  </w:style>
  <w:style w:type="paragraph" w:styleId="Aufzhlungszeichen5">
    <w:name w:val="List Bullet 5"/>
    <w:basedOn w:val="Standard"/>
    <w:semiHidden/>
    <w:pPr>
      <w:numPr>
        <w:numId w:val="4"/>
      </w:numPr>
      <w:tabs>
        <w:tab w:val="clear" w:pos="1492"/>
        <w:tab w:val="num" w:pos="1786"/>
      </w:tabs>
      <w:ind w:left="1797" w:hanging="357"/>
    </w:pPr>
  </w:style>
  <w:style w:type="paragraph" w:styleId="Aufzhlungszeichen3">
    <w:name w:val="List Bullet 3"/>
    <w:basedOn w:val="Standard"/>
    <w:semiHidden/>
    <w:qFormat/>
    <w:pPr>
      <w:numPr>
        <w:numId w:val="2"/>
      </w:numPr>
      <w:tabs>
        <w:tab w:val="clear" w:pos="926"/>
        <w:tab w:val="left" w:pos="1077"/>
      </w:tabs>
      <w:ind w:left="1077" w:hanging="357"/>
    </w:pPr>
  </w:style>
  <w:style w:type="paragraph" w:customStyle="1" w:styleId="Tabellenberschrift">
    <w:name w:val="Tabellenüberschrift"/>
    <w:basedOn w:val="Beschriftung"/>
    <w:next w:val="Standardeinzug"/>
    <w:qFormat/>
    <w:rsid w:val="007E0249"/>
    <w:pPr>
      <w:keepNext/>
      <w:spacing w:before="120" w:after="120"/>
      <w:ind w:left="1701" w:hanging="992"/>
    </w:pPr>
  </w:style>
  <w:style w:type="character" w:customStyle="1" w:styleId="UntertitelZchn">
    <w:name w:val="Untertitel Zchn"/>
    <w:link w:val="Untertitel"/>
    <w:rsid w:val="00002230"/>
    <w:rPr>
      <w:rFonts w:ascii="Century Gothic" w:hAnsi="Century Gothic"/>
      <w:sz w:val="32"/>
    </w:rPr>
  </w:style>
  <w:style w:type="character" w:customStyle="1" w:styleId="TitelZchn">
    <w:name w:val="Titel Zchn"/>
    <w:basedOn w:val="Absatz-Standardschriftart"/>
    <w:link w:val="Titel"/>
    <w:rsid w:val="00002230"/>
    <w:rPr>
      <w:rFonts w:ascii="Century Gothic" w:hAnsi="Century Gothic"/>
      <w:b/>
      <w:kern w:val="28"/>
      <w:sz w:val="44"/>
    </w:rPr>
  </w:style>
  <w:style w:type="paragraph" w:styleId="Inhaltsverzeichnisberschrift">
    <w:name w:val="TOC Heading"/>
    <w:basedOn w:val="berschrift1"/>
    <w:next w:val="Standard"/>
    <w:uiPriority w:val="39"/>
    <w:semiHidden/>
    <w:unhideWhenUsed/>
    <w:qFormat/>
    <w:rsid w:val="00E57793"/>
    <w:pPr>
      <w:keepLines/>
      <w:pageBreakBefore w:val="0"/>
      <w:numPr>
        <w:numId w:val="0"/>
      </w:numPr>
      <w:tabs>
        <w:tab w:val="num" w:pos="1105"/>
      </w:tabs>
      <w:suppressAutoHyphens w:val="0"/>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table" w:styleId="Tabellenraster">
    <w:name w:val="Table Grid"/>
    <w:basedOn w:val="NormaleTabelle"/>
    <w:uiPriority w:val="59"/>
    <w:rsid w:val="00E577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A064F"/>
    <w:rPr>
      <w:sz w:val="24"/>
    </w:rPr>
  </w:style>
  <w:style w:type="paragraph" w:styleId="Listenabsatz">
    <w:name w:val="List Paragraph"/>
    <w:basedOn w:val="Standard"/>
    <w:uiPriority w:val="34"/>
    <w:rsid w:val="00E61BCD"/>
    <w:pPr>
      <w:ind w:left="720"/>
      <w:contextualSpacing/>
    </w:pPr>
  </w:style>
  <w:style w:type="numbering" w:customStyle="1" w:styleId="Listen1">
    <w:name w:val="Listen1"/>
    <w:basedOn w:val="KeineListe"/>
    <w:uiPriority w:val="99"/>
    <w:rsid w:val="00B15817"/>
    <w:pPr>
      <w:numPr>
        <w:numId w:val="12"/>
      </w:numPr>
    </w:pPr>
  </w:style>
  <w:style w:type="character" w:styleId="Hervorhebung">
    <w:name w:val="Emphasis"/>
    <w:basedOn w:val="Absatz-Standardschriftart"/>
    <w:uiPriority w:val="20"/>
    <w:rsid w:val="00B15817"/>
    <w:rPr>
      <w:i w:val="0"/>
      <w:iCs/>
      <w:color w:val="FF0000"/>
    </w:rPr>
  </w:style>
  <w:style w:type="character" w:styleId="SchwacheHervorhebung">
    <w:name w:val="Subtle Emphasis"/>
    <w:basedOn w:val="Absatz-Standardschriftart"/>
    <w:uiPriority w:val="19"/>
    <w:rsid w:val="00B15817"/>
    <w:rPr>
      <w:b/>
      <w:i w:val="0"/>
      <w:iCs/>
      <w:color w:val="FF0000"/>
    </w:rPr>
  </w:style>
  <w:style w:type="character" w:customStyle="1" w:styleId="HervorhebungROT">
    <w:name w:val="Hervorhebung ROT"/>
    <w:uiPriority w:val="1"/>
    <w:qFormat/>
    <w:rsid w:val="001E1F96"/>
    <w:rPr>
      <w:rFonts w:ascii="Century Gothic" w:hAnsi="Century Gothic"/>
      <w:b/>
      <w:color w:val="FF0000"/>
      <w:sz w:val="22"/>
    </w:rPr>
  </w:style>
  <w:style w:type="character" w:customStyle="1" w:styleId="HervorhebungBLAU">
    <w:name w:val="Hervorhebung BLAU"/>
    <w:basedOn w:val="Absatz-Standardschriftart"/>
    <w:uiPriority w:val="1"/>
    <w:qFormat/>
    <w:rsid w:val="001E1F96"/>
    <w:rPr>
      <w:rFonts w:ascii="Century Gothic" w:hAnsi="Century Gothic"/>
      <w:b/>
      <w:color w:val="00B0F0"/>
      <w:sz w:val="22"/>
      <w:u w:val="none"/>
    </w:rPr>
  </w:style>
  <w:style w:type="character" w:customStyle="1" w:styleId="HervorhebenSCHWARZ">
    <w:name w:val="Hervorheben SCHWARZ"/>
    <w:basedOn w:val="Absatz-Standardschriftart"/>
    <w:uiPriority w:val="1"/>
    <w:qFormat/>
    <w:rsid w:val="001E1F96"/>
    <w:rPr>
      <w:rFonts w:ascii="Century Gothic" w:hAnsi="Century Gothic"/>
      <w:b/>
      <w:color w:val="auto"/>
      <w:sz w:val="20"/>
      <w:u w:val="none"/>
    </w:rPr>
  </w:style>
  <w:style w:type="character" w:customStyle="1" w:styleId="KommentartextZchn">
    <w:name w:val="Kommentartext Zchn"/>
    <w:basedOn w:val="Absatz-Standardschriftart"/>
    <w:link w:val="Kommentartext"/>
    <w:semiHidden/>
    <w:rsid w:val="009075A9"/>
    <w:rPr>
      <w:rFonts w:ascii="Futura-Book" w:hAnsi="Futura-Book"/>
      <w:sz w:val="24"/>
    </w:rPr>
  </w:style>
  <w:style w:type="paragraph" w:styleId="StandardWeb">
    <w:name w:val="Normal (Web)"/>
    <w:basedOn w:val="Standard"/>
    <w:uiPriority w:val="99"/>
    <w:unhideWhenUsed/>
    <w:rsid w:val="00357EF6"/>
    <w:pPr>
      <w:spacing w:before="100" w:beforeAutospacing="1" w:after="100" w:afterAutospacing="1"/>
      <w:jc w:val="left"/>
    </w:pPr>
    <w:rPr>
      <w:rFonts w:ascii="Times New Roman" w:eastAsiaTheme="minorEastAsia" w:hAnsi="Times New Roman"/>
      <w:sz w:val="24"/>
      <w:szCs w:val="24"/>
    </w:rPr>
  </w:style>
  <w:style w:type="table" w:styleId="HelleListe-Akzent1">
    <w:name w:val="Light List Accent 1"/>
    <w:basedOn w:val="NormaleTabelle"/>
    <w:uiPriority w:val="61"/>
    <w:rsid w:val="00955F0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891826">
      <w:bodyDiv w:val="1"/>
      <w:marLeft w:val="0"/>
      <w:marRight w:val="0"/>
      <w:marTop w:val="0"/>
      <w:marBottom w:val="0"/>
      <w:divBdr>
        <w:top w:val="none" w:sz="0" w:space="0" w:color="auto"/>
        <w:left w:val="none" w:sz="0" w:space="0" w:color="auto"/>
        <w:bottom w:val="none" w:sz="0" w:space="0" w:color="auto"/>
        <w:right w:val="none" w:sz="0" w:space="0" w:color="auto"/>
      </w:divBdr>
      <w:divsChild>
        <w:div w:id="1958482614">
          <w:marLeft w:val="0"/>
          <w:marRight w:val="0"/>
          <w:marTop w:val="0"/>
          <w:marBottom w:val="0"/>
          <w:divBdr>
            <w:top w:val="none" w:sz="0" w:space="0" w:color="auto"/>
            <w:left w:val="none" w:sz="0" w:space="0" w:color="auto"/>
            <w:bottom w:val="none" w:sz="0" w:space="0" w:color="auto"/>
            <w:right w:val="none" w:sz="0" w:space="0" w:color="auto"/>
          </w:divBdr>
          <w:divsChild>
            <w:div w:id="1915580624">
              <w:marLeft w:val="0"/>
              <w:marRight w:val="0"/>
              <w:marTop w:val="0"/>
              <w:marBottom w:val="0"/>
              <w:divBdr>
                <w:top w:val="none" w:sz="0" w:space="0" w:color="auto"/>
                <w:left w:val="none" w:sz="0" w:space="0" w:color="auto"/>
                <w:bottom w:val="none" w:sz="0" w:space="0" w:color="auto"/>
                <w:right w:val="none" w:sz="0" w:space="0" w:color="auto"/>
              </w:divBdr>
              <w:divsChild>
                <w:div w:id="388502108">
                  <w:marLeft w:val="0"/>
                  <w:marRight w:val="0"/>
                  <w:marTop w:val="0"/>
                  <w:marBottom w:val="0"/>
                  <w:divBdr>
                    <w:top w:val="none" w:sz="0" w:space="0" w:color="auto"/>
                    <w:left w:val="none" w:sz="0" w:space="0" w:color="auto"/>
                    <w:bottom w:val="none" w:sz="0" w:space="0" w:color="auto"/>
                    <w:right w:val="none" w:sz="0" w:space="0" w:color="auto"/>
                  </w:divBdr>
                  <w:divsChild>
                    <w:div w:id="1008869289">
                      <w:marLeft w:val="0"/>
                      <w:marRight w:val="0"/>
                      <w:marTop w:val="0"/>
                      <w:marBottom w:val="0"/>
                      <w:divBdr>
                        <w:top w:val="none" w:sz="0" w:space="0" w:color="auto"/>
                        <w:left w:val="none" w:sz="0" w:space="0" w:color="auto"/>
                        <w:bottom w:val="none" w:sz="0" w:space="0" w:color="auto"/>
                        <w:right w:val="none" w:sz="0" w:space="0" w:color="auto"/>
                      </w:divBdr>
                      <w:divsChild>
                        <w:div w:id="1423069918">
                          <w:marLeft w:val="0"/>
                          <w:marRight w:val="0"/>
                          <w:marTop w:val="0"/>
                          <w:marBottom w:val="0"/>
                          <w:divBdr>
                            <w:top w:val="none" w:sz="0" w:space="0" w:color="auto"/>
                            <w:left w:val="none" w:sz="0" w:space="0" w:color="auto"/>
                            <w:bottom w:val="none" w:sz="0" w:space="0" w:color="auto"/>
                            <w:right w:val="none" w:sz="0" w:space="0" w:color="auto"/>
                          </w:divBdr>
                          <w:divsChild>
                            <w:div w:id="883835981">
                              <w:marLeft w:val="0"/>
                              <w:marRight w:val="0"/>
                              <w:marTop w:val="0"/>
                              <w:marBottom w:val="0"/>
                              <w:divBdr>
                                <w:top w:val="none" w:sz="0" w:space="0" w:color="auto"/>
                                <w:left w:val="none" w:sz="0" w:space="0" w:color="auto"/>
                                <w:bottom w:val="none" w:sz="0" w:space="0" w:color="auto"/>
                                <w:right w:val="none" w:sz="0" w:space="0" w:color="auto"/>
                              </w:divBdr>
                              <w:divsChild>
                                <w:div w:id="1433088912">
                                  <w:marLeft w:val="0"/>
                                  <w:marRight w:val="0"/>
                                  <w:marTop w:val="0"/>
                                  <w:marBottom w:val="0"/>
                                  <w:divBdr>
                                    <w:top w:val="none" w:sz="0" w:space="0" w:color="auto"/>
                                    <w:left w:val="none" w:sz="0" w:space="0" w:color="auto"/>
                                    <w:bottom w:val="none" w:sz="0" w:space="0" w:color="auto"/>
                                    <w:right w:val="none" w:sz="0" w:space="0" w:color="auto"/>
                                  </w:divBdr>
                                  <w:divsChild>
                                    <w:div w:id="648945979">
                                      <w:marLeft w:val="0"/>
                                      <w:marRight w:val="0"/>
                                      <w:marTop w:val="0"/>
                                      <w:marBottom w:val="0"/>
                                      <w:divBdr>
                                        <w:top w:val="none" w:sz="0" w:space="0" w:color="auto"/>
                                        <w:left w:val="none" w:sz="0" w:space="0" w:color="auto"/>
                                        <w:bottom w:val="none" w:sz="0" w:space="0" w:color="auto"/>
                                        <w:right w:val="none" w:sz="0" w:space="0" w:color="auto"/>
                                      </w:divBdr>
                                      <w:divsChild>
                                        <w:div w:id="713426245">
                                          <w:marLeft w:val="0"/>
                                          <w:marRight w:val="0"/>
                                          <w:marTop w:val="0"/>
                                          <w:marBottom w:val="0"/>
                                          <w:divBdr>
                                            <w:top w:val="none" w:sz="0" w:space="0" w:color="auto"/>
                                            <w:left w:val="none" w:sz="0" w:space="0" w:color="auto"/>
                                            <w:bottom w:val="none" w:sz="0" w:space="0" w:color="auto"/>
                                            <w:right w:val="none" w:sz="0" w:space="0" w:color="auto"/>
                                          </w:divBdr>
                                          <w:divsChild>
                                            <w:div w:id="427701122">
                                              <w:marLeft w:val="0"/>
                                              <w:marRight w:val="0"/>
                                              <w:marTop w:val="0"/>
                                              <w:marBottom w:val="0"/>
                                              <w:divBdr>
                                                <w:top w:val="none" w:sz="0" w:space="0" w:color="auto"/>
                                                <w:left w:val="none" w:sz="0" w:space="0" w:color="auto"/>
                                                <w:bottom w:val="none" w:sz="0" w:space="0" w:color="auto"/>
                                                <w:right w:val="none" w:sz="0" w:space="0" w:color="auto"/>
                                              </w:divBdr>
                                              <w:divsChild>
                                                <w:div w:id="1467427250">
                                                  <w:marLeft w:val="0"/>
                                                  <w:marRight w:val="0"/>
                                                  <w:marTop w:val="0"/>
                                                  <w:marBottom w:val="0"/>
                                                  <w:divBdr>
                                                    <w:top w:val="none" w:sz="0" w:space="0" w:color="auto"/>
                                                    <w:left w:val="none" w:sz="0" w:space="0" w:color="auto"/>
                                                    <w:bottom w:val="none" w:sz="0" w:space="0" w:color="auto"/>
                                                    <w:right w:val="none" w:sz="0" w:space="0" w:color="auto"/>
                                                  </w:divBdr>
                                                  <w:divsChild>
                                                    <w:div w:id="1400522516">
                                                      <w:marLeft w:val="0"/>
                                                      <w:marRight w:val="0"/>
                                                      <w:marTop w:val="0"/>
                                                      <w:marBottom w:val="0"/>
                                                      <w:divBdr>
                                                        <w:top w:val="none" w:sz="0" w:space="0" w:color="auto"/>
                                                        <w:left w:val="none" w:sz="0" w:space="0" w:color="auto"/>
                                                        <w:bottom w:val="none" w:sz="0" w:space="0" w:color="auto"/>
                                                        <w:right w:val="none" w:sz="0" w:space="0" w:color="auto"/>
                                                      </w:divBdr>
                                                      <w:divsChild>
                                                        <w:div w:id="1689525933">
                                                          <w:marLeft w:val="0"/>
                                                          <w:marRight w:val="0"/>
                                                          <w:marTop w:val="0"/>
                                                          <w:marBottom w:val="0"/>
                                                          <w:divBdr>
                                                            <w:top w:val="none" w:sz="0" w:space="0" w:color="auto"/>
                                                            <w:left w:val="none" w:sz="0" w:space="0" w:color="auto"/>
                                                            <w:bottom w:val="none" w:sz="0" w:space="0" w:color="auto"/>
                                                            <w:right w:val="none" w:sz="0" w:space="0" w:color="auto"/>
                                                          </w:divBdr>
                                                          <w:divsChild>
                                                            <w:div w:id="1944023557">
                                                              <w:marLeft w:val="0"/>
                                                              <w:marRight w:val="0"/>
                                                              <w:marTop w:val="0"/>
                                                              <w:marBottom w:val="0"/>
                                                              <w:divBdr>
                                                                <w:top w:val="none" w:sz="0" w:space="0" w:color="auto"/>
                                                                <w:left w:val="none" w:sz="0" w:space="0" w:color="auto"/>
                                                                <w:bottom w:val="none" w:sz="0" w:space="0" w:color="auto"/>
                                                                <w:right w:val="none" w:sz="0" w:space="0" w:color="auto"/>
                                                              </w:divBdr>
                                                              <w:divsChild>
                                                                <w:div w:id="2063016131">
                                                                  <w:marLeft w:val="0"/>
                                                                  <w:marRight w:val="0"/>
                                                                  <w:marTop w:val="0"/>
                                                                  <w:marBottom w:val="0"/>
                                                                  <w:divBdr>
                                                                    <w:top w:val="none" w:sz="0" w:space="0" w:color="auto"/>
                                                                    <w:left w:val="none" w:sz="0" w:space="0" w:color="auto"/>
                                                                    <w:bottom w:val="none" w:sz="0" w:space="0" w:color="auto"/>
                                                                    <w:right w:val="none" w:sz="0" w:space="0" w:color="auto"/>
                                                                  </w:divBdr>
                                                                  <w:divsChild>
                                                                    <w:div w:id="1247616232">
                                                                      <w:marLeft w:val="0"/>
                                                                      <w:marRight w:val="0"/>
                                                                      <w:marTop w:val="0"/>
                                                                      <w:marBottom w:val="0"/>
                                                                      <w:divBdr>
                                                                        <w:top w:val="none" w:sz="0" w:space="0" w:color="auto"/>
                                                                        <w:left w:val="none" w:sz="0" w:space="0" w:color="auto"/>
                                                                        <w:bottom w:val="none" w:sz="0" w:space="0" w:color="auto"/>
                                                                        <w:right w:val="none" w:sz="0" w:space="0" w:color="auto"/>
                                                                      </w:divBdr>
                                                                      <w:divsChild>
                                                                        <w:div w:id="304092487">
                                                                          <w:marLeft w:val="0"/>
                                                                          <w:marRight w:val="0"/>
                                                                          <w:marTop w:val="0"/>
                                                                          <w:marBottom w:val="0"/>
                                                                          <w:divBdr>
                                                                            <w:top w:val="none" w:sz="0" w:space="0" w:color="auto"/>
                                                                            <w:left w:val="none" w:sz="0" w:space="0" w:color="auto"/>
                                                                            <w:bottom w:val="none" w:sz="0" w:space="0" w:color="auto"/>
                                                                            <w:right w:val="none" w:sz="0" w:space="0" w:color="auto"/>
                                                                          </w:divBdr>
                                                                          <w:divsChild>
                                                                            <w:div w:id="1017654716">
                                                                              <w:marLeft w:val="0"/>
                                                                              <w:marRight w:val="0"/>
                                                                              <w:marTop w:val="0"/>
                                                                              <w:marBottom w:val="0"/>
                                                                              <w:divBdr>
                                                                                <w:top w:val="none" w:sz="0" w:space="0" w:color="auto"/>
                                                                                <w:left w:val="none" w:sz="0" w:space="0" w:color="auto"/>
                                                                                <w:bottom w:val="none" w:sz="0" w:space="0" w:color="auto"/>
                                                                                <w:right w:val="none" w:sz="0" w:space="0" w:color="auto"/>
                                                                              </w:divBdr>
                                                                              <w:divsChild>
                                                                                <w:div w:id="1934510641">
                                                                                  <w:marLeft w:val="0"/>
                                                                                  <w:marRight w:val="0"/>
                                                                                  <w:marTop w:val="0"/>
                                                                                  <w:marBottom w:val="0"/>
                                                                                  <w:divBdr>
                                                                                    <w:top w:val="none" w:sz="0" w:space="0" w:color="auto"/>
                                                                                    <w:left w:val="none" w:sz="0" w:space="0" w:color="auto"/>
                                                                                    <w:bottom w:val="none" w:sz="0" w:space="0" w:color="auto"/>
                                                                                    <w:right w:val="none" w:sz="0" w:space="0" w:color="auto"/>
                                                                                  </w:divBdr>
                                                                                </w:div>
                                                                                <w:div w:id="1173951250">
                                                                                  <w:marLeft w:val="0"/>
                                                                                  <w:marRight w:val="0"/>
                                                                                  <w:marTop w:val="0"/>
                                                                                  <w:marBottom w:val="0"/>
                                                                                  <w:divBdr>
                                                                                    <w:top w:val="none" w:sz="0" w:space="0" w:color="auto"/>
                                                                                    <w:left w:val="none" w:sz="0" w:space="0" w:color="auto"/>
                                                                                    <w:bottom w:val="none" w:sz="0" w:space="0" w:color="auto"/>
                                                                                    <w:right w:val="none" w:sz="0" w:space="0" w:color="auto"/>
                                                                                  </w:divBdr>
                                                                                </w:div>
                                                                                <w:div w:id="1317300257">
                                                                                  <w:marLeft w:val="0"/>
                                                                                  <w:marRight w:val="0"/>
                                                                                  <w:marTop w:val="0"/>
                                                                                  <w:marBottom w:val="0"/>
                                                                                  <w:divBdr>
                                                                                    <w:top w:val="none" w:sz="0" w:space="0" w:color="auto"/>
                                                                                    <w:left w:val="none" w:sz="0" w:space="0" w:color="auto"/>
                                                                                    <w:bottom w:val="none" w:sz="0" w:space="0" w:color="auto"/>
                                                                                    <w:right w:val="none" w:sz="0" w:space="0" w:color="auto"/>
                                                                                  </w:divBdr>
                                                                                  <w:divsChild>
                                                                                    <w:div w:id="826867807">
                                                                                      <w:marLeft w:val="0"/>
                                                                                      <w:marRight w:val="0"/>
                                                                                      <w:marTop w:val="0"/>
                                                                                      <w:marBottom w:val="0"/>
                                                                                      <w:divBdr>
                                                                                        <w:top w:val="none" w:sz="0" w:space="0" w:color="auto"/>
                                                                                        <w:left w:val="none" w:sz="0" w:space="0" w:color="auto"/>
                                                                                        <w:bottom w:val="none" w:sz="0" w:space="0" w:color="auto"/>
                                                                                        <w:right w:val="none" w:sz="0" w:space="0" w:color="auto"/>
                                                                                      </w:divBdr>
                                                                                    </w:div>
                                                                                  </w:divsChild>
                                                                                </w:div>
                                                                                <w:div w:id="1682664836">
                                                                                  <w:marLeft w:val="0"/>
                                                                                  <w:marRight w:val="0"/>
                                                                                  <w:marTop w:val="0"/>
                                                                                  <w:marBottom w:val="0"/>
                                                                                  <w:divBdr>
                                                                                    <w:top w:val="none" w:sz="0" w:space="0" w:color="auto"/>
                                                                                    <w:left w:val="none" w:sz="0" w:space="0" w:color="auto"/>
                                                                                    <w:bottom w:val="none" w:sz="0" w:space="0" w:color="auto"/>
                                                                                    <w:right w:val="none" w:sz="0" w:space="0" w:color="auto"/>
                                                                                  </w:divBdr>
                                                                                </w:div>
                                                                                <w:div w:id="2092962937">
                                                                                  <w:marLeft w:val="0"/>
                                                                                  <w:marRight w:val="0"/>
                                                                                  <w:marTop w:val="0"/>
                                                                                  <w:marBottom w:val="0"/>
                                                                                  <w:divBdr>
                                                                                    <w:top w:val="none" w:sz="0" w:space="0" w:color="auto"/>
                                                                                    <w:left w:val="none" w:sz="0" w:space="0" w:color="auto"/>
                                                                                    <w:bottom w:val="none" w:sz="0" w:space="0" w:color="auto"/>
                                                                                    <w:right w:val="none" w:sz="0" w:space="0" w:color="auto"/>
                                                                                  </w:divBdr>
                                                                                  <w:divsChild>
                                                                                    <w:div w:id="2026902743">
                                                                                      <w:marLeft w:val="0"/>
                                                                                      <w:marRight w:val="0"/>
                                                                                      <w:marTop w:val="0"/>
                                                                                      <w:marBottom w:val="0"/>
                                                                                      <w:divBdr>
                                                                                        <w:top w:val="none" w:sz="0" w:space="0" w:color="auto"/>
                                                                                        <w:left w:val="none" w:sz="0" w:space="0" w:color="auto"/>
                                                                                        <w:bottom w:val="none" w:sz="0" w:space="0" w:color="auto"/>
                                                                                        <w:right w:val="none" w:sz="0" w:space="0" w:color="auto"/>
                                                                                      </w:divBdr>
                                                                                    </w:div>
                                                                                  </w:divsChild>
                                                                                </w:div>
                                                                                <w:div w:id="1878816374">
                                                                                  <w:marLeft w:val="0"/>
                                                                                  <w:marRight w:val="0"/>
                                                                                  <w:marTop w:val="0"/>
                                                                                  <w:marBottom w:val="0"/>
                                                                                  <w:divBdr>
                                                                                    <w:top w:val="none" w:sz="0" w:space="0" w:color="auto"/>
                                                                                    <w:left w:val="none" w:sz="0" w:space="0" w:color="auto"/>
                                                                                    <w:bottom w:val="none" w:sz="0" w:space="0" w:color="auto"/>
                                                                                    <w:right w:val="none" w:sz="0" w:space="0" w:color="auto"/>
                                                                                  </w:divBdr>
                                                                                </w:div>
                                                                                <w:div w:id="954335506">
                                                                                  <w:marLeft w:val="0"/>
                                                                                  <w:marRight w:val="0"/>
                                                                                  <w:marTop w:val="0"/>
                                                                                  <w:marBottom w:val="0"/>
                                                                                  <w:divBdr>
                                                                                    <w:top w:val="none" w:sz="0" w:space="0" w:color="auto"/>
                                                                                    <w:left w:val="none" w:sz="0" w:space="0" w:color="auto"/>
                                                                                    <w:bottom w:val="none" w:sz="0" w:space="0" w:color="auto"/>
                                                                                    <w:right w:val="none" w:sz="0" w:space="0" w:color="auto"/>
                                                                                  </w:divBdr>
                                                                                  <w:divsChild>
                                                                                    <w:div w:id="767626349">
                                                                                      <w:marLeft w:val="0"/>
                                                                                      <w:marRight w:val="0"/>
                                                                                      <w:marTop w:val="0"/>
                                                                                      <w:marBottom w:val="0"/>
                                                                                      <w:divBdr>
                                                                                        <w:top w:val="none" w:sz="0" w:space="0" w:color="auto"/>
                                                                                        <w:left w:val="none" w:sz="0" w:space="0" w:color="auto"/>
                                                                                        <w:bottom w:val="none" w:sz="0" w:space="0" w:color="auto"/>
                                                                                        <w:right w:val="none" w:sz="0" w:space="0" w:color="auto"/>
                                                                                      </w:divBdr>
                                                                                    </w:div>
                                                                                  </w:divsChild>
                                                                                </w:div>
                                                                                <w:div w:id="468933995">
                                                                                  <w:marLeft w:val="0"/>
                                                                                  <w:marRight w:val="0"/>
                                                                                  <w:marTop w:val="0"/>
                                                                                  <w:marBottom w:val="0"/>
                                                                                  <w:divBdr>
                                                                                    <w:top w:val="none" w:sz="0" w:space="0" w:color="auto"/>
                                                                                    <w:left w:val="none" w:sz="0" w:space="0" w:color="auto"/>
                                                                                    <w:bottom w:val="none" w:sz="0" w:space="0" w:color="auto"/>
                                                                                    <w:right w:val="none" w:sz="0" w:space="0" w:color="auto"/>
                                                                                  </w:divBdr>
                                                                                </w:div>
                                                                                <w:div w:id="320930426">
                                                                                  <w:marLeft w:val="0"/>
                                                                                  <w:marRight w:val="0"/>
                                                                                  <w:marTop w:val="0"/>
                                                                                  <w:marBottom w:val="0"/>
                                                                                  <w:divBdr>
                                                                                    <w:top w:val="none" w:sz="0" w:space="0" w:color="auto"/>
                                                                                    <w:left w:val="none" w:sz="0" w:space="0" w:color="auto"/>
                                                                                    <w:bottom w:val="none" w:sz="0" w:space="0" w:color="auto"/>
                                                                                    <w:right w:val="none" w:sz="0" w:space="0" w:color="auto"/>
                                                                                  </w:divBdr>
                                                                                  <w:divsChild>
                                                                                    <w:div w:id="7205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420294">
      <w:bodyDiv w:val="1"/>
      <w:marLeft w:val="0"/>
      <w:marRight w:val="0"/>
      <w:marTop w:val="0"/>
      <w:marBottom w:val="0"/>
      <w:divBdr>
        <w:top w:val="none" w:sz="0" w:space="0" w:color="auto"/>
        <w:left w:val="none" w:sz="0" w:space="0" w:color="auto"/>
        <w:bottom w:val="none" w:sz="0" w:space="0" w:color="auto"/>
        <w:right w:val="none" w:sz="0" w:space="0" w:color="auto"/>
      </w:divBdr>
      <w:divsChild>
        <w:div w:id="1375229784">
          <w:marLeft w:val="0"/>
          <w:marRight w:val="0"/>
          <w:marTop w:val="0"/>
          <w:marBottom w:val="0"/>
          <w:divBdr>
            <w:top w:val="none" w:sz="0" w:space="0" w:color="auto"/>
            <w:left w:val="none" w:sz="0" w:space="0" w:color="auto"/>
            <w:bottom w:val="none" w:sz="0" w:space="0" w:color="auto"/>
            <w:right w:val="none" w:sz="0" w:space="0" w:color="auto"/>
          </w:divBdr>
          <w:divsChild>
            <w:div w:id="1305236972">
              <w:marLeft w:val="0"/>
              <w:marRight w:val="0"/>
              <w:marTop w:val="0"/>
              <w:marBottom w:val="0"/>
              <w:divBdr>
                <w:top w:val="none" w:sz="0" w:space="0" w:color="auto"/>
                <w:left w:val="none" w:sz="0" w:space="0" w:color="auto"/>
                <w:bottom w:val="none" w:sz="0" w:space="0" w:color="auto"/>
                <w:right w:val="none" w:sz="0" w:space="0" w:color="auto"/>
              </w:divBdr>
              <w:divsChild>
                <w:div w:id="1531189238">
                  <w:marLeft w:val="0"/>
                  <w:marRight w:val="0"/>
                  <w:marTop w:val="0"/>
                  <w:marBottom w:val="0"/>
                  <w:divBdr>
                    <w:top w:val="none" w:sz="0" w:space="0" w:color="auto"/>
                    <w:left w:val="none" w:sz="0" w:space="0" w:color="auto"/>
                    <w:bottom w:val="none" w:sz="0" w:space="0" w:color="auto"/>
                    <w:right w:val="none" w:sz="0" w:space="0" w:color="auto"/>
                  </w:divBdr>
                  <w:divsChild>
                    <w:div w:id="704449325">
                      <w:marLeft w:val="0"/>
                      <w:marRight w:val="0"/>
                      <w:marTop w:val="0"/>
                      <w:marBottom w:val="0"/>
                      <w:divBdr>
                        <w:top w:val="none" w:sz="0" w:space="0" w:color="auto"/>
                        <w:left w:val="none" w:sz="0" w:space="0" w:color="auto"/>
                        <w:bottom w:val="none" w:sz="0" w:space="0" w:color="auto"/>
                        <w:right w:val="none" w:sz="0" w:space="0" w:color="auto"/>
                      </w:divBdr>
                      <w:divsChild>
                        <w:div w:id="597176524">
                          <w:marLeft w:val="0"/>
                          <w:marRight w:val="0"/>
                          <w:marTop w:val="0"/>
                          <w:marBottom w:val="0"/>
                          <w:divBdr>
                            <w:top w:val="none" w:sz="0" w:space="0" w:color="auto"/>
                            <w:left w:val="none" w:sz="0" w:space="0" w:color="auto"/>
                            <w:bottom w:val="none" w:sz="0" w:space="0" w:color="auto"/>
                            <w:right w:val="none" w:sz="0" w:space="0" w:color="auto"/>
                          </w:divBdr>
                          <w:divsChild>
                            <w:div w:id="594439156">
                              <w:marLeft w:val="0"/>
                              <w:marRight w:val="0"/>
                              <w:marTop w:val="0"/>
                              <w:marBottom w:val="0"/>
                              <w:divBdr>
                                <w:top w:val="none" w:sz="0" w:space="0" w:color="auto"/>
                                <w:left w:val="none" w:sz="0" w:space="0" w:color="auto"/>
                                <w:bottom w:val="none" w:sz="0" w:space="0" w:color="auto"/>
                                <w:right w:val="none" w:sz="0" w:space="0" w:color="auto"/>
                              </w:divBdr>
                              <w:divsChild>
                                <w:div w:id="1109668468">
                                  <w:marLeft w:val="0"/>
                                  <w:marRight w:val="0"/>
                                  <w:marTop w:val="0"/>
                                  <w:marBottom w:val="0"/>
                                  <w:divBdr>
                                    <w:top w:val="none" w:sz="0" w:space="0" w:color="auto"/>
                                    <w:left w:val="none" w:sz="0" w:space="0" w:color="auto"/>
                                    <w:bottom w:val="none" w:sz="0" w:space="0" w:color="auto"/>
                                    <w:right w:val="none" w:sz="0" w:space="0" w:color="auto"/>
                                  </w:divBdr>
                                  <w:divsChild>
                                    <w:div w:id="878397310">
                                      <w:marLeft w:val="0"/>
                                      <w:marRight w:val="0"/>
                                      <w:marTop w:val="0"/>
                                      <w:marBottom w:val="0"/>
                                      <w:divBdr>
                                        <w:top w:val="none" w:sz="0" w:space="0" w:color="auto"/>
                                        <w:left w:val="none" w:sz="0" w:space="0" w:color="auto"/>
                                        <w:bottom w:val="none" w:sz="0" w:space="0" w:color="auto"/>
                                        <w:right w:val="none" w:sz="0" w:space="0" w:color="auto"/>
                                      </w:divBdr>
                                      <w:divsChild>
                                        <w:div w:id="719788238">
                                          <w:marLeft w:val="0"/>
                                          <w:marRight w:val="0"/>
                                          <w:marTop w:val="0"/>
                                          <w:marBottom w:val="0"/>
                                          <w:divBdr>
                                            <w:top w:val="none" w:sz="0" w:space="0" w:color="auto"/>
                                            <w:left w:val="none" w:sz="0" w:space="0" w:color="auto"/>
                                            <w:bottom w:val="none" w:sz="0" w:space="0" w:color="auto"/>
                                            <w:right w:val="none" w:sz="0" w:space="0" w:color="auto"/>
                                          </w:divBdr>
                                          <w:divsChild>
                                            <w:div w:id="473254832">
                                              <w:marLeft w:val="0"/>
                                              <w:marRight w:val="0"/>
                                              <w:marTop w:val="0"/>
                                              <w:marBottom w:val="0"/>
                                              <w:divBdr>
                                                <w:top w:val="none" w:sz="0" w:space="0" w:color="auto"/>
                                                <w:left w:val="none" w:sz="0" w:space="0" w:color="auto"/>
                                                <w:bottom w:val="none" w:sz="0" w:space="0" w:color="auto"/>
                                                <w:right w:val="none" w:sz="0" w:space="0" w:color="auto"/>
                                              </w:divBdr>
                                              <w:divsChild>
                                                <w:div w:id="1927571140">
                                                  <w:marLeft w:val="0"/>
                                                  <w:marRight w:val="0"/>
                                                  <w:marTop w:val="0"/>
                                                  <w:marBottom w:val="0"/>
                                                  <w:divBdr>
                                                    <w:top w:val="none" w:sz="0" w:space="0" w:color="auto"/>
                                                    <w:left w:val="none" w:sz="0" w:space="0" w:color="auto"/>
                                                    <w:bottom w:val="none" w:sz="0" w:space="0" w:color="auto"/>
                                                    <w:right w:val="none" w:sz="0" w:space="0" w:color="auto"/>
                                                  </w:divBdr>
                                                  <w:divsChild>
                                                    <w:div w:id="1367371276">
                                                      <w:marLeft w:val="0"/>
                                                      <w:marRight w:val="0"/>
                                                      <w:marTop w:val="0"/>
                                                      <w:marBottom w:val="0"/>
                                                      <w:divBdr>
                                                        <w:top w:val="none" w:sz="0" w:space="0" w:color="auto"/>
                                                        <w:left w:val="none" w:sz="0" w:space="0" w:color="auto"/>
                                                        <w:bottom w:val="none" w:sz="0" w:space="0" w:color="auto"/>
                                                        <w:right w:val="none" w:sz="0" w:space="0" w:color="auto"/>
                                                      </w:divBdr>
                                                      <w:divsChild>
                                                        <w:div w:id="41057144">
                                                          <w:marLeft w:val="0"/>
                                                          <w:marRight w:val="0"/>
                                                          <w:marTop w:val="0"/>
                                                          <w:marBottom w:val="0"/>
                                                          <w:divBdr>
                                                            <w:top w:val="none" w:sz="0" w:space="0" w:color="auto"/>
                                                            <w:left w:val="none" w:sz="0" w:space="0" w:color="auto"/>
                                                            <w:bottom w:val="none" w:sz="0" w:space="0" w:color="auto"/>
                                                            <w:right w:val="none" w:sz="0" w:space="0" w:color="auto"/>
                                                          </w:divBdr>
                                                          <w:divsChild>
                                                            <w:div w:id="89548597">
                                                              <w:marLeft w:val="0"/>
                                                              <w:marRight w:val="0"/>
                                                              <w:marTop w:val="0"/>
                                                              <w:marBottom w:val="0"/>
                                                              <w:divBdr>
                                                                <w:top w:val="none" w:sz="0" w:space="0" w:color="auto"/>
                                                                <w:left w:val="none" w:sz="0" w:space="0" w:color="auto"/>
                                                                <w:bottom w:val="none" w:sz="0" w:space="0" w:color="auto"/>
                                                                <w:right w:val="none" w:sz="0" w:space="0" w:color="auto"/>
                                                              </w:divBdr>
                                                              <w:divsChild>
                                                                <w:div w:id="1666131357">
                                                                  <w:marLeft w:val="0"/>
                                                                  <w:marRight w:val="0"/>
                                                                  <w:marTop w:val="0"/>
                                                                  <w:marBottom w:val="0"/>
                                                                  <w:divBdr>
                                                                    <w:top w:val="none" w:sz="0" w:space="0" w:color="auto"/>
                                                                    <w:left w:val="none" w:sz="0" w:space="0" w:color="auto"/>
                                                                    <w:bottom w:val="none" w:sz="0" w:space="0" w:color="auto"/>
                                                                    <w:right w:val="none" w:sz="0" w:space="0" w:color="auto"/>
                                                                  </w:divBdr>
                                                                  <w:divsChild>
                                                                    <w:div w:id="1902665987">
                                                                      <w:marLeft w:val="0"/>
                                                                      <w:marRight w:val="0"/>
                                                                      <w:marTop w:val="0"/>
                                                                      <w:marBottom w:val="0"/>
                                                                      <w:divBdr>
                                                                        <w:top w:val="none" w:sz="0" w:space="0" w:color="auto"/>
                                                                        <w:left w:val="none" w:sz="0" w:space="0" w:color="auto"/>
                                                                        <w:bottom w:val="none" w:sz="0" w:space="0" w:color="auto"/>
                                                                        <w:right w:val="none" w:sz="0" w:space="0" w:color="auto"/>
                                                                      </w:divBdr>
                                                                      <w:divsChild>
                                                                        <w:div w:id="1676496771">
                                                                          <w:marLeft w:val="0"/>
                                                                          <w:marRight w:val="0"/>
                                                                          <w:marTop w:val="0"/>
                                                                          <w:marBottom w:val="0"/>
                                                                          <w:divBdr>
                                                                            <w:top w:val="none" w:sz="0" w:space="0" w:color="auto"/>
                                                                            <w:left w:val="none" w:sz="0" w:space="0" w:color="auto"/>
                                                                            <w:bottom w:val="none" w:sz="0" w:space="0" w:color="auto"/>
                                                                            <w:right w:val="none" w:sz="0" w:space="0" w:color="auto"/>
                                                                          </w:divBdr>
                                                                          <w:divsChild>
                                                                            <w:div w:id="1637221415">
                                                                              <w:marLeft w:val="0"/>
                                                                              <w:marRight w:val="0"/>
                                                                              <w:marTop w:val="0"/>
                                                                              <w:marBottom w:val="0"/>
                                                                              <w:divBdr>
                                                                                <w:top w:val="none" w:sz="0" w:space="0" w:color="auto"/>
                                                                                <w:left w:val="none" w:sz="0" w:space="0" w:color="auto"/>
                                                                                <w:bottom w:val="none" w:sz="0" w:space="0" w:color="auto"/>
                                                                                <w:right w:val="none" w:sz="0" w:space="0" w:color="auto"/>
                                                                              </w:divBdr>
                                                                              <w:divsChild>
                                                                                <w:div w:id="1223561473">
                                                                                  <w:marLeft w:val="0"/>
                                                                                  <w:marRight w:val="0"/>
                                                                                  <w:marTop w:val="0"/>
                                                                                  <w:marBottom w:val="0"/>
                                                                                  <w:divBdr>
                                                                                    <w:top w:val="none" w:sz="0" w:space="0" w:color="auto"/>
                                                                                    <w:left w:val="none" w:sz="0" w:space="0" w:color="auto"/>
                                                                                    <w:bottom w:val="none" w:sz="0" w:space="0" w:color="auto"/>
                                                                                    <w:right w:val="none" w:sz="0" w:space="0" w:color="auto"/>
                                                                                  </w:divBdr>
                                                                                  <w:divsChild>
                                                                                    <w:div w:id="1794320389">
                                                                                      <w:marLeft w:val="0"/>
                                                                                      <w:marRight w:val="0"/>
                                                                                      <w:marTop w:val="0"/>
                                                                                      <w:marBottom w:val="0"/>
                                                                                      <w:divBdr>
                                                                                        <w:top w:val="none" w:sz="0" w:space="0" w:color="auto"/>
                                                                                        <w:left w:val="none" w:sz="0" w:space="0" w:color="auto"/>
                                                                                        <w:bottom w:val="none" w:sz="0" w:space="0" w:color="auto"/>
                                                                                        <w:right w:val="none" w:sz="0" w:space="0" w:color="auto"/>
                                                                                      </w:divBdr>
                                                                                    </w:div>
                                                                                  </w:divsChild>
                                                                                </w:div>
                                                                                <w:div w:id="1932810303">
                                                                                  <w:marLeft w:val="0"/>
                                                                                  <w:marRight w:val="0"/>
                                                                                  <w:marTop w:val="0"/>
                                                                                  <w:marBottom w:val="0"/>
                                                                                  <w:divBdr>
                                                                                    <w:top w:val="none" w:sz="0" w:space="0" w:color="auto"/>
                                                                                    <w:left w:val="none" w:sz="0" w:space="0" w:color="auto"/>
                                                                                    <w:bottom w:val="none" w:sz="0" w:space="0" w:color="auto"/>
                                                                                    <w:right w:val="none" w:sz="0" w:space="0" w:color="auto"/>
                                                                                  </w:divBdr>
                                                                                </w:div>
                                                                                <w:div w:id="1278953656">
                                                                                  <w:marLeft w:val="0"/>
                                                                                  <w:marRight w:val="0"/>
                                                                                  <w:marTop w:val="0"/>
                                                                                  <w:marBottom w:val="0"/>
                                                                                  <w:divBdr>
                                                                                    <w:top w:val="none" w:sz="0" w:space="0" w:color="auto"/>
                                                                                    <w:left w:val="none" w:sz="0" w:space="0" w:color="auto"/>
                                                                                    <w:bottom w:val="none" w:sz="0" w:space="0" w:color="auto"/>
                                                                                    <w:right w:val="none" w:sz="0" w:space="0" w:color="auto"/>
                                                                                  </w:divBdr>
                                                                                  <w:divsChild>
                                                                                    <w:div w:id="2113279506">
                                                                                      <w:marLeft w:val="0"/>
                                                                                      <w:marRight w:val="0"/>
                                                                                      <w:marTop w:val="0"/>
                                                                                      <w:marBottom w:val="0"/>
                                                                                      <w:divBdr>
                                                                                        <w:top w:val="none" w:sz="0" w:space="0" w:color="auto"/>
                                                                                        <w:left w:val="none" w:sz="0" w:space="0" w:color="auto"/>
                                                                                        <w:bottom w:val="none" w:sz="0" w:space="0" w:color="auto"/>
                                                                                        <w:right w:val="none" w:sz="0" w:space="0" w:color="auto"/>
                                                                                      </w:divBdr>
                                                                                    </w:div>
                                                                                  </w:divsChild>
                                                                                </w:div>
                                                                                <w:div w:id="1234856397">
                                                                                  <w:marLeft w:val="0"/>
                                                                                  <w:marRight w:val="0"/>
                                                                                  <w:marTop w:val="0"/>
                                                                                  <w:marBottom w:val="0"/>
                                                                                  <w:divBdr>
                                                                                    <w:top w:val="none" w:sz="0" w:space="0" w:color="auto"/>
                                                                                    <w:left w:val="none" w:sz="0" w:space="0" w:color="auto"/>
                                                                                    <w:bottom w:val="none" w:sz="0" w:space="0" w:color="auto"/>
                                                                                    <w:right w:val="none" w:sz="0" w:space="0" w:color="auto"/>
                                                                                  </w:divBdr>
                                                                                </w:div>
                                                                                <w:div w:id="1291742629">
                                                                                  <w:marLeft w:val="0"/>
                                                                                  <w:marRight w:val="0"/>
                                                                                  <w:marTop w:val="0"/>
                                                                                  <w:marBottom w:val="0"/>
                                                                                  <w:divBdr>
                                                                                    <w:top w:val="none" w:sz="0" w:space="0" w:color="auto"/>
                                                                                    <w:left w:val="none" w:sz="0" w:space="0" w:color="auto"/>
                                                                                    <w:bottom w:val="none" w:sz="0" w:space="0" w:color="auto"/>
                                                                                    <w:right w:val="none" w:sz="0" w:space="0" w:color="auto"/>
                                                                                  </w:divBdr>
                                                                                  <w:divsChild>
                                                                                    <w:div w:id="131599303">
                                                                                      <w:marLeft w:val="0"/>
                                                                                      <w:marRight w:val="0"/>
                                                                                      <w:marTop w:val="0"/>
                                                                                      <w:marBottom w:val="0"/>
                                                                                      <w:divBdr>
                                                                                        <w:top w:val="none" w:sz="0" w:space="0" w:color="auto"/>
                                                                                        <w:left w:val="none" w:sz="0" w:space="0" w:color="auto"/>
                                                                                        <w:bottom w:val="none" w:sz="0" w:space="0" w:color="auto"/>
                                                                                        <w:right w:val="none" w:sz="0" w:space="0" w:color="auto"/>
                                                                                      </w:divBdr>
                                                                                    </w:div>
                                                                                  </w:divsChild>
                                                                                </w:div>
                                                                                <w:div w:id="165831506">
                                                                                  <w:marLeft w:val="0"/>
                                                                                  <w:marRight w:val="0"/>
                                                                                  <w:marTop w:val="0"/>
                                                                                  <w:marBottom w:val="0"/>
                                                                                  <w:divBdr>
                                                                                    <w:top w:val="none" w:sz="0" w:space="0" w:color="auto"/>
                                                                                    <w:left w:val="none" w:sz="0" w:space="0" w:color="auto"/>
                                                                                    <w:bottom w:val="none" w:sz="0" w:space="0" w:color="auto"/>
                                                                                    <w:right w:val="none" w:sz="0" w:space="0" w:color="auto"/>
                                                                                  </w:divBdr>
                                                                                </w:div>
                                                                                <w:div w:id="380790691">
                                                                                  <w:marLeft w:val="0"/>
                                                                                  <w:marRight w:val="0"/>
                                                                                  <w:marTop w:val="0"/>
                                                                                  <w:marBottom w:val="0"/>
                                                                                  <w:divBdr>
                                                                                    <w:top w:val="none" w:sz="0" w:space="0" w:color="auto"/>
                                                                                    <w:left w:val="none" w:sz="0" w:space="0" w:color="auto"/>
                                                                                    <w:bottom w:val="none" w:sz="0" w:space="0" w:color="auto"/>
                                                                                    <w:right w:val="none" w:sz="0" w:space="0" w:color="auto"/>
                                                                                  </w:divBdr>
                                                                                  <w:divsChild>
                                                                                    <w:div w:id="1595086950">
                                                                                      <w:marLeft w:val="0"/>
                                                                                      <w:marRight w:val="0"/>
                                                                                      <w:marTop w:val="0"/>
                                                                                      <w:marBottom w:val="0"/>
                                                                                      <w:divBdr>
                                                                                        <w:top w:val="none" w:sz="0" w:space="0" w:color="auto"/>
                                                                                        <w:left w:val="none" w:sz="0" w:space="0" w:color="auto"/>
                                                                                        <w:bottom w:val="none" w:sz="0" w:space="0" w:color="auto"/>
                                                                                        <w:right w:val="none" w:sz="0" w:space="0" w:color="auto"/>
                                                                                      </w:divBdr>
                                                                                    </w:div>
                                                                                  </w:divsChild>
                                                                                </w:div>
                                                                                <w:div w:id="2072267151">
                                                                                  <w:marLeft w:val="0"/>
                                                                                  <w:marRight w:val="0"/>
                                                                                  <w:marTop w:val="0"/>
                                                                                  <w:marBottom w:val="0"/>
                                                                                  <w:divBdr>
                                                                                    <w:top w:val="none" w:sz="0" w:space="0" w:color="auto"/>
                                                                                    <w:left w:val="none" w:sz="0" w:space="0" w:color="auto"/>
                                                                                    <w:bottom w:val="none" w:sz="0" w:space="0" w:color="auto"/>
                                                                                    <w:right w:val="none" w:sz="0" w:space="0" w:color="auto"/>
                                                                                  </w:divBdr>
                                                                                </w:div>
                                                                                <w:div w:id="1079443814">
                                                                                  <w:marLeft w:val="0"/>
                                                                                  <w:marRight w:val="0"/>
                                                                                  <w:marTop w:val="0"/>
                                                                                  <w:marBottom w:val="0"/>
                                                                                  <w:divBdr>
                                                                                    <w:top w:val="none" w:sz="0" w:space="0" w:color="auto"/>
                                                                                    <w:left w:val="none" w:sz="0" w:space="0" w:color="auto"/>
                                                                                    <w:bottom w:val="none" w:sz="0" w:space="0" w:color="auto"/>
                                                                                    <w:right w:val="none" w:sz="0" w:space="0" w:color="auto"/>
                                                                                  </w:divBdr>
                                                                                  <w:divsChild>
                                                                                    <w:div w:id="354771409">
                                                                                      <w:marLeft w:val="0"/>
                                                                                      <w:marRight w:val="0"/>
                                                                                      <w:marTop w:val="0"/>
                                                                                      <w:marBottom w:val="0"/>
                                                                                      <w:divBdr>
                                                                                        <w:top w:val="none" w:sz="0" w:space="0" w:color="auto"/>
                                                                                        <w:left w:val="none" w:sz="0" w:space="0" w:color="auto"/>
                                                                                        <w:bottom w:val="none" w:sz="0" w:space="0" w:color="auto"/>
                                                                                        <w:right w:val="none" w:sz="0" w:space="0" w:color="auto"/>
                                                                                      </w:divBdr>
                                                                                    </w:div>
                                                                                  </w:divsChild>
                                                                                </w:div>
                                                                                <w:div w:id="929192657">
                                                                                  <w:marLeft w:val="0"/>
                                                                                  <w:marRight w:val="0"/>
                                                                                  <w:marTop w:val="0"/>
                                                                                  <w:marBottom w:val="0"/>
                                                                                  <w:divBdr>
                                                                                    <w:top w:val="none" w:sz="0" w:space="0" w:color="auto"/>
                                                                                    <w:left w:val="none" w:sz="0" w:space="0" w:color="auto"/>
                                                                                    <w:bottom w:val="none" w:sz="0" w:space="0" w:color="auto"/>
                                                                                    <w:right w:val="none" w:sz="0" w:space="0" w:color="auto"/>
                                                                                  </w:divBdr>
                                                                                </w:div>
                                                                                <w:div w:id="76363178">
                                                                                  <w:marLeft w:val="0"/>
                                                                                  <w:marRight w:val="0"/>
                                                                                  <w:marTop w:val="0"/>
                                                                                  <w:marBottom w:val="0"/>
                                                                                  <w:divBdr>
                                                                                    <w:top w:val="none" w:sz="0" w:space="0" w:color="auto"/>
                                                                                    <w:left w:val="none" w:sz="0" w:space="0" w:color="auto"/>
                                                                                    <w:bottom w:val="none" w:sz="0" w:space="0" w:color="auto"/>
                                                                                    <w:right w:val="none" w:sz="0" w:space="0" w:color="auto"/>
                                                                                  </w:divBdr>
                                                                                  <w:divsChild>
                                                                                    <w:div w:id="624584124">
                                                                                      <w:marLeft w:val="0"/>
                                                                                      <w:marRight w:val="0"/>
                                                                                      <w:marTop w:val="0"/>
                                                                                      <w:marBottom w:val="0"/>
                                                                                      <w:divBdr>
                                                                                        <w:top w:val="none" w:sz="0" w:space="0" w:color="auto"/>
                                                                                        <w:left w:val="none" w:sz="0" w:space="0" w:color="auto"/>
                                                                                        <w:bottom w:val="none" w:sz="0" w:space="0" w:color="auto"/>
                                                                                        <w:right w:val="none" w:sz="0" w:space="0" w:color="auto"/>
                                                                                      </w:divBdr>
                                                                                    </w:div>
                                                                                  </w:divsChild>
                                                                                </w:div>
                                                                                <w:div w:id="1591428534">
                                                                                  <w:marLeft w:val="0"/>
                                                                                  <w:marRight w:val="0"/>
                                                                                  <w:marTop w:val="0"/>
                                                                                  <w:marBottom w:val="0"/>
                                                                                  <w:divBdr>
                                                                                    <w:top w:val="none" w:sz="0" w:space="0" w:color="auto"/>
                                                                                    <w:left w:val="none" w:sz="0" w:space="0" w:color="auto"/>
                                                                                    <w:bottom w:val="none" w:sz="0" w:space="0" w:color="auto"/>
                                                                                    <w:right w:val="none" w:sz="0" w:space="0" w:color="auto"/>
                                                                                  </w:divBdr>
                                                                                </w:div>
                                                                                <w:div w:id="544878469">
                                                                                  <w:marLeft w:val="0"/>
                                                                                  <w:marRight w:val="0"/>
                                                                                  <w:marTop w:val="0"/>
                                                                                  <w:marBottom w:val="0"/>
                                                                                  <w:divBdr>
                                                                                    <w:top w:val="none" w:sz="0" w:space="0" w:color="auto"/>
                                                                                    <w:left w:val="none" w:sz="0" w:space="0" w:color="auto"/>
                                                                                    <w:bottom w:val="none" w:sz="0" w:space="0" w:color="auto"/>
                                                                                    <w:right w:val="none" w:sz="0" w:space="0" w:color="auto"/>
                                                                                  </w:divBdr>
                                                                                  <w:divsChild>
                                                                                    <w:div w:id="111293738">
                                                                                      <w:marLeft w:val="0"/>
                                                                                      <w:marRight w:val="0"/>
                                                                                      <w:marTop w:val="0"/>
                                                                                      <w:marBottom w:val="0"/>
                                                                                      <w:divBdr>
                                                                                        <w:top w:val="none" w:sz="0" w:space="0" w:color="auto"/>
                                                                                        <w:left w:val="none" w:sz="0" w:space="0" w:color="auto"/>
                                                                                        <w:bottom w:val="none" w:sz="0" w:space="0" w:color="auto"/>
                                                                                        <w:right w:val="none" w:sz="0" w:space="0" w:color="auto"/>
                                                                                      </w:divBdr>
                                                                                    </w:div>
                                                                                  </w:divsChild>
                                                                                </w:div>
                                                                                <w:div w:id="165364905">
                                                                                  <w:marLeft w:val="0"/>
                                                                                  <w:marRight w:val="0"/>
                                                                                  <w:marTop w:val="0"/>
                                                                                  <w:marBottom w:val="0"/>
                                                                                  <w:divBdr>
                                                                                    <w:top w:val="none" w:sz="0" w:space="0" w:color="auto"/>
                                                                                    <w:left w:val="none" w:sz="0" w:space="0" w:color="auto"/>
                                                                                    <w:bottom w:val="none" w:sz="0" w:space="0" w:color="auto"/>
                                                                                    <w:right w:val="none" w:sz="0" w:space="0" w:color="auto"/>
                                                                                  </w:divBdr>
                                                                                </w:div>
                                                                                <w:div w:id="1240797688">
                                                                                  <w:marLeft w:val="0"/>
                                                                                  <w:marRight w:val="0"/>
                                                                                  <w:marTop w:val="0"/>
                                                                                  <w:marBottom w:val="0"/>
                                                                                  <w:divBdr>
                                                                                    <w:top w:val="none" w:sz="0" w:space="0" w:color="auto"/>
                                                                                    <w:left w:val="none" w:sz="0" w:space="0" w:color="auto"/>
                                                                                    <w:bottom w:val="none" w:sz="0" w:space="0" w:color="auto"/>
                                                                                    <w:right w:val="none" w:sz="0" w:space="0" w:color="auto"/>
                                                                                  </w:divBdr>
                                                                                  <w:divsChild>
                                                                                    <w:div w:id="65676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103157">
      <w:bodyDiv w:val="1"/>
      <w:marLeft w:val="0"/>
      <w:marRight w:val="0"/>
      <w:marTop w:val="0"/>
      <w:marBottom w:val="0"/>
      <w:divBdr>
        <w:top w:val="none" w:sz="0" w:space="0" w:color="auto"/>
        <w:left w:val="none" w:sz="0" w:space="0" w:color="auto"/>
        <w:bottom w:val="none" w:sz="0" w:space="0" w:color="auto"/>
        <w:right w:val="none" w:sz="0" w:space="0" w:color="auto"/>
      </w:divBdr>
      <w:divsChild>
        <w:div w:id="1522670884">
          <w:marLeft w:val="0"/>
          <w:marRight w:val="0"/>
          <w:marTop w:val="0"/>
          <w:marBottom w:val="0"/>
          <w:divBdr>
            <w:top w:val="none" w:sz="0" w:space="0" w:color="auto"/>
            <w:left w:val="none" w:sz="0" w:space="0" w:color="auto"/>
            <w:bottom w:val="none" w:sz="0" w:space="0" w:color="auto"/>
            <w:right w:val="none" w:sz="0" w:space="0" w:color="auto"/>
          </w:divBdr>
          <w:divsChild>
            <w:div w:id="259920095">
              <w:marLeft w:val="0"/>
              <w:marRight w:val="0"/>
              <w:marTop w:val="0"/>
              <w:marBottom w:val="0"/>
              <w:divBdr>
                <w:top w:val="none" w:sz="0" w:space="0" w:color="auto"/>
                <w:left w:val="none" w:sz="0" w:space="0" w:color="auto"/>
                <w:bottom w:val="none" w:sz="0" w:space="0" w:color="auto"/>
                <w:right w:val="none" w:sz="0" w:space="0" w:color="auto"/>
              </w:divBdr>
              <w:divsChild>
                <w:div w:id="896477864">
                  <w:marLeft w:val="0"/>
                  <w:marRight w:val="0"/>
                  <w:marTop w:val="195"/>
                  <w:marBottom w:val="0"/>
                  <w:divBdr>
                    <w:top w:val="none" w:sz="0" w:space="0" w:color="auto"/>
                    <w:left w:val="none" w:sz="0" w:space="0" w:color="auto"/>
                    <w:bottom w:val="none" w:sz="0" w:space="0" w:color="auto"/>
                    <w:right w:val="none" w:sz="0" w:space="0" w:color="auto"/>
                  </w:divBdr>
                  <w:divsChild>
                    <w:div w:id="615259703">
                      <w:marLeft w:val="0"/>
                      <w:marRight w:val="0"/>
                      <w:marTop w:val="0"/>
                      <w:marBottom w:val="0"/>
                      <w:divBdr>
                        <w:top w:val="none" w:sz="0" w:space="0" w:color="auto"/>
                        <w:left w:val="none" w:sz="0" w:space="0" w:color="auto"/>
                        <w:bottom w:val="none" w:sz="0" w:space="0" w:color="auto"/>
                        <w:right w:val="none" w:sz="0" w:space="0" w:color="auto"/>
                      </w:divBdr>
                      <w:divsChild>
                        <w:div w:id="1830826405">
                          <w:marLeft w:val="0"/>
                          <w:marRight w:val="0"/>
                          <w:marTop w:val="0"/>
                          <w:marBottom w:val="0"/>
                          <w:divBdr>
                            <w:top w:val="none" w:sz="0" w:space="0" w:color="auto"/>
                            <w:left w:val="none" w:sz="0" w:space="0" w:color="auto"/>
                            <w:bottom w:val="none" w:sz="0" w:space="0" w:color="auto"/>
                            <w:right w:val="none" w:sz="0" w:space="0" w:color="auto"/>
                          </w:divBdr>
                          <w:divsChild>
                            <w:div w:id="236939661">
                              <w:marLeft w:val="0"/>
                              <w:marRight w:val="0"/>
                              <w:marTop w:val="0"/>
                              <w:marBottom w:val="0"/>
                              <w:divBdr>
                                <w:top w:val="none" w:sz="0" w:space="0" w:color="auto"/>
                                <w:left w:val="none" w:sz="0" w:space="0" w:color="auto"/>
                                <w:bottom w:val="none" w:sz="0" w:space="0" w:color="auto"/>
                                <w:right w:val="none" w:sz="0" w:space="0" w:color="auto"/>
                              </w:divBdr>
                              <w:divsChild>
                                <w:div w:id="1527407363">
                                  <w:marLeft w:val="0"/>
                                  <w:marRight w:val="0"/>
                                  <w:marTop w:val="0"/>
                                  <w:marBottom w:val="0"/>
                                  <w:divBdr>
                                    <w:top w:val="none" w:sz="0" w:space="0" w:color="auto"/>
                                    <w:left w:val="none" w:sz="0" w:space="0" w:color="auto"/>
                                    <w:bottom w:val="none" w:sz="0" w:space="0" w:color="auto"/>
                                    <w:right w:val="none" w:sz="0" w:space="0" w:color="auto"/>
                                  </w:divBdr>
                                  <w:divsChild>
                                    <w:div w:id="643700326">
                                      <w:marLeft w:val="0"/>
                                      <w:marRight w:val="0"/>
                                      <w:marTop w:val="0"/>
                                      <w:marBottom w:val="0"/>
                                      <w:divBdr>
                                        <w:top w:val="none" w:sz="0" w:space="0" w:color="auto"/>
                                        <w:left w:val="none" w:sz="0" w:space="0" w:color="auto"/>
                                        <w:bottom w:val="none" w:sz="0" w:space="0" w:color="auto"/>
                                        <w:right w:val="none" w:sz="0" w:space="0" w:color="auto"/>
                                      </w:divBdr>
                                      <w:divsChild>
                                        <w:div w:id="75135529">
                                          <w:marLeft w:val="0"/>
                                          <w:marRight w:val="0"/>
                                          <w:marTop w:val="0"/>
                                          <w:marBottom w:val="0"/>
                                          <w:divBdr>
                                            <w:top w:val="none" w:sz="0" w:space="0" w:color="auto"/>
                                            <w:left w:val="none" w:sz="0" w:space="0" w:color="auto"/>
                                            <w:bottom w:val="none" w:sz="0" w:space="0" w:color="auto"/>
                                            <w:right w:val="none" w:sz="0" w:space="0" w:color="auto"/>
                                          </w:divBdr>
                                          <w:divsChild>
                                            <w:div w:id="230505977">
                                              <w:marLeft w:val="0"/>
                                              <w:marRight w:val="0"/>
                                              <w:marTop w:val="0"/>
                                              <w:marBottom w:val="180"/>
                                              <w:divBdr>
                                                <w:top w:val="none" w:sz="0" w:space="0" w:color="auto"/>
                                                <w:left w:val="none" w:sz="0" w:space="0" w:color="auto"/>
                                                <w:bottom w:val="none" w:sz="0" w:space="0" w:color="auto"/>
                                                <w:right w:val="none" w:sz="0" w:space="0" w:color="auto"/>
                                              </w:divBdr>
                                              <w:divsChild>
                                                <w:div w:id="1751853162">
                                                  <w:marLeft w:val="0"/>
                                                  <w:marRight w:val="0"/>
                                                  <w:marTop w:val="0"/>
                                                  <w:marBottom w:val="0"/>
                                                  <w:divBdr>
                                                    <w:top w:val="none" w:sz="0" w:space="0" w:color="auto"/>
                                                    <w:left w:val="none" w:sz="0" w:space="0" w:color="auto"/>
                                                    <w:bottom w:val="none" w:sz="0" w:space="0" w:color="auto"/>
                                                    <w:right w:val="none" w:sz="0" w:space="0" w:color="auto"/>
                                                  </w:divBdr>
                                                  <w:divsChild>
                                                    <w:div w:id="377436283">
                                                      <w:marLeft w:val="0"/>
                                                      <w:marRight w:val="0"/>
                                                      <w:marTop w:val="0"/>
                                                      <w:marBottom w:val="0"/>
                                                      <w:divBdr>
                                                        <w:top w:val="none" w:sz="0" w:space="0" w:color="auto"/>
                                                        <w:left w:val="none" w:sz="0" w:space="0" w:color="auto"/>
                                                        <w:bottom w:val="none" w:sz="0" w:space="0" w:color="auto"/>
                                                        <w:right w:val="none" w:sz="0" w:space="0" w:color="auto"/>
                                                      </w:divBdr>
                                                      <w:divsChild>
                                                        <w:div w:id="469782924">
                                                          <w:marLeft w:val="0"/>
                                                          <w:marRight w:val="0"/>
                                                          <w:marTop w:val="0"/>
                                                          <w:marBottom w:val="0"/>
                                                          <w:divBdr>
                                                            <w:top w:val="none" w:sz="0" w:space="0" w:color="auto"/>
                                                            <w:left w:val="none" w:sz="0" w:space="0" w:color="auto"/>
                                                            <w:bottom w:val="none" w:sz="0" w:space="0" w:color="auto"/>
                                                            <w:right w:val="none" w:sz="0" w:space="0" w:color="auto"/>
                                                          </w:divBdr>
                                                          <w:divsChild>
                                                            <w:div w:id="1169517176">
                                                              <w:marLeft w:val="0"/>
                                                              <w:marRight w:val="0"/>
                                                              <w:marTop w:val="0"/>
                                                              <w:marBottom w:val="0"/>
                                                              <w:divBdr>
                                                                <w:top w:val="none" w:sz="0" w:space="0" w:color="auto"/>
                                                                <w:left w:val="none" w:sz="0" w:space="0" w:color="auto"/>
                                                                <w:bottom w:val="none" w:sz="0" w:space="0" w:color="auto"/>
                                                                <w:right w:val="none" w:sz="0" w:space="0" w:color="auto"/>
                                                              </w:divBdr>
                                                              <w:divsChild>
                                                                <w:div w:id="1702898392">
                                                                  <w:marLeft w:val="0"/>
                                                                  <w:marRight w:val="0"/>
                                                                  <w:marTop w:val="0"/>
                                                                  <w:marBottom w:val="0"/>
                                                                  <w:divBdr>
                                                                    <w:top w:val="none" w:sz="0" w:space="0" w:color="auto"/>
                                                                    <w:left w:val="none" w:sz="0" w:space="0" w:color="auto"/>
                                                                    <w:bottom w:val="none" w:sz="0" w:space="0" w:color="auto"/>
                                                                    <w:right w:val="none" w:sz="0" w:space="0" w:color="auto"/>
                                                                  </w:divBdr>
                                                                  <w:divsChild>
                                                                    <w:div w:id="1034497787">
                                                                      <w:marLeft w:val="0"/>
                                                                      <w:marRight w:val="0"/>
                                                                      <w:marTop w:val="0"/>
                                                                      <w:marBottom w:val="0"/>
                                                                      <w:divBdr>
                                                                        <w:top w:val="none" w:sz="0" w:space="0" w:color="auto"/>
                                                                        <w:left w:val="none" w:sz="0" w:space="0" w:color="auto"/>
                                                                        <w:bottom w:val="none" w:sz="0" w:space="0" w:color="auto"/>
                                                                        <w:right w:val="none" w:sz="0" w:space="0" w:color="auto"/>
                                                                      </w:divBdr>
                                                                      <w:divsChild>
                                                                        <w:div w:id="121477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UD_61_Ablauforganisation\AUD_QMA_61_G_Redaktionsarbeit\_1%20Handbuch\AUD_61_G_Redaktionsarbeit%20FORTLAUFEND\G_4._Skriptentwicklung\G_4._ANLAGENBAND\_320_Muster_Pr&#252;ferhilfe_A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19fc165c-b03a-401e-a201-775bc3e8c688</BSO999929>
</file>

<file path=customXml/itemProps1.xml><?xml version="1.0" encoding="utf-8"?>
<ds:datastoreItem xmlns:ds="http://schemas.openxmlformats.org/officeDocument/2006/customXml" ds:itemID="{AB2ED6DD-F03D-434B-89EE-3C1461375063}">
  <ds:schemaRefs>
    <ds:schemaRef ds:uri="http://schemas.openxmlformats.org/officeDocument/2006/bibliography"/>
  </ds:schemaRefs>
</ds:datastoreItem>
</file>

<file path=customXml/itemProps2.xml><?xml version="1.0" encoding="utf-8"?>
<ds:datastoreItem xmlns:ds="http://schemas.openxmlformats.org/officeDocument/2006/customXml" ds:itemID="{F692B5D3-F3D4-401D-A32A-C60228265034}">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_320_Muster_Prüferhilfe_A3.dotx</Template>
  <TotalTime>0</TotalTime>
  <Pages>3</Pages>
  <Words>931</Words>
  <Characters>5870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Vorlage Skript</vt:lpstr>
    </vt:vector>
  </TitlesOfParts>
  <Company>Lösle GmbH</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Skript</dc:title>
  <dc:creator>Krumbacher, Lara - LÖSLE</dc:creator>
  <cp:lastModifiedBy>Hirth, Tina - LÖSLE</cp:lastModifiedBy>
  <cp:revision>54</cp:revision>
  <cp:lastPrinted>2026-03-24T11:36:00Z</cp:lastPrinted>
  <dcterms:created xsi:type="dcterms:W3CDTF">2018-08-06T06:57:00Z</dcterms:created>
  <dcterms:modified xsi:type="dcterms:W3CDTF">2026-03-24T11:38:00Z</dcterms:modified>
</cp:coreProperties>
</file>