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630"/>
        <w:gridCol w:w="373"/>
      </w:tblGrid>
      <w:tr w:rsidR="001D5FD9" w:rsidRPr="00FC3A28" w:rsidTr="00916E09">
        <w:trPr>
          <w:cantSplit/>
          <w:trHeight w:val="738"/>
        </w:trPr>
        <w:tc>
          <w:tcPr>
            <w:tcW w:w="20655" w:type="dxa"/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1D5FD9" w:rsidRPr="00916E09" w:rsidRDefault="00107300" w:rsidP="00916E09">
            <w:pPr>
              <w:pStyle w:val="berschrift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entury Gothic" w:hAnsi="Century Gothic"/>
                <w:color w:val="228B22"/>
                <w:sz w:val="36"/>
                <w:szCs w:val="36"/>
              </w:rPr>
            </w:pPr>
            <w:r w:rsidRPr="00916E09">
              <w:rPr>
                <w:rFonts w:ascii="Century Gothic" w:hAnsi="Century Gothic"/>
                <w:color w:val="228B22"/>
                <w:sz w:val="36"/>
                <w:szCs w:val="36"/>
              </w:rPr>
              <w:t>Liste potentieller Datenpunkte – branchenunabhängige ESRS</w:t>
            </w:r>
          </w:p>
        </w:tc>
        <w:tc>
          <w:tcPr>
            <w:tcW w:w="348" w:type="dxa"/>
            <w:shd w:val="clear" w:color="auto" w:fill="C5F1C5"/>
            <w:textDirection w:val="btLr"/>
            <w:vAlign w:val="center"/>
          </w:tcPr>
          <w:p w:rsidR="001D5FD9" w:rsidRPr="00E13228" w:rsidRDefault="00EC6D5F" w:rsidP="001D5FD9">
            <w:pPr>
              <w:pStyle w:val="berschrift1"/>
              <w:numPr>
                <w:ilvl w:val="0"/>
                <w:numId w:val="0"/>
              </w:numPr>
              <w:ind w:left="822" w:right="113" w:hanging="709"/>
              <w:jc w:val="center"/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</w:pPr>
            <w:r w:rsidRPr="00EC6D5F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08/2024</w:t>
            </w:r>
            <w:r w:rsidR="00F74FC6" w:rsidRPr="00E13228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24</w:t>
            </w:r>
          </w:p>
        </w:tc>
      </w:tr>
    </w:tbl>
    <w:p w:rsidR="00F74FC6" w:rsidRDefault="00C40379" w:rsidP="00107300">
      <w:pPr>
        <w:spacing w:before="0"/>
      </w:pPr>
      <w:r w:rsidRPr="00916E0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262CD" wp14:editId="5684F191">
                <wp:simplePos x="0" y="0"/>
                <wp:positionH relativeFrom="column">
                  <wp:posOffset>8862060</wp:posOffset>
                </wp:positionH>
                <wp:positionV relativeFrom="page">
                  <wp:posOffset>1352550</wp:posOffset>
                </wp:positionV>
                <wp:extent cx="4464050" cy="745490"/>
                <wp:effectExtent l="0" t="0" r="0" b="0"/>
                <wp:wrapNone/>
                <wp:docPr id="123905" name="Textfeld 1239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244F0-EB64-4318-B37A-C035C17EDF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745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highlight w:val="darkGreen"/>
                              </w:rPr>
                              <w:t>Achtung:</w:t>
                            </w:r>
                          </w:p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14"/>
                              </w:rPr>
                              <w:t xml:space="preserve">Basiszahlenmaterial lt. Entwurf, somit vorläufig </w:t>
                            </w:r>
                            <w:r w:rsidRPr="00667F8D">
                              <w:rPr>
                                <w:rFonts w:ascii="Century Gothic" w:hAnsi="Webdings" w:cs="Arial"/>
                                <w:color w:val="000000" w:themeColor="text1"/>
                                <w:kern w:val="24"/>
                                <w:sz w:val="14"/>
                              </w:rPr>
                              <w:sym w:font="Webdings" w:char="F033"/>
                            </w:r>
                          </w:p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14"/>
                              </w:rPr>
                              <w:t xml:space="preserve">Zahlenangaben sind unverbindlich </w:t>
                            </w:r>
                            <w:r w:rsidRPr="00667F8D">
                              <w:rPr>
                                <w:rFonts w:ascii="Century Gothic" w:hAnsi="Webdings" w:cs="Arial"/>
                                <w:color w:val="000000" w:themeColor="text1"/>
                                <w:kern w:val="24"/>
                                <w:sz w:val="14"/>
                              </w:rPr>
                              <w:sym w:font="Webdings" w:char="F033"/>
                            </w:r>
                          </w:p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14"/>
                              </w:rPr>
                              <w:t xml:space="preserve">Abgrenzung Datenpunkte teils nicht eindeutig </w:t>
                            </w:r>
                            <w:r w:rsidRPr="00667F8D">
                              <w:rPr>
                                <w:rFonts w:ascii="Century Gothic" w:hAnsi="Webdings" w:cs="Arial"/>
                                <w:color w:val="000000" w:themeColor="text1"/>
                                <w:kern w:val="24"/>
                                <w:sz w:val="14"/>
                              </w:rPr>
                              <w:sym w:font="Webdings" w:char="F033"/>
                            </w:r>
                          </w:p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highlight w:val="red"/>
                              </w:rPr>
                              <w:t xml:space="preserve">Folge: </w:t>
                            </w:r>
                          </w:p>
                          <w:p w:rsidR="007E7820" w:rsidRPr="00667F8D" w:rsidRDefault="007E7820" w:rsidP="007E782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67F8D">
                              <w:rPr>
                                <w:rFonts w:ascii="Century Gothic" w:hAnsi="Century Gothic" w:cs="Arial"/>
                                <w:color w:val="000000" w:themeColor="text1"/>
                                <w:kern w:val="24"/>
                                <w:sz w:val="14"/>
                              </w:rPr>
                              <w:t xml:space="preserve"> Abweichung bei Zahlenwerten und Summen möglich </w:t>
                            </w:r>
                            <w:r w:rsidRPr="00667F8D">
                              <w:rPr>
                                <w:rFonts w:ascii="Century Gothic" w:hAnsi="Webdings" w:cs="Arial"/>
                                <w:color w:val="000000" w:themeColor="text1"/>
                                <w:kern w:val="24"/>
                                <w:sz w:val="14"/>
                              </w:rPr>
                              <w:sym w:font="Webdings" w:char="F033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62CD" id="_x0000_t202" coordsize="21600,21600" o:spt="202" path="m,l,21600r21600,l21600,xe">
                <v:stroke joinstyle="miter"/>
                <v:path gradientshapeok="t" o:connecttype="rect"/>
              </v:shapetype>
              <v:shape id="Textfeld 123904" o:spid="_x0000_s1026" type="#_x0000_t202" style="position:absolute;left:0;text-align:left;margin-left:697.8pt;margin-top:106.5pt;width:351.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" filled="f" stroked="f">
                <v:textbox style="mso-fit-shape-to-text:t">
                  <w:txbxContent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kern w:val="24"/>
                          <w:sz w:val="14"/>
                          <w:highlight w:val="darkGreen"/>
                        </w:rPr>
                        <w:t>Achtung:</w:t>
                      </w:r>
                    </w:p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14"/>
                        </w:rPr>
                        <w:t xml:space="preserve">Basiszahlenmaterial lt. Entwurf, somit vorläufig </w:t>
                      </w:r>
                      <w:r w:rsidRPr="00667F8D">
                        <w:rPr>
                          <w:rFonts w:ascii="Century Gothic" w:hAnsi="Webdings" w:cs="Arial"/>
                          <w:color w:val="000000" w:themeColor="text1"/>
                          <w:kern w:val="24"/>
                          <w:sz w:val="14"/>
                        </w:rPr>
                        <w:sym w:font="Webdings" w:char="F033"/>
                      </w:r>
                    </w:p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14"/>
                        </w:rPr>
                        <w:t xml:space="preserve">Zahlenangaben sind unverbindlich </w:t>
                      </w:r>
                      <w:r w:rsidRPr="00667F8D">
                        <w:rPr>
                          <w:rFonts w:ascii="Century Gothic" w:hAnsi="Webdings" w:cs="Arial"/>
                          <w:color w:val="000000" w:themeColor="text1"/>
                          <w:kern w:val="24"/>
                          <w:sz w:val="14"/>
                        </w:rPr>
                        <w:sym w:font="Webdings" w:char="F033"/>
                      </w:r>
                    </w:p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14"/>
                        </w:rPr>
                        <w:t xml:space="preserve">Abgrenzung Datenpunkte teils nicht eindeutig </w:t>
                      </w:r>
                      <w:r w:rsidRPr="00667F8D">
                        <w:rPr>
                          <w:rFonts w:ascii="Century Gothic" w:hAnsi="Webdings" w:cs="Arial"/>
                          <w:color w:val="000000" w:themeColor="text1"/>
                          <w:kern w:val="24"/>
                          <w:sz w:val="14"/>
                        </w:rPr>
                        <w:sym w:font="Webdings" w:char="F033"/>
                      </w:r>
                    </w:p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kern w:val="24"/>
                          <w:sz w:val="14"/>
                          <w:highlight w:val="red"/>
                        </w:rPr>
                        <w:t xml:space="preserve">Folge: </w:t>
                      </w:r>
                    </w:p>
                    <w:p w:rsidR="007E7820" w:rsidRPr="00667F8D" w:rsidRDefault="007E7820" w:rsidP="007E782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14"/>
                        </w:rPr>
                      </w:pPr>
                      <w:r w:rsidRPr="00667F8D">
                        <w:rPr>
                          <w:rFonts w:ascii="Century Gothic" w:hAnsi="Century Gothic" w:cs="Arial"/>
                          <w:color w:val="000000" w:themeColor="text1"/>
                          <w:kern w:val="24"/>
                          <w:sz w:val="14"/>
                        </w:rPr>
                        <w:t xml:space="preserve"> Abweichung bei Zahlenwerten und Summen möglich </w:t>
                      </w:r>
                      <w:r w:rsidRPr="00667F8D">
                        <w:rPr>
                          <w:rFonts w:ascii="Century Gothic" w:hAnsi="Webdings" w:cs="Arial"/>
                          <w:color w:val="000000" w:themeColor="text1"/>
                          <w:kern w:val="24"/>
                          <w:sz w:val="14"/>
                        </w:rPr>
                        <w:sym w:font="Webdings" w:char="F033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23D20" w:rsidRPr="00667F8D" w:rsidRDefault="00B23D20" w:rsidP="00247463">
      <w:pPr>
        <w:tabs>
          <w:tab w:val="left" w:pos="1134"/>
        </w:tabs>
        <w:spacing w:before="0"/>
        <w:rPr>
          <w:sz w:val="18"/>
        </w:rPr>
      </w:pPr>
      <w:r w:rsidRPr="00667F8D">
        <w:rPr>
          <w:b/>
          <w:sz w:val="18"/>
        </w:rPr>
        <w:t>Hinweis:</w:t>
      </w:r>
      <w:r w:rsidRPr="00667F8D">
        <w:rPr>
          <w:sz w:val="18"/>
        </w:rPr>
        <w:t xml:space="preserve"> </w:t>
      </w:r>
      <w:r w:rsidR="00247463">
        <w:rPr>
          <w:sz w:val="18"/>
        </w:rPr>
        <w:tab/>
      </w:r>
      <w:r w:rsidRPr="00667F8D">
        <w:rPr>
          <w:sz w:val="18"/>
        </w:rPr>
        <w:t>Zur Ermittlung der relevanten Datenpunkte für Erstellung der Nachhaltigkeitserklärung: Wesentlichkeitsanalyse notwendig</w:t>
      </w:r>
    </w:p>
    <w:p w:rsidR="00B23D20" w:rsidRPr="00667F8D" w:rsidRDefault="00B23D20" w:rsidP="00247463">
      <w:pPr>
        <w:tabs>
          <w:tab w:val="left" w:pos="1134"/>
        </w:tabs>
        <w:spacing w:before="0"/>
        <w:rPr>
          <w:sz w:val="18"/>
        </w:rPr>
      </w:pPr>
      <w:r w:rsidRPr="00667F8D">
        <w:rPr>
          <w:b/>
          <w:sz w:val="18"/>
        </w:rPr>
        <w:t>Grundlage:</w:t>
      </w:r>
      <w:r w:rsidR="00247463">
        <w:rPr>
          <w:b/>
          <w:sz w:val="18"/>
        </w:rPr>
        <w:tab/>
      </w:r>
      <w:r w:rsidRPr="00667F8D">
        <w:rPr>
          <w:sz w:val="18"/>
        </w:rPr>
        <w:t>EFRAG Entwurf Datenpunktliste vom 22.12.2023</w:t>
      </w:r>
    </w:p>
    <w:p w:rsidR="00B23D20" w:rsidRPr="00EC6D5F" w:rsidRDefault="00B23D20" w:rsidP="00107300">
      <w:pPr>
        <w:spacing w:before="0"/>
        <w:rPr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34"/>
        <w:gridCol w:w="1072"/>
        <w:gridCol w:w="236"/>
        <w:gridCol w:w="1386"/>
        <w:gridCol w:w="236"/>
        <w:gridCol w:w="898"/>
        <w:gridCol w:w="850"/>
        <w:gridCol w:w="709"/>
        <w:gridCol w:w="992"/>
        <w:gridCol w:w="236"/>
        <w:gridCol w:w="1040"/>
        <w:gridCol w:w="850"/>
        <w:gridCol w:w="3544"/>
        <w:gridCol w:w="992"/>
        <w:gridCol w:w="851"/>
        <w:gridCol w:w="236"/>
        <w:gridCol w:w="756"/>
        <w:gridCol w:w="3119"/>
        <w:gridCol w:w="992"/>
        <w:gridCol w:w="840"/>
      </w:tblGrid>
      <w:tr w:rsidR="00781089" w:rsidRPr="00F5539E" w:rsidTr="00E24BF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3BD9" w:rsidRPr="00F5539E" w:rsidRDefault="00373BD9" w:rsidP="0010730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FF0000"/>
                <w:sz w:val="16"/>
                <w:szCs w:val="16"/>
              </w:rPr>
              <w:t>„</w:t>
            </w:r>
            <w:proofErr w:type="spellStart"/>
            <w:r w:rsidRPr="00E46A62">
              <w:rPr>
                <w:b/>
                <w:color w:val="FF0000"/>
                <w:sz w:val="16"/>
                <w:szCs w:val="16"/>
              </w:rPr>
              <w:t>may</w:t>
            </w:r>
            <w:proofErr w:type="spellEnd"/>
            <w:r w:rsidRPr="00E46A62">
              <w:rPr>
                <w:b/>
                <w:color w:val="FF0000"/>
                <w:sz w:val="16"/>
                <w:szCs w:val="16"/>
              </w:rPr>
              <w:t>“ (kann)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228B22"/>
              <w:left w:val="single" w:sz="4" w:space="0" w:color="228B22"/>
              <w:bottom w:val="single" w:sz="4" w:space="0" w:color="228B22"/>
              <w:righ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„</w:t>
            </w:r>
            <w:proofErr w:type="spellStart"/>
            <w:r w:rsidRPr="00567440">
              <w:rPr>
                <w:b/>
                <w:sz w:val="16"/>
                <w:szCs w:val="16"/>
              </w:rPr>
              <w:t>shall</w:t>
            </w:r>
            <w:proofErr w:type="spellEnd"/>
            <w:r w:rsidRPr="00567440">
              <w:rPr>
                <w:b/>
                <w:sz w:val="16"/>
                <w:szCs w:val="16"/>
              </w:rPr>
              <w:t>“ (muss)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auto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 xml:space="preserve">Angaben, die erst </w:t>
            </w:r>
            <w:r w:rsidRPr="00E46A62">
              <w:rPr>
                <w:b/>
                <w:color w:val="FF0000"/>
                <w:sz w:val="16"/>
                <w:szCs w:val="16"/>
              </w:rPr>
              <w:t>zeitlich verzögert</w:t>
            </w:r>
            <w:r w:rsidRPr="00567440">
              <w:rPr>
                <w:b/>
                <w:sz w:val="16"/>
                <w:szCs w:val="16"/>
              </w:rPr>
              <w:t xml:space="preserve"> verpflichtend offenzulegen sind</w:t>
            </w:r>
          </w:p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(vgl. ESRS 1 Anlage C: Liste der schrittweisen Angabepflichten)</w:t>
            </w:r>
          </w:p>
        </w:tc>
      </w:tr>
      <w:tr w:rsidR="00667F8D" w:rsidRPr="00F5539E" w:rsidTr="00E24BF3">
        <w:trPr>
          <w:trHeight w:val="22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539E" w:rsidRPr="00F5539E" w:rsidRDefault="00F5539E" w:rsidP="0010730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B23D20">
              <w:rPr>
                <w:b/>
                <w:sz w:val="14"/>
                <w:szCs w:val="16"/>
              </w:rPr>
              <w:t>Optionale Berichtselemente (Entscheidung des Unternehmens, ob Offenlegung erfolgen soll oder nicht)</w:t>
            </w:r>
          </w:p>
        </w:tc>
        <w:tc>
          <w:tcPr>
            <w:tcW w:w="236" w:type="dxa"/>
            <w:vMerge w:val="restart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228B22"/>
              <w:lef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FF0000"/>
                <w:sz w:val="16"/>
                <w:szCs w:val="16"/>
              </w:rPr>
              <w:t xml:space="preserve">Originäre </w:t>
            </w:r>
            <w:proofErr w:type="spellStart"/>
            <w:r w:rsidRPr="00E46A62">
              <w:rPr>
                <w:b/>
                <w:color w:val="FF0000"/>
                <w:sz w:val="16"/>
                <w:szCs w:val="16"/>
              </w:rPr>
              <w:t>Angabenpflicht</w:t>
            </w:r>
            <w:proofErr w:type="spellEnd"/>
            <w:r w:rsidRPr="00E46A62">
              <w:rPr>
                <w:b/>
                <w:color w:val="FF0000"/>
                <w:sz w:val="16"/>
                <w:szCs w:val="16"/>
              </w:rPr>
              <w:t xml:space="preserve"> (unabhängig von Wesentlichkeit)</w:t>
            </w:r>
          </w:p>
        </w:tc>
        <w:tc>
          <w:tcPr>
            <w:tcW w:w="992" w:type="dxa"/>
            <w:vMerge w:val="restart"/>
            <w:tcBorders>
              <w:top w:val="single" w:sz="4" w:space="0" w:color="228B22"/>
              <w:righ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Abhängig von Wesentlichkeitsbeurteilung</w:t>
            </w:r>
          </w:p>
        </w:tc>
        <w:tc>
          <w:tcPr>
            <w:tcW w:w="236" w:type="dxa"/>
            <w:vMerge w:val="restart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Unternehmen oder Gruppen, die am Bilanzstichtag die durchschnittliche Zahl von 750 Beschäftigten während des Geschäftsjahres (ggf. auf konsolidierter Basis) nicht überschreiten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Für alle Unternehmen (unabhängig von Beschäftigtenzahl)</w:t>
            </w:r>
          </w:p>
        </w:tc>
      </w:tr>
      <w:tr w:rsidR="00667F8D" w:rsidRPr="00F5539E" w:rsidTr="00E24BF3">
        <w:trPr>
          <w:trHeight w:val="20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539E" w:rsidRPr="00F5539E" w:rsidRDefault="00F5539E" w:rsidP="0010730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left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4" w:type="dxa"/>
            <w:gridSpan w:val="3"/>
            <w:tcBorders>
              <w:lef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 xml:space="preserve">Datenpunktliste Spalte „Appendix C – MA unter 750 – </w:t>
            </w:r>
            <w:proofErr w:type="spellStart"/>
            <w:r w:rsidRPr="00567440">
              <w:rPr>
                <w:b/>
                <w:sz w:val="16"/>
                <w:szCs w:val="16"/>
              </w:rPr>
              <w:t>Phasing</w:t>
            </w:r>
            <w:proofErr w:type="spellEnd"/>
            <w:r w:rsidRPr="00567440">
              <w:rPr>
                <w:b/>
                <w:sz w:val="16"/>
                <w:szCs w:val="16"/>
              </w:rPr>
              <w:t>-in“</w:t>
            </w:r>
          </w:p>
        </w:tc>
        <w:tc>
          <w:tcPr>
            <w:tcW w:w="1843" w:type="dxa"/>
            <w:gridSpan w:val="2"/>
            <w:tcBorders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Verbleibende Pflicht-Datenpunkte im</w:t>
            </w:r>
            <w:r w:rsidRPr="00E46A62">
              <w:rPr>
                <w:b/>
                <w:color w:val="FF0000"/>
                <w:sz w:val="16"/>
                <w:szCs w:val="16"/>
              </w:rPr>
              <w:t xml:space="preserve"> 1. Jahr</w:t>
            </w:r>
          </w:p>
        </w:tc>
        <w:tc>
          <w:tcPr>
            <w:tcW w:w="236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5" w:type="dxa"/>
            <w:gridSpan w:val="2"/>
            <w:tcBorders>
              <w:lef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Datenpunkte Spalte „</w:t>
            </w:r>
            <w:proofErr w:type="spellStart"/>
            <w:r w:rsidRPr="00567440">
              <w:rPr>
                <w:b/>
                <w:sz w:val="16"/>
                <w:szCs w:val="16"/>
              </w:rPr>
              <w:t>Phasing</w:t>
            </w:r>
            <w:proofErr w:type="spellEnd"/>
            <w:r w:rsidRPr="00567440">
              <w:rPr>
                <w:b/>
                <w:sz w:val="16"/>
                <w:szCs w:val="16"/>
              </w:rPr>
              <w:t xml:space="preserve">-in alle </w:t>
            </w:r>
            <w:r w:rsidR="00247463">
              <w:rPr>
                <w:b/>
                <w:sz w:val="16"/>
                <w:szCs w:val="16"/>
              </w:rPr>
              <w:br/>
            </w:r>
            <w:r w:rsidRPr="00567440">
              <w:rPr>
                <w:b/>
                <w:sz w:val="16"/>
                <w:szCs w:val="16"/>
              </w:rPr>
              <w:t>Unternehmen“</w:t>
            </w:r>
          </w:p>
        </w:tc>
        <w:tc>
          <w:tcPr>
            <w:tcW w:w="1832" w:type="dxa"/>
            <w:gridSpan w:val="2"/>
            <w:tcBorders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F5539E" w:rsidRPr="00567440" w:rsidRDefault="00F5539E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Verbleibende Pflicht-Datenpunkte im</w:t>
            </w:r>
            <w:r w:rsidRPr="00E46A62">
              <w:rPr>
                <w:b/>
                <w:color w:val="FF0000"/>
                <w:sz w:val="16"/>
                <w:szCs w:val="16"/>
              </w:rPr>
              <w:t xml:space="preserve"> 1. Jahr</w:t>
            </w:r>
          </w:p>
        </w:tc>
      </w:tr>
      <w:tr w:rsidR="00667F8D" w:rsidRPr="00F5539E" w:rsidTr="00E24BF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3BD9" w:rsidRPr="00F5539E" w:rsidRDefault="00373BD9" w:rsidP="00373BD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0000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FF0000"/>
              <w:bottom w:val="single" w:sz="4" w:space="0" w:color="FFFFFF" w:themeColor="background1"/>
              <w:right w:val="single" w:sz="4" w:space="0" w:color="228B22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  <w:righ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228B22"/>
              <w:bottom w:val="single" w:sz="4" w:space="0" w:color="FFFFFF" w:themeColor="background1"/>
              <w:right w:val="single" w:sz="4" w:space="0" w:color="00B0F0"/>
            </w:tcBorders>
            <w:shd w:val="clear" w:color="auto" w:fill="auto"/>
            <w:vAlign w:val="center"/>
          </w:tcPr>
          <w:p w:rsidR="00373BD9" w:rsidRPr="00567440" w:rsidRDefault="00373BD9" w:rsidP="00F5539E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i/>
                <w:sz w:val="14"/>
                <w:szCs w:val="16"/>
              </w:rPr>
            </w:pPr>
            <w:r w:rsidRPr="00667F8D">
              <w:rPr>
                <w:b/>
                <w:i/>
                <w:sz w:val="14"/>
                <w:szCs w:val="16"/>
              </w:rPr>
              <w:t>Bezogen auf „total“-Angaben (nur nachrichtlich)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Bezogen auf „</w:t>
            </w:r>
            <w:proofErr w:type="spellStart"/>
            <w:r w:rsidRPr="00667F8D">
              <w:rPr>
                <w:b/>
                <w:sz w:val="14"/>
                <w:szCs w:val="16"/>
              </w:rPr>
              <w:t>shall</w:t>
            </w:r>
            <w:proofErr w:type="spellEnd"/>
            <w:r w:rsidRPr="00667F8D">
              <w:rPr>
                <w:b/>
                <w:sz w:val="14"/>
                <w:szCs w:val="16"/>
              </w:rPr>
              <w:t>“-Werte</w:t>
            </w:r>
          </w:p>
        </w:tc>
        <w:tc>
          <w:tcPr>
            <w:tcW w:w="354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Unabhängig von Wesentlichkeit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Abhängig von Wesentlichkeit</w:t>
            </w:r>
          </w:p>
        </w:tc>
        <w:tc>
          <w:tcPr>
            <w:tcW w:w="236" w:type="dxa"/>
            <w:tcBorders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auto" w:fill="auto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Bezogen auf „total“-Angaben</w:t>
            </w:r>
          </w:p>
        </w:tc>
        <w:tc>
          <w:tcPr>
            <w:tcW w:w="311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Unabhängig von Wesentlichkeit</w:t>
            </w:r>
          </w:p>
        </w:tc>
        <w:tc>
          <w:tcPr>
            <w:tcW w:w="840" w:type="dxa"/>
            <w:tcBorders>
              <w:bottom w:val="single" w:sz="4" w:space="0" w:color="FFFFFF" w:themeColor="background1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373BD9" w:rsidRPr="00667F8D" w:rsidRDefault="00373BD9" w:rsidP="00F5539E">
            <w:pPr>
              <w:spacing w:before="0"/>
              <w:jc w:val="center"/>
              <w:rPr>
                <w:b/>
                <w:sz w:val="14"/>
                <w:szCs w:val="16"/>
              </w:rPr>
            </w:pPr>
            <w:r w:rsidRPr="00667F8D">
              <w:rPr>
                <w:b/>
                <w:sz w:val="14"/>
                <w:szCs w:val="16"/>
              </w:rPr>
              <w:t>Abhängig von Wesentlichkeit</w:t>
            </w:r>
          </w:p>
        </w:tc>
      </w:tr>
      <w:tr w:rsidR="00667F8D" w:rsidRPr="00F5539E" w:rsidTr="00E24BF3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1</w:t>
            </w:r>
          </w:p>
        </w:tc>
        <w:tc>
          <w:tcPr>
            <w:tcW w:w="1072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FFFFFF" w:themeColor="background1"/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E46A62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46A62">
              <w:rPr>
                <w:b/>
                <w:sz w:val="16"/>
                <w:szCs w:val="16"/>
              </w:rPr>
              <w:t>keine -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FFFFFF" w:themeColor="background1"/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46A62">
              <w:rPr>
                <w:b/>
                <w:sz w:val="16"/>
                <w:szCs w:val="16"/>
              </w:rPr>
              <w:t>keine -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FFFFFF" w:themeColor="background1"/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2</w:t>
            </w:r>
          </w:p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(ohne MDR)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 w:rsidRPr="00E46A62">
              <w:rPr>
                <w:sz w:val="16"/>
                <w:szCs w:val="16"/>
              </w:rPr>
              <w:t>153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color w:val="FF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C5F1C5"/>
          </w:tcPr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Summe</w:t>
            </w:r>
          </w:p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C5F1C5"/>
          </w:tcPr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2 MDR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color w:val="228B22"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32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46A62">
              <w:rPr>
                <w:b/>
                <w:color w:val="228B22"/>
                <w:sz w:val="16"/>
                <w:szCs w:val="16"/>
              </w:rPr>
              <w:t>32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E1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E1.IRO-1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46A62" w:rsidRPr="00667F8D" w:rsidRDefault="00B23D20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E1-</w:t>
            </w:r>
            <w:r w:rsidR="00667F8D">
              <w:rPr>
                <w:sz w:val="14"/>
                <w:szCs w:val="14"/>
              </w:rPr>
              <w:t>6</w:t>
            </w:r>
            <w:r w:rsidRPr="00667F8D">
              <w:rPr>
                <w:sz w:val="14"/>
                <w:szCs w:val="14"/>
              </w:rPr>
              <w:t xml:space="preserve"> zu Scope-3- und THG-Emissionen können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im 1. Jahr </w:t>
            </w:r>
            <w:r w:rsidRPr="00667F8D">
              <w:rPr>
                <w:sz w:val="14"/>
                <w:szCs w:val="14"/>
              </w:rPr>
              <w:t xml:space="preserve">der Erstellung NHB weggelassen werden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46A62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E1-</w:t>
            </w:r>
            <w:r>
              <w:rPr>
                <w:sz w:val="14"/>
                <w:szCs w:val="14"/>
              </w:rPr>
              <w:t>9</w:t>
            </w:r>
            <w:r w:rsidRPr="00667F8D">
              <w:rPr>
                <w:sz w:val="14"/>
                <w:szCs w:val="14"/>
              </w:rPr>
              <w:t xml:space="preserve"> zu Scope-3- und THG-Emissionen können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im 1. Jahr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</w:tr>
      <w:tr w:rsidR="007365CA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365CA" w:rsidRPr="00567440" w:rsidRDefault="007365CA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E2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E1.IRO-1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443E33" w:rsidRDefault="007365CA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Datenpunkte zur erwarteten finanziellen Auswirkung im Zusammenhang mit Umweltverschmutzung, Wasser/Meeresressourcen, biologischer Vielfalt/Ökosystemen, Ressourcennutzung/Kreislaufwirtschaft können </w:t>
            </w:r>
            <w:r w:rsidRPr="007365CA">
              <w:rPr>
                <w:b/>
                <w:color w:val="FF0000"/>
                <w:sz w:val="14"/>
                <w:szCs w:val="14"/>
              </w:rPr>
              <w:t>im 1. Jahr</w:t>
            </w:r>
            <w:r>
              <w:rPr>
                <w:sz w:val="14"/>
                <w:szCs w:val="14"/>
              </w:rPr>
              <w:t xml:space="preserve"> weggelassen werden (</w:t>
            </w:r>
            <w:r w:rsidRPr="007365CA">
              <w:rPr>
                <w:b/>
                <w:color w:val="FF0000"/>
                <w:sz w:val="14"/>
                <w:szCs w:val="14"/>
              </w:rPr>
              <w:t>ggf. in Jahr 1-3</w:t>
            </w:r>
            <w:r w:rsidRPr="007365CA">
              <w:rPr>
                <w:b/>
                <w:sz w:val="14"/>
                <w:szCs w:val="14"/>
              </w:rPr>
              <w:t xml:space="preserve"> nur qualitative Angaben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7365CA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365CA" w:rsidRPr="00567440" w:rsidRDefault="007365CA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E3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E1.IRO-1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443E33" w:rsidRDefault="007365CA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365CA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365CA" w:rsidRPr="00567440" w:rsidRDefault="007365CA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E4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E1.IRO-1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443E33" w:rsidRDefault="007365CA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111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Alle in E4 gemeldeten Datenpunkte (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außer </w:t>
            </w:r>
            <w:r w:rsidR="00247463">
              <w:rPr>
                <w:b/>
                <w:color w:val="FF0000"/>
                <w:sz w:val="14"/>
                <w:szCs w:val="14"/>
              </w:rPr>
              <w:br/>
            </w:r>
            <w:r w:rsidRPr="00667F8D">
              <w:rPr>
                <w:b/>
                <w:color w:val="FF0000"/>
                <w:sz w:val="14"/>
                <w:szCs w:val="14"/>
              </w:rPr>
              <w:t>IRO-1</w:t>
            </w:r>
            <w:r w:rsidRPr="00667F8D">
              <w:rPr>
                <w:sz w:val="14"/>
                <w:szCs w:val="14"/>
              </w:rPr>
              <w:t xml:space="preserve">) können in den </w:t>
            </w:r>
            <w:r w:rsidRPr="00667F8D">
              <w:rPr>
                <w:b/>
                <w:color w:val="FF0000"/>
                <w:sz w:val="14"/>
                <w:szCs w:val="14"/>
              </w:rPr>
              <w:t>ersten 2 Jahren</w:t>
            </w:r>
            <w:r w:rsidRPr="00667F8D">
              <w:rPr>
                <w:sz w:val="14"/>
                <w:szCs w:val="14"/>
              </w:rPr>
              <w:t xml:space="preserve">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365CA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365CA" w:rsidRPr="00567440" w:rsidRDefault="007365CA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E5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E1.IRO-1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443E33" w:rsidRDefault="007365CA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7365CA" w:rsidRPr="00667F8D" w:rsidRDefault="007365CA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7365CA" w:rsidRPr="00F5539E" w:rsidRDefault="007365CA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C5F1C5"/>
          </w:tcPr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Summe</w:t>
            </w:r>
          </w:p>
          <w:p w:rsidR="00E46A62" w:rsidRPr="00567440" w:rsidRDefault="00E46A62" w:rsidP="0056744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E1-E5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554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379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sz w:val="16"/>
                <w:szCs w:val="16"/>
              </w:rPr>
              <w:t>123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3544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119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338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S1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60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205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46A62" w:rsidRPr="00667F8D" w:rsidRDefault="00B23D20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S1 können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im 1. Jahr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46A62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S1</w:t>
            </w:r>
            <w:r>
              <w:rPr>
                <w:sz w:val="14"/>
                <w:szCs w:val="14"/>
              </w:rPr>
              <w:t>-7; S1-8, S1-11 bis S1-15</w:t>
            </w:r>
            <w:r w:rsidRPr="00667F8D">
              <w:rPr>
                <w:sz w:val="14"/>
                <w:szCs w:val="14"/>
              </w:rPr>
              <w:t xml:space="preserve"> können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im 1. Jahr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E46A62" w:rsidRPr="00F5539E" w:rsidRDefault="00E46A62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67F8D" w:rsidRPr="00567440" w:rsidRDefault="00667F8D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S2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443E33" w:rsidRDefault="00667F8D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667F8D" w:rsidRPr="00667F8D" w:rsidRDefault="00667F8D" w:rsidP="00667F8D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</w:t>
            </w:r>
            <w:r>
              <w:rPr>
                <w:sz w:val="14"/>
                <w:szCs w:val="14"/>
              </w:rPr>
              <w:t>2</w:t>
            </w:r>
            <w:r w:rsidRPr="00667F8D">
              <w:rPr>
                <w:sz w:val="14"/>
                <w:szCs w:val="14"/>
              </w:rPr>
              <w:t xml:space="preserve"> können in den </w:t>
            </w:r>
            <w:r>
              <w:rPr>
                <w:b/>
                <w:color w:val="FF0000"/>
                <w:sz w:val="14"/>
                <w:szCs w:val="14"/>
              </w:rPr>
              <w:t>ersten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4"/>
                <w:szCs w:val="14"/>
              </w:rPr>
              <w:t xml:space="preserve">2 </w:t>
            </w:r>
            <w:r w:rsidR="00247463">
              <w:rPr>
                <w:b/>
                <w:color w:val="FF0000"/>
                <w:sz w:val="14"/>
                <w:szCs w:val="14"/>
              </w:rPr>
              <w:br/>
            </w:r>
            <w:r w:rsidRPr="00667F8D">
              <w:rPr>
                <w:b/>
                <w:color w:val="FF0000"/>
                <w:sz w:val="14"/>
                <w:szCs w:val="14"/>
              </w:rPr>
              <w:t>Jahr</w:t>
            </w:r>
            <w:r>
              <w:rPr>
                <w:b/>
                <w:color w:val="FF0000"/>
                <w:sz w:val="14"/>
                <w:szCs w:val="14"/>
              </w:rPr>
              <w:t>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667F8D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</w:t>
            </w:r>
            <w:r>
              <w:rPr>
                <w:sz w:val="14"/>
                <w:szCs w:val="14"/>
              </w:rPr>
              <w:t>2</w:t>
            </w:r>
            <w:r w:rsidRPr="00667F8D">
              <w:rPr>
                <w:sz w:val="14"/>
                <w:szCs w:val="14"/>
              </w:rPr>
              <w:t xml:space="preserve"> können in den </w:t>
            </w:r>
            <w:r>
              <w:rPr>
                <w:b/>
                <w:color w:val="FF0000"/>
                <w:sz w:val="14"/>
                <w:szCs w:val="14"/>
              </w:rPr>
              <w:t>ersten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4"/>
                <w:szCs w:val="14"/>
              </w:rPr>
              <w:t xml:space="preserve">2 </w:t>
            </w:r>
            <w:r w:rsidRPr="00667F8D">
              <w:rPr>
                <w:b/>
                <w:color w:val="FF0000"/>
                <w:sz w:val="14"/>
                <w:szCs w:val="14"/>
              </w:rPr>
              <w:t>Jahr</w:t>
            </w:r>
            <w:r>
              <w:rPr>
                <w:b/>
                <w:color w:val="FF0000"/>
                <w:sz w:val="14"/>
                <w:szCs w:val="14"/>
              </w:rPr>
              <w:t>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667F8D">
              <w:rPr>
                <w:sz w:val="14"/>
                <w:szCs w:val="14"/>
              </w:rPr>
              <w:t>der Erstellung NHB weggelassen werden</w:t>
            </w:r>
            <w:r>
              <w:rPr>
                <w:sz w:val="14"/>
                <w:szCs w:val="14"/>
              </w:rPr>
              <w:t xml:space="preserve">; </w:t>
            </w:r>
            <w:r w:rsidRPr="00667F8D">
              <w:rPr>
                <w:b/>
                <w:color w:val="FF0000"/>
                <w:sz w:val="14"/>
                <w:szCs w:val="14"/>
              </w:rPr>
              <w:t>dies gilt nicht, wenn S2 w</w:t>
            </w:r>
            <w:r w:rsidR="00247463">
              <w:rPr>
                <w:b/>
                <w:color w:val="FF0000"/>
                <w:sz w:val="14"/>
                <w:szCs w:val="14"/>
              </w:rPr>
              <w:t>e</w:t>
            </w:r>
            <w:r w:rsidRPr="00667F8D">
              <w:rPr>
                <w:b/>
                <w:color w:val="FF0000"/>
                <w:sz w:val="14"/>
                <w:szCs w:val="14"/>
              </w:rPr>
              <w:t>sentlich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67F8D" w:rsidRPr="00567440" w:rsidRDefault="00667F8D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S3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E46A62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443E33" w:rsidRDefault="00667F8D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667F8D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</w:t>
            </w:r>
            <w:r>
              <w:rPr>
                <w:sz w:val="14"/>
                <w:szCs w:val="14"/>
              </w:rPr>
              <w:t>3</w:t>
            </w:r>
            <w:r w:rsidRPr="00667F8D">
              <w:rPr>
                <w:sz w:val="14"/>
                <w:szCs w:val="14"/>
              </w:rPr>
              <w:t xml:space="preserve"> können in den </w:t>
            </w:r>
            <w:r>
              <w:rPr>
                <w:b/>
                <w:color w:val="FF0000"/>
                <w:sz w:val="14"/>
                <w:szCs w:val="14"/>
              </w:rPr>
              <w:t>ersten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4"/>
                <w:szCs w:val="14"/>
              </w:rPr>
              <w:t xml:space="preserve">2 </w:t>
            </w:r>
            <w:r w:rsidR="00247463">
              <w:rPr>
                <w:b/>
                <w:color w:val="FF0000"/>
                <w:sz w:val="14"/>
                <w:szCs w:val="14"/>
              </w:rPr>
              <w:br/>
            </w:r>
            <w:r w:rsidRPr="00667F8D">
              <w:rPr>
                <w:b/>
                <w:color w:val="FF0000"/>
                <w:sz w:val="14"/>
                <w:szCs w:val="14"/>
              </w:rPr>
              <w:t>Jahr</w:t>
            </w:r>
            <w:r>
              <w:rPr>
                <w:b/>
                <w:color w:val="FF0000"/>
                <w:sz w:val="14"/>
                <w:szCs w:val="14"/>
              </w:rPr>
              <w:t>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667F8D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67F8D" w:rsidRPr="00567440" w:rsidRDefault="00667F8D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S4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443E33" w:rsidRDefault="00667F8D" w:rsidP="0056744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443E33">
              <w:rPr>
                <w:i/>
                <w:sz w:val="16"/>
                <w:szCs w:val="16"/>
              </w:rPr>
              <w:t>73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667F8D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  <w:r w:rsidRPr="00667F8D">
              <w:rPr>
                <w:sz w:val="14"/>
                <w:szCs w:val="14"/>
              </w:rPr>
              <w:t>Datenpunkte zu S</w:t>
            </w:r>
            <w:r>
              <w:rPr>
                <w:sz w:val="14"/>
                <w:szCs w:val="14"/>
              </w:rPr>
              <w:t>4</w:t>
            </w:r>
            <w:r w:rsidRPr="00667F8D">
              <w:rPr>
                <w:sz w:val="14"/>
                <w:szCs w:val="14"/>
              </w:rPr>
              <w:t xml:space="preserve"> können in den </w:t>
            </w:r>
            <w:r>
              <w:rPr>
                <w:b/>
                <w:color w:val="FF0000"/>
                <w:sz w:val="14"/>
                <w:szCs w:val="14"/>
              </w:rPr>
              <w:t xml:space="preserve">ersten 2 </w:t>
            </w:r>
            <w:r w:rsidR="00247463">
              <w:rPr>
                <w:b/>
                <w:color w:val="FF0000"/>
                <w:sz w:val="14"/>
                <w:szCs w:val="14"/>
              </w:rPr>
              <w:br/>
            </w:r>
            <w:r w:rsidRPr="00667F8D">
              <w:rPr>
                <w:b/>
                <w:color w:val="FF0000"/>
                <w:sz w:val="14"/>
                <w:szCs w:val="14"/>
              </w:rPr>
              <w:t>Jahr</w:t>
            </w:r>
            <w:r>
              <w:rPr>
                <w:b/>
                <w:color w:val="FF0000"/>
                <w:sz w:val="14"/>
                <w:szCs w:val="14"/>
              </w:rPr>
              <w:t>en</w:t>
            </w:r>
            <w:r w:rsidRPr="00667F8D">
              <w:rPr>
                <w:b/>
                <w:color w:val="FF0000"/>
                <w:sz w:val="14"/>
                <w:szCs w:val="14"/>
              </w:rPr>
              <w:t xml:space="preserve"> </w:t>
            </w:r>
            <w:r w:rsidRPr="00667F8D">
              <w:rPr>
                <w:sz w:val="14"/>
                <w:szCs w:val="14"/>
              </w:rPr>
              <w:t>der Erstellung NHB weggelassen werden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667F8D" w:rsidRPr="00667F8D" w:rsidRDefault="00667F8D" w:rsidP="0056744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F2F2F2" w:themeFill="background1" w:themeFillShade="F2"/>
            <w:vAlign w:val="center"/>
          </w:tcPr>
          <w:p w:rsidR="00667F8D" w:rsidRPr="00F5539E" w:rsidRDefault="00667F8D" w:rsidP="0056744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C5F1C5"/>
          </w:tcPr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Summe</w:t>
            </w:r>
          </w:p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S1-S4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sz w:val="16"/>
                <w:szCs w:val="16"/>
              </w:rPr>
              <w:t>427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</w:t>
            </w:r>
          </w:p>
        </w:tc>
        <w:tc>
          <w:tcPr>
            <w:tcW w:w="3544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119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</w:tr>
      <w:tr w:rsidR="00667F8D" w:rsidRPr="00F5539E" w:rsidTr="00667F8D">
        <w:tc>
          <w:tcPr>
            <w:tcW w:w="1134" w:type="dxa"/>
            <w:tcBorders>
              <w:right w:val="single" w:sz="4" w:space="0" w:color="auto"/>
            </w:tcBorders>
            <w:shd w:val="clear" w:color="auto" w:fill="C5F1C5"/>
          </w:tcPr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ESRS G1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left w:val="single" w:sz="4" w:space="0" w:color="FF0000"/>
              <w:right w:val="single" w:sz="4" w:space="0" w:color="228B22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228B22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6" w:type="dxa"/>
            <w:tcBorders>
              <w:left w:val="single" w:sz="4" w:space="0" w:color="228B22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6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C5F1C5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right w:val="single" w:sz="4" w:space="0" w:color="00B0F0"/>
            </w:tcBorders>
            <w:shd w:val="clear" w:color="auto" w:fill="C5F1C5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</w:tr>
      <w:tr w:rsidR="00667F8D" w:rsidRPr="00F5539E" w:rsidTr="00667F8D"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E46A62" w:rsidRPr="00567440" w:rsidRDefault="00E46A62" w:rsidP="00107300">
            <w:pPr>
              <w:spacing w:before="0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Gesamt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567440">
              <w:rPr>
                <w:b/>
                <w:sz w:val="16"/>
                <w:szCs w:val="16"/>
              </w:rPr>
              <w:t>1.221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000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E46A62" w:rsidRPr="00E46A62" w:rsidRDefault="00E46A62" w:rsidP="00567440">
            <w:pPr>
              <w:spacing w:befor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281</w:t>
            </w:r>
          </w:p>
        </w:tc>
        <w:tc>
          <w:tcPr>
            <w:tcW w:w="236" w:type="dxa"/>
            <w:tcBorders>
              <w:left w:val="single" w:sz="4" w:space="0" w:color="FF0000"/>
              <w:bottom w:val="single" w:sz="4" w:space="0" w:color="FFFFFF" w:themeColor="background1"/>
              <w:right w:val="single" w:sz="4" w:space="0" w:color="228B22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228B22"/>
              <w:bottom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940</w:t>
            </w:r>
          </w:p>
        </w:tc>
        <w:tc>
          <w:tcPr>
            <w:tcW w:w="850" w:type="dxa"/>
            <w:tcBorders>
              <w:bottom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bottom w:val="single" w:sz="4" w:space="0" w:color="228B22"/>
              <w:right w:val="single" w:sz="4" w:space="0" w:color="228B22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757</w:t>
            </w:r>
          </w:p>
        </w:tc>
        <w:tc>
          <w:tcPr>
            <w:tcW w:w="236" w:type="dxa"/>
            <w:tcBorders>
              <w:left w:val="single" w:sz="4" w:space="0" w:color="228B22"/>
              <w:bottom w:val="single" w:sz="4" w:space="0" w:color="FFFFFF" w:themeColor="background1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00B0F0"/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443E33" w:rsidRDefault="00E46A62" w:rsidP="00567440">
            <w:pPr>
              <w:spacing w:before="0"/>
              <w:jc w:val="center"/>
              <w:rPr>
                <w:b/>
                <w:i/>
                <w:sz w:val="16"/>
                <w:szCs w:val="16"/>
              </w:rPr>
            </w:pPr>
            <w:r w:rsidRPr="00443E33">
              <w:rPr>
                <w:b/>
                <w:i/>
                <w:sz w:val="16"/>
                <w:szCs w:val="16"/>
              </w:rPr>
              <w:t>557</w:t>
            </w:r>
          </w:p>
        </w:tc>
        <w:tc>
          <w:tcPr>
            <w:tcW w:w="850" w:type="dxa"/>
            <w:tcBorders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</w:t>
            </w:r>
          </w:p>
        </w:tc>
        <w:tc>
          <w:tcPr>
            <w:tcW w:w="3544" w:type="dxa"/>
            <w:tcBorders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bottom w:val="single" w:sz="4" w:space="0" w:color="00B0F0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395</w:t>
            </w:r>
          </w:p>
        </w:tc>
        <w:tc>
          <w:tcPr>
            <w:tcW w:w="236" w:type="dxa"/>
            <w:tcBorders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auto" w:fill="auto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00B0F0"/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667F8D" w:rsidRDefault="00E46A62" w:rsidP="00567440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840" w:type="dxa"/>
            <w:tcBorders>
              <w:bottom w:val="single" w:sz="4" w:space="0" w:color="00B0F0"/>
              <w:right w:val="single" w:sz="4" w:space="0" w:color="00B0F0"/>
            </w:tcBorders>
            <w:shd w:val="clear" w:color="auto" w:fill="D9D9D9" w:themeFill="background1" w:themeFillShade="D9"/>
            <w:vAlign w:val="center"/>
          </w:tcPr>
          <w:p w:rsidR="00E46A62" w:rsidRPr="00567440" w:rsidRDefault="00E46A62" w:rsidP="0056744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675</w:t>
            </w:r>
          </w:p>
        </w:tc>
      </w:tr>
    </w:tbl>
    <w:p w:rsidR="00107300" w:rsidRPr="00FC3A28" w:rsidRDefault="00107300" w:rsidP="00107300">
      <w:pPr>
        <w:spacing w:before="0"/>
      </w:pPr>
    </w:p>
    <w:sectPr w:rsidR="00107300" w:rsidRPr="00FC3A28" w:rsidSect="00CB1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1328" w:right="1701" w:bottom="1701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71" w:rsidRDefault="00295471">
      <w:pPr>
        <w:spacing w:before="0"/>
      </w:pPr>
      <w:r>
        <w:separator/>
      </w:r>
    </w:p>
  </w:endnote>
  <w:endnote w:type="continuationSeparator" w:id="0">
    <w:p w:rsidR="00295471" w:rsidRDefault="002954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5F" w:rsidRDefault="00EC6D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81" w:rsidRPr="00870FFE" w:rsidRDefault="00773881" w:rsidP="00773881">
    <w:pPr>
      <w:tabs>
        <w:tab w:val="center" w:pos="4536"/>
        <w:tab w:val="right" w:pos="9072"/>
      </w:tabs>
      <w:spacing w:before="520" w:after="120"/>
      <w:jc w:val="center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sz w:val="20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823861580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sz w:val="20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A04102">
      <w:rPr>
        <w:rFonts w:eastAsiaTheme="minorHAnsi" w:cstheme="minorBidi"/>
        <w:b/>
        <w:color w:val="228B22"/>
        <w:sz w:val="20"/>
        <w:lang w:eastAsia="en-US"/>
      </w:rPr>
      <w:t>AUDfIT</w:t>
    </w:r>
    <w:r w:rsidRPr="00A04102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A04102">
      <w:rPr>
        <w:rFonts w:eastAsiaTheme="minorHAnsi" w:cstheme="minorBidi"/>
        <w:b/>
        <w:color w:val="228B22"/>
        <w:sz w:val="20"/>
        <w:lang w:eastAsia="en-US"/>
      </w:rPr>
      <w:t>-</w:t>
    </w:r>
    <w:r>
      <w:rPr>
        <w:rFonts w:eastAsiaTheme="minorHAnsi" w:cstheme="minorBidi"/>
        <w:b/>
        <w:color w:val="228B22"/>
        <w:sz w:val="20"/>
        <w:lang w:eastAsia="en-US"/>
      </w:rPr>
      <w:t>Prüferhilfe xxx</w:t>
    </w:r>
  </w:p>
  <w:p w:rsidR="001E1F96" w:rsidRPr="00773881" w:rsidRDefault="001E1F96" w:rsidP="00773881">
    <w:pPr>
      <w:pStyle w:val="Fuzeile"/>
      <w:rPr>
        <w:rFonts w:eastAsia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094"/>
      <w:gridCol w:w="5095"/>
      <w:gridCol w:w="5095"/>
      <w:gridCol w:w="5095"/>
    </w:tblGrid>
    <w:tr w:rsidR="00CB1D2D" w:rsidTr="0001466E">
      <w:trPr>
        <w:trHeight w:hRule="exact" w:val="1191"/>
      </w:trPr>
      <w:tc>
        <w:tcPr>
          <w:tcW w:w="5094" w:type="dxa"/>
          <w:vAlign w:val="bottom"/>
          <w:hideMark/>
        </w:tcPr>
        <w:p w:rsidR="00CB1D2D" w:rsidRDefault="00CB1D2D" w:rsidP="00CB1D2D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bookmarkStart w:id="0" w:name="_GoBack"/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B1D2D" w:rsidRDefault="00CB1D2D" w:rsidP="00CB1D2D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ESG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 2024</w:t>
          </w:r>
        </w:p>
      </w:tc>
      <w:tc>
        <w:tcPr>
          <w:tcW w:w="5095" w:type="dxa"/>
          <w:vAlign w:val="bottom"/>
          <w:hideMark/>
        </w:tcPr>
        <w:p w:rsidR="00CB1D2D" w:rsidRDefault="00CB1D2D" w:rsidP="00CB1D2D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FC61A41" wp14:editId="3DE9D65A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Align w:val="bottom"/>
          <w:hideMark/>
        </w:tcPr>
        <w:p w:rsidR="00CB1D2D" w:rsidRDefault="00CB1D2D" w:rsidP="00CB1D2D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4ED11103" wp14:editId="45868385">
                <wp:extent cx="11512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Align w:val="bottom"/>
          <w:hideMark/>
        </w:tcPr>
        <w:p w:rsidR="00CB1D2D" w:rsidRDefault="00CB1D2D" w:rsidP="00CB1D2D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/2</w:t>
          </w:r>
        </w:p>
        <w:p w:rsidR="00CB1D2D" w:rsidRDefault="00CB1D2D" w:rsidP="00CB1D2D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  <w:bookmarkEnd w:id="0"/>
  </w:tbl>
  <w:p w:rsidR="001E1F96" w:rsidRPr="00CB1D2D" w:rsidRDefault="001E1F96" w:rsidP="00CB1D2D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71" w:rsidRPr="00EE217B" w:rsidRDefault="00295471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295471" w:rsidRPr="00711AB6" w:rsidRDefault="00295471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5F" w:rsidRDefault="00EC6D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5F" w:rsidRDefault="00EC6D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107300" w:rsidRDefault="001E1F96" w:rsidP="00357A40">
    <w:pPr>
      <w:pStyle w:val="Kopfzeile"/>
      <w:pBdr>
        <w:bottom w:val="none" w:sz="0" w:space="0" w:color="auto"/>
      </w:pBd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B80CDC"/>
    <w:multiLevelType w:val="hybridMultilevel"/>
    <w:tmpl w:val="EAAEB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BE6767"/>
    <w:multiLevelType w:val="hybridMultilevel"/>
    <w:tmpl w:val="5602E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983AFD"/>
    <w:multiLevelType w:val="hybridMultilevel"/>
    <w:tmpl w:val="7EAAC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FA8"/>
    <w:multiLevelType w:val="hybridMultilevel"/>
    <w:tmpl w:val="927AC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40F47"/>
    <w:multiLevelType w:val="hybridMultilevel"/>
    <w:tmpl w:val="8C3EB826"/>
    <w:lvl w:ilvl="0" w:tplc="ACCA561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0D313D4"/>
    <w:multiLevelType w:val="hybridMultilevel"/>
    <w:tmpl w:val="C818F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B5E3B"/>
    <w:multiLevelType w:val="hybridMultilevel"/>
    <w:tmpl w:val="A6580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67258"/>
    <w:multiLevelType w:val="hybridMultilevel"/>
    <w:tmpl w:val="C4766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E140B"/>
    <w:multiLevelType w:val="hybridMultilevel"/>
    <w:tmpl w:val="53F65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E4886"/>
    <w:multiLevelType w:val="hybridMultilevel"/>
    <w:tmpl w:val="2108795C"/>
    <w:lvl w:ilvl="0" w:tplc="70141E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9A7E25"/>
    <w:multiLevelType w:val="hybridMultilevel"/>
    <w:tmpl w:val="24DC7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612F3"/>
    <w:multiLevelType w:val="hybridMultilevel"/>
    <w:tmpl w:val="641E3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788D"/>
    <w:multiLevelType w:val="hybridMultilevel"/>
    <w:tmpl w:val="F77268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3139C"/>
    <w:multiLevelType w:val="hybridMultilevel"/>
    <w:tmpl w:val="015C8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6396A"/>
    <w:multiLevelType w:val="hybridMultilevel"/>
    <w:tmpl w:val="A76EC6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E4D0CE9"/>
    <w:multiLevelType w:val="hybridMultilevel"/>
    <w:tmpl w:val="D0AAB8C6"/>
    <w:lvl w:ilvl="0" w:tplc="C190464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F3547"/>
    <w:multiLevelType w:val="hybridMultilevel"/>
    <w:tmpl w:val="30941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9"/>
  </w:num>
  <w:num w:numId="12">
    <w:abstractNumId w:val="16"/>
  </w:num>
  <w:num w:numId="13">
    <w:abstractNumId w:val="17"/>
  </w:num>
  <w:num w:numId="14">
    <w:abstractNumId w:val="28"/>
  </w:num>
  <w:num w:numId="15">
    <w:abstractNumId w:val="20"/>
  </w:num>
  <w:num w:numId="16">
    <w:abstractNumId w:val="18"/>
  </w:num>
  <w:num w:numId="17">
    <w:abstractNumId w:val="24"/>
  </w:num>
  <w:num w:numId="18">
    <w:abstractNumId w:val="30"/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5"/>
  </w:num>
  <w:num w:numId="23">
    <w:abstractNumId w:val="8"/>
  </w:num>
  <w:num w:numId="24">
    <w:abstractNumId w:val="19"/>
  </w:num>
  <w:num w:numId="25">
    <w:abstractNumId w:val="10"/>
  </w:num>
  <w:num w:numId="26">
    <w:abstractNumId w:val="23"/>
  </w:num>
  <w:num w:numId="27">
    <w:abstractNumId w:val="14"/>
  </w:num>
  <w:num w:numId="28">
    <w:abstractNumId w:val="27"/>
  </w:num>
  <w:num w:numId="29">
    <w:abstractNumId w:val="31"/>
  </w:num>
  <w:num w:numId="30">
    <w:abstractNumId w:val="21"/>
  </w:num>
  <w:num w:numId="31">
    <w:abstractNumId w:val="11"/>
  </w:num>
  <w:num w:numId="32">
    <w:abstractNumId w:val="26"/>
  </w:num>
  <w:num w:numId="33">
    <w:abstractNumId w:val="15"/>
  </w:num>
  <w:num w:numId="3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1"/>
    <w:rsid w:val="00002230"/>
    <w:rsid w:val="00002EED"/>
    <w:rsid w:val="000030A9"/>
    <w:rsid w:val="000071AC"/>
    <w:rsid w:val="0001477C"/>
    <w:rsid w:val="000250E6"/>
    <w:rsid w:val="0003242D"/>
    <w:rsid w:val="0004061E"/>
    <w:rsid w:val="00045816"/>
    <w:rsid w:val="0005326E"/>
    <w:rsid w:val="000616B8"/>
    <w:rsid w:val="000624F6"/>
    <w:rsid w:val="00064F40"/>
    <w:rsid w:val="00075E7C"/>
    <w:rsid w:val="00080B9A"/>
    <w:rsid w:val="00086B8A"/>
    <w:rsid w:val="00097B2B"/>
    <w:rsid w:val="000B1337"/>
    <w:rsid w:val="000E26F7"/>
    <w:rsid w:val="000E6F3B"/>
    <w:rsid w:val="000E7FEB"/>
    <w:rsid w:val="00107300"/>
    <w:rsid w:val="00111AC6"/>
    <w:rsid w:val="00113DF0"/>
    <w:rsid w:val="00117AB2"/>
    <w:rsid w:val="001205E2"/>
    <w:rsid w:val="001227C6"/>
    <w:rsid w:val="00127563"/>
    <w:rsid w:val="00143F11"/>
    <w:rsid w:val="00162F29"/>
    <w:rsid w:val="00165A53"/>
    <w:rsid w:val="0019382B"/>
    <w:rsid w:val="0019585B"/>
    <w:rsid w:val="001A1B58"/>
    <w:rsid w:val="001B3F50"/>
    <w:rsid w:val="001B7E25"/>
    <w:rsid w:val="001C0D6B"/>
    <w:rsid w:val="001C1789"/>
    <w:rsid w:val="001C1B08"/>
    <w:rsid w:val="001D22E2"/>
    <w:rsid w:val="001D3EB9"/>
    <w:rsid w:val="001D5FD9"/>
    <w:rsid w:val="001D6478"/>
    <w:rsid w:val="001D7A02"/>
    <w:rsid w:val="001E1F96"/>
    <w:rsid w:val="001E2102"/>
    <w:rsid w:val="001E38E2"/>
    <w:rsid w:val="001E7A82"/>
    <w:rsid w:val="001F04DD"/>
    <w:rsid w:val="002065BE"/>
    <w:rsid w:val="0021047B"/>
    <w:rsid w:val="00224EF4"/>
    <w:rsid w:val="00226806"/>
    <w:rsid w:val="002305AB"/>
    <w:rsid w:val="00247463"/>
    <w:rsid w:val="00247C1E"/>
    <w:rsid w:val="00257647"/>
    <w:rsid w:val="00266FA2"/>
    <w:rsid w:val="002717FB"/>
    <w:rsid w:val="00277292"/>
    <w:rsid w:val="00284FA6"/>
    <w:rsid w:val="00285560"/>
    <w:rsid w:val="00290924"/>
    <w:rsid w:val="00295471"/>
    <w:rsid w:val="0029592F"/>
    <w:rsid w:val="002A064F"/>
    <w:rsid w:val="002B17CE"/>
    <w:rsid w:val="002B298F"/>
    <w:rsid w:val="002B7261"/>
    <w:rsid w:val="002D0908"/>
    <w:rsid w:val="002D7E2D"/>
    <w:rsid w:val="002F09D8"/>
    <w:rsid w:val="002F6B99"/>
    <w:rsid w:val="002F771F"/>
    <w:rsid w:val="00304799"/>
    <w:rsid w:val="003322B3"/>
    <w:rsid w:val="00340216"/>
    <w:rsid w:val="00340373"/>
    <w:rsid w:val="00342964"/>
    <w:rsid w:val="00352142"/>
    <w:rsid w:val="00357A40"/>
    <w:rsid w:val="00364269"/>
    <w:rsid w:val="00373BD9"/>
    <w:rsid w:val="00374365"/>
    <w:rsid w:val="00376DCD"/>
    <w:rsid w:val="00380CF4"/>
    <w:rsid w:val="00382BCD"/>
    <w:rsid w:val="003865F1"/>
    <w:rsid w:val="003932A1"/>
    <w:rsid w:val="003A6FEB"/>
    <w:rsid w:val="003E08CE"/>
    <w:rsid w:val="003E348F"/>
    <w:rsid w:val="003F1B18"/>
    <w:rsid w:val="0041402E"/>
    <w:rsid w:val="0043147B"/>
    <w:rsid w:val="00433509"/>
    <w:rsid w:val="00440D21"/>
    <w:rsid w:val="00443E33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05B4"/>
    <w:rsid w:val="004C55F8"/>
    <w:rsid w:val="004C60FF"/>
    <w:rsid w:val="004D6C91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53885"/>
    <w:rsid w:val="00553FAD"/>
    <w:rsid w:val="00567440"/>
    <w:rsid w:val="00567521"/>
    <w:rsid w:val="005677ED"/>
    <w:rsid w:val="00583AA1"/>
    <w:rsid w:val="00586244"/>
    <w:rsid w:val="005913EC"/>
    <w:rsid w:val="005921A2"/>
    <w:rsid w:val="005967E6"/>
    <w:rsid w:val="005B57D7"/>
    <w:rsid w:val="005B7F7F"/>
    <w:rsid w:val="005D26BD"/>
    <w:rsid w:val="005D2A74"/>
    <w:rsid w:val="005E07BD"/>
    <w:rsid w:val="005F6F40"/>
    <w:rsid w:val="00606EF1"/>
    <w:rsid w:val="006454CF"/>
    <w:rsid w:val="0065198F"/>
    <w:rsid w:val="00662A0E"/>
    <w:rsid w:val="0066763B"/>
    <w:rsid w:val="00667F8D"/>
    <w:rsid w:val="00676687"/>
    <w:rsid w:val="00684B37"/>
    <w:rsid w:val="00685DE7"/>
    <w:rsid w:val="006A3FC9"/>
    <w:rsid w:val="006B29E5"/>
    <w:rsid w:val="006C4228"/>
    <w:rsid w:val="006D45A1"/>
    <w:rsid w:val="006E24F6"/>
    <w:rsid w:val="006E2A8B"/>
    <w:rsid w:val="006E7126"/>
    <w:rsid w:val="006F08D9"/>
    <w:rsid w:val="007026D1"/>
    <w:rsid w:val="00711AB6"/>
    <w:rsid w:val="00716DD5"/>
    <w:rsid w:val="00720E5C"/>
    <w:rsid w:val="00725F5D"/>
    <w:rsid w:val="00731E0D"/>
    <w:rsid w:val="007365CA"/>
    <w:rsid w:val="00744772"/>
    <w:rsid w:val="0075013A"/>
    <w:rsid w:val="0075398C"/>
    <w:rsid w:val="00763FC1"/>
    <w:rsid w:val="007648E0"/>
    <w:rsid w:val="00765666"/>
    <w:rsid w:val="00773881"/>
    <w:rsid w:val="00777DAD"/>
    <w:rsid w:val="00780DDC"/>
    <w:rsid w:val="00781089"/>
    <w:rsid w:val="0078728B"/>
    <w:rsid w:val="00790130"/>
    <w:rsid w:val="00796513"/>
    <w:rsid w:val="007A060E"/>
    <w:rsid w:val="007A3E0C"/>
    <w:rsid w:val="007D3976"/>
    <w:rsid w:val="007E0249"/>
    <w:rsid w:val="007E7820"/>
    <w:rsid w:val="007F3A7C"/>
    <w:rsid w:val="00802ED4"/>
    <w:rsid w:val="00805892"/>
    <w:rsid w:val="0081072B"/>
    <w:rsid w:val="008401A1"/>
    <w:rsid w:val="008471C9"/>
    <w:rsid w:val="00855B99"/>
    <w:rsid w:val="00862DDF"/>
    <w:rsid w:val="00870FFE"/>
    <w:rsid w:val="00872C95"/>
    <w:rsid w:val="00872F5F"/>
    <w:rsid w:val="0087591D"/>
    <w:rsid w:val="00875A29"/>
    <w:rsid w:val="0088020C"/>
    <w:rsid w:val="00884570"/>
    <w:rsid w:val="0089195E"/>
    <w:rsid w:val="00891EEA"/>
    <w:rsid w:val="008976BA"/>
    <w:rsid w:val="008A5560"/>
    <w:rsid w:val="008C44B0"/>
    <w:rsid w:val="008D19EF"/>
    <w:rsid w:val="008D1A8E"/>
    <w:rsid w:val="008E0FC7"/>
    <w:rsid w:val="00902F9C"/>
    <w:rsid w:val="009075A9"/>
    <w:rsid w:val="00916E09"/>
    <w:rsid w:val="0091792F"/>
    <w:rsid w:val="009212B4"/>
    <w:rsid w:val="009569E7"/>
    <w:rsid w:val="0099568D"/>
    <w:rsid w:val="009A3B5E"/>
    <w:rsid w:val="009A6E64"/>
    <w:rsid w:val="009C2FF2"/>
    <w:rsid w:val="009D429E"/>
    <w:rsid w:val="009E1FB1"/>
    <w:rsid w:val="009F6E01"/>
    <w:rsid w:val="00A021C2"/>
    <w:rsid w:val="00A04102"/>
    <w:rsid w:val="00A06317"/>
    <w:rsid w:val="00A237ED"/>
    <w:rsid w:val="00A31197"/>
    <w:rsid w:val="00A4409C"/>
    <w:rsid w:val="00A5114A"/>
    <w:rsid w:val="00A613A1"/>
    <w:rsid w:val="00A649A3"/>
    <w:rsid w:val="00A7113B"/>
    <w:rsid w:val="00A738D7"/>
    <w:rsid w:val="00A75CE3"/>
    <w:rsid w:val="00A7695B"/>
    <w:rsid w:val="00A8486F"/>
    <w:rsid w:val="00AB7DE0"/>
    <w:rsid w:val="00AC09F4"/>
    <w:rsid w:val="00AC17EE"/>
    <w:rsid w:val="00AC7AA9"/>
    <w:rsid w:val="00AE290A"/>
    <w:rsid w:val="00AF1983"/>
    <w:rsid w:val="00AF6680"/>
    <w:rsid w:val="00B0233A"/>
    <w:rsid w:val="00B05028"/>
    <w:rsid w:val="00B05E6A"/>
    <w:rsid w:val="00B13741"/>
    <w:rsid w:val="00B15817"/>
    <w:rsid w:val="00B22993"/>
    <w:rsid w:val="00B23D20"/>
    <w:rsid w:val="00B261B2"/>
    <w:rsid w:val="00B41915"/>
    <w:rsid w:val="00B47E26"/>
    <w:rsid w:val="00B63011"/>
    <w:rsid w:val="00B6345C"/>
    <w:rsid w:val="00B73242"/>
    <w:rsid w:val="00B77530"/>
    <w:rsid w:val="00B97943"/>
    <w:rsid w:val="00BA02EC"/>
    <w:rsid w:val="00BA1564"/>
    <w:rsid w:val="00BA7590"/>
    <w:rsid w:val="00BB60DA"/>
    <w:rsid w:val="00BC6A51"/>
    <w:rsid w:val="00BD2864"/>
    <w:rsid w:val="00BD37FF"/>
    <w:rsid w:val="00BD62C0"/>
    <w:rsid w:val="00BE368B"/>
    <w:rsid w:val="00BF0354"/>
    <w:rsid w:val="00BF7EB9"/>
    <w:rsid w:val="00C07CF5"/>
    <w:rsid w:val="00C20492"/>
    <w:rsid w:val="00C24E59"/>
    <w:rsid w:val="00C32969"/>
    <w:rsid w:val="00C40379"/>
    <w:rsid w:val="00C43D74"/>
    <w:rsid w:val="00C45C0D"/>
    <w:rsid w:val="00C470A2"/>
    <w:rsid w:val="00C8522D"/>
    <w:rsid w:val="00C91AC1"/>
    <w:rsid w:val="00C940C7"/>
    <w:rsid w:val="00CA6FFC"/>
    <w:rsid w:val="00CB1D2D"/>
    <w:rsid w:val="00CB24C7"/>
    <w:rsid w:val="00CC19EF"/>
    <w:rsid w:val="00CD1A9A"/>
    <w:rsid w:val="00CE0534"/>
    <w:rsid w:val="00CE73C2"/>
    <w:rsid w:val="00D1201B"/>
    <w:rsid w:val="00D13BD1"/>
    <w:rsid w:val="00D45365"/>
    <w:rsid w:val="00D61222"/>
    <w:rsid w:val="00DA6374"/>
    <w:rsid w:val="00DB3B77"/>
    <w:rsid w:val="00DD3447"/>
    <w:rsid w:val="00DD5810"/>
    <w:rsid w:val="00DE10AB"/>
    <w:rsid w:val="00DE2B44"/>
    <w:rsid w:val="00DE31FE"/>
    <w:rsid w:val="00E016C0"/>
    <w:rsid w:val="00E13228"/>
    <w:rsid w:val="00E24BF3"/>
    <w:rsid w:val="00E342CA"/>
    <w:rsid w:val="00E368C3"/>
    <w:rsid w:val="00E46A62"/>
    <w:rsid w:val="00E50734"/>
    <w:rsid w:val="00E54215"/>
    <w:rsid w:val="00E54CF5"/>
    <w:rsid w:val="00E57522"/>
    <w:rsid w:val="00E57793"/>
    <w:rsid w:val="00E61BCD"/>
    <w:rsid w:val="00E621CB"/>
    <w:rsid w:val="00E74BA7"/>
    <w:rsid w:val="00E77518"/>
    <w:rsid w:val="00EA66E7"/>
    <w:rsid w:val="00EA74B3"/>
    <w:rsid w:val="00EC00F0"/>
    <w:rsid w:val="00EC6D5F"/>
    <w:rsid w:val="00EE0117"/>
    <w:rsid w:val="00EE217B"/>
    <w:rsid w:val="00EF2558"/>
    <w:rsid w:val="00F029CC"/>
    <w:rsid w:val="00F02A61"/>
    <w:rsid w:val="00F03E3F"/>
    <w:rsid w:val="00F04A04"/>
    <w:rsid w:val="00F2421E"/>
    <w:rsid w:val="00F27624"/>
    <w:rsid w:val="00F3121A"/>
    <w:rsid w:val="00F33995"/>
    <w:rsid w:val="00F35247"/>
    <w:rsid w:val="00F47D0F"/>
    <w:rsid w:val="00F508B7"/>
    <w:rsid w:val="00F51F9C"/>
    <w:rsid w:val="00F5539E"/>
    <w:rsid w:val="00F579A0"/>
    <w:rsid w:val="00F60FA7"/>
    <w:rsid w:val="00F672A4"/>
    <w:rsid w:val="00F74FC6"/>
    <w:rsid w:val="00F80032"/>
    <w:rsid w:val="00F86AA4"/>
    <w:rsid w:val="00F87375"/>
    <w:rsid w:val="00F920AB"/>
    <w:rsid w:val="00FA1E51"/>
    <w:rsid w:val="00FA248F"/>
    <w:rsid w:val="00FB19BE"/>
    <w:rsid w:val="00FB74D4"/>
    <w:rsid w:val="00FC3A28"/>
    <w:rsid w:val="00FD0600"/>
    <w:rsid w:val="00FD6CCC"/>
    <w:rsid w:val="00FE552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D4B125D"/>
  <w15:docId w15:val="{47A9B5EB-42E0-4540-808A-AD42412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FA248F"/>
    <w:rPr>
      <w:rFonts w:ascii="Futura Md BT" w:hAnsi="Futura Md BT"/>
      <w:b/>
      <w:color w:val="00A7DE"/>
      <w:kern w:val="28"/>
      <w:sz w:val="32"/>
    </w:rPr>
  </w:style>
  <w:style w:type="paragraph" w:styleId="StandardWeb">
    <w:name w:val="Normal (Web)"/>
    <w:basedOn w:val="Standard"/>
    <w:uiPriority w:val="99"/>
    <w:semiHidden/>
    <w:unhideWhenUsed/>
    <w:rsid w:val="007E782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057C680-5BB5-4DDF-BF68-D080BF1D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</Template>
  <TotalTime>0</TotalTime>
  <Pages>1</Pages>
  <Words>510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Krumbacher, Lara - LÖSLE</dc:creator>
  <cp:lastModifiedBy>Sauer, Timo - LÖSLE</cp:lastModifiedBy>
  <cp:revision>19</cp:revision>
  <cp:lastPrinted>2024-08-08T09:17:00Z</cp:lastPrinted>
  <dcterms:created xsi:type="dcterms:W3CDTF">2024-02-12T07:23:00Z</dcterms:created>
  <dcterms:modified xsi:type="dcterms:W3CDTF">2024-09-16T08:39:00Z</dcterms:modified>
</cp:coreProperties>
</file>