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1121"/>
        <w:gridCol w:w="425"/>
      </w:tblGrid>
      <w:tr w:rsidR="004B1D03" w:rsidRPr="00FD391A" w14:paraId="6B615E21" w14:textId="77777777" w:rsidTr="006876B2">
        <w:trPr>
          <w:cantSplit/>
          <w:trHeight w:val="610"/>
        </w:trPr>
        <w:tc>
          <w:tcPr>
            <w:tcW w:w="21121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4ABA7EE8" w14:textId="77777777" w:rsidR="004B1D03" w:rsidRPr="00BF3901" w:rsidRDefault="00BF3901" w:rsidP="004B1D03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  <w:szCs w:val="28"/>
              </w:rPr>
            </w:pPr>
            <w:r w:rsidRPr="00BF3901">
              <w:rPr>
                <w:rFonts w:ascii="Century Gothic" w:hAnsi="Century Gothic"/>
                <w:color w:val="00B0F0"/>
                <w:sz w:val="28"/>
                <w:szCs w:val="28"/>
              </w:rPr>
              <w:t>IDW EPS 140 n.F. (10.2024): Begriffsdefinitionen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FA36B89" w14:textId="77777777" w:rsidR="004B1D03" w:rsidRPr="00FC0714" w:rsidRDefault="00DE5924" w:rsidP="004B1D03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 w:rsidRPr="00CB7C6D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03</w:t>
            </w:r>
            <w:r w:rsidR="004B1D03" w:rsidRPr="00CB7C6D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/202</w:t>
            </w:r>
            <w:r w:rsidRPr="00CB7C6D"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5</w:t>
            </w:r>
          </w:p>
        </w:tc>
      </w:tr>
    </w:tbl>
    <w:p w14:paraId="1164FF78" w14:textId="77777777" w:rsidR="00BF3901" w:rsidRDefault="006876B2" w:rsidP="00BF3901">
      <w:pPr>
        <w:spacing w:before="0"/>
        <w:jc w:val="center"/>
        <w:rPr>
          <w:i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473B4" wp14:editId="08779A88">
                <wp:simplePos x="0" y="0"/>
                <wp:positionH relativeFrom="column">
                  <wp:posOffset>6978015</wp:posOffset>
                </wp:positionH>
                <wp:positionV relativeFrom="paragraph">
                  <wp:posOffset>153035</wp:posOffset>
                </wp:positionV>
                <wp:extent cx="9525" cy="7934325"/>
                <wp:effectExtent l="0" t="0" r="28575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934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5B380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45pt,12.05pt" to="550.2pt,6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T24gEAACkEAAAOAAAAZHJzL2Uyb0RvYy54bWysU8tu2zAQvBfIPxC8x5KVuq0FyznESC5F&#10;a/R1p6mlRYAvkKwl/32XlCy3aVGgRS4UHzO7O7Orzf2gFTmBD9Kahi4XJSVguG2lOTb065fH23eU&#10;hMhMy5Q10NAzBHq/vXm16V0Nle2sasETDGJC3buGdjG6uigC70CzsLAODD4K6zWLePTHovWsx+ha&#10;FVVZvil661vnLYcQ8HY3PtJtji8E8PhRiACRqIZibTGvPq+HtBbbDauPnrlO8qkM9h9VaCYNJp1D&#10;7Vhk5LuXv4XSknsbrIgLbnVhhZAcsgZUsyyfqfncMQdZC5oT3GxTeLmw/MNp74lsG1pRYpjGFj2B&#10;Z6kp38AfpEm7KtnUu1Aj+sHs/XQKbu+T5kF4nb6ohgzZ2vNsLQyRcLxcr6oVJRwf3q7vXt/hAYMU&#10;V67zIT6B1SRtGqqkScJZzU7vQxyhF0i6Vob0OG7rclVmWLBKto9SqfSYhwcelCcnhm2Pw3JK9gsq&#10;hdux0I0gdUz7CacM1pb0jgrzLp4VjJk/gUDDUNNyTJ1G9ZqNcQ4mXjIqg+hEE1jbTJxq/htxwicq&#10;5DH+F/LMyJmtiTNZS2P9n8q+miRG/MWBUXey4GDbc+59tgbnMTdw+nfSwP98zvTrH779AQAA//8D&#10;AFBLAwQUAAYACAAAACEAFwUOSuEAAAANAQAADwAAAGRycy9kb3ducmV2LnhtbEyPwU7DMAyG70i8&#10;Q2QkbixpN42uNJ0mJMSFy8aQekwb05YlTtVkXXl7stO4+Zc//f5cbGdr2ISj7x1JSBYCGFLjdE+t&#10;hOPn21MGzAdFWhlHKOEXPWzL+7tC5dpdaI/TIbQslpDPlYQuhCHn3DcdWuUXbkCKu283WhViHFuu&#10;R3WJ5dbwVIg1t6qneKFTA7522JwOZyvh9EFfJqvff5Jq3CkRjpWYlpWUjw/z7gVYwDncYLjqR3Uo&#10;o1PtzqQ9MzGLTbaJrIR0lQC7EokQK2B1nNLn5Rp4WfD/X5R/AAAA//8DAFBLAQItABQABgAIAAAA&#10;IQC2gziS/gAAAOEBAAATAAAAAAAAAAAAAAAAAAAAAABbQ29udGVudF9UeXBlc10ueG1sUEsBAi0A&#10;FAAGAAgAAAAhADj9If/WAAAAlAEAAAsAAAAAAAAAAAAAAAAALwEAAF9yZWxzLy5yZWxzUEsBAi0A&#10;FAAGAAgAAAAhAH2ChPbiAQAAKQQAAA4AAAAAAAAAAAAAAAAALgIAAGRycy9lMm9Eb2MueG1sUEsB&#10;Ai0AFAAGAAgAAAAhABcFDkrhAAAADQEAAA8AAAAAAAAAAAAAAAAAPAQAAGRycy9kb3ducmV2Lnht&#10;bFBLBQYAAAAABAAEAPMAAABKBQAAAAA=&#10;" strokecolor="black [3213]" strokeweight="1.5pt">
                <v:stroke dashstyle="longDash"/>
              </v:line>
            </w:pict>
          </mc:Fallback>
        </mc:AlternateContent>
      </w:r>
    </w:p>
    <w:tbl>
      <w:tblPr>
        <w:tblStyle w:val="Tabellenraster"/>
        <w:tblW w:w="21568" w:type="dxa"/>
        <w:tblLook w:val="04A0" w:firstRow="1" w:lastRow="0" w:firstColumn="1" w:lastColumn="0" w:noHBand="0" w:noVBand="1"/>
      </w:tblPr>
      <w:tblGrid>
        <w:gridCol w:w="556"/>
        <w:gridCol w:w="2496"/>
        <w:gridCol w:w="2448"/>
        <w:gridCol w:w="165"/>
        <w:gridCol w:w="5103"/>
        <w:gridCol w:w="426"/>
        <w:gridCol w:w="998"/>
        <w:gridCol w:w="2287"/>
        <w:gridCol w:w="1959"/>
        <w:gridCol w:w="70"/>
        <w:gridCol w:w="1495"/>
        <w:gridCol w:w="3565"/>
      </w:tblGrid>
      <w:tr w:rsidR="006876B2" w14:paraId="4AD6CE7B" w14:textId="77777777" w:rsidTr="00FB5EE7">
        <w:trPr>
          <w:trHeight w:val="510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AA94C39" w14:textId="77777777" w:rsidR="006876B2" w:rsidRPr="00D44101" w:rsidRDefault="006876B2" w:rsidP="00AB47F1">
            <w:pPr>
              <w:spacing w:before="0"/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10212" w:type="dxa"/>
            <w:gridSpan w:val="4"/>
            <w:tcBorders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BDE184C" w14:textId="77777777" w:rsidR="006876B2" w:rsidRPr="00D44101" w:rsidRDefault="006876B2" w:rsidP="00AB47F1">
            <w:pPr>
              <w:spacing w:before="0"/>
              <w:jc w:val="center"/>
              <w:rPr>
                <w:b/>
                <w:color w:val="FFFFFF" w:themeColor="background1"/>
                <w:sz w:val="20"/>
              </w:rPr>
            </w:pPr>
            <w:r w:rsidRPr="00D44101">
              <w:rPr>
                <w:b/>
                <w:color w:val="FFFFFF" w:themeColor="background1"/>
                <w:sz w:val="28"/>
              </w:rPr>
              <w:t>Qualitätsmanagement (WP-Praxis)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038A" w14:textId="77777777" w:rsidR="006876B2" w:rsidRDefault="006876B2" w:rsidP="00AB47F1">
            <w:pPr>
              <w:spacing w:before="0"/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1037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F2F7636" w14:textId="77777777" w:rsidR="006876B2" w:rsidRDefault="006876B2" w:rsidP="00AB47F1">
            <w:pPr>
              <w:spacing w:before="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Qualitätskontrolle (</w:t>
            </w:r>
            <w:proofErr w:type="spellStart"/>
            <w:r>
              <w:rPr>
                <w:b/>
                <w:color w:val="FFFFFF" w:themeColor="background1"/>
                <w:sz w:val="28"/>
              </w:rPr>
              <w:t>PfQK</w:t>
            </w:r>
            <w:proofErr w:type="spellEnd"/>
            <w:r>
              <w:rPr>
                <w:b/>
                <w:color w:val="FFFFFF" w:themeColor="background1"/>
                <w:sz w:val="28"/>
              </w:rPr>
              <w:t>)</w:t>
            </w:r>
          </w:p>
        </w:tc>
      </w:tr>
      <w:tr w:rsidR="006876B2" w:rsidRPr="00F01E20" w14:paraId="471D587B" w14:textId="77777777" w:rsidTr="00FB5EE7">
        <w:trPr>
          <w:gridAfter w:val="2"/>
          <w:wAfter w:w="5060" w:type="dxa"/>
        </w:trPr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C2EDC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E7029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19E3F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6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0D06B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88AAF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</w:tr>
      <w:tr w:rsidR="006876B2" w14:paraId="158E2545" w14:textId="77777777" w:rsidTr="00FB5EE7">
        <w:trPr>
          <w:trHeight w:val="51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4BD838BB" w14:textId="77777777" w:rsidR="006876B2" w:rsidRPr="00D44101" w:rsidRDefault="006876B2" w:rsidP="00D44101">
            <w:pPr>
              <w:spacing w:before="0"/>
              <w:jc w:val="center"/>
              <w:rPr>
                <w:b/>
                <w:sz w:val="24"/>
              </w:rPr>
            </w:pPr>
            <w:bookmarkStart w:id="0" w:name="_Hlk201584158"/>
          </w:p>
        </w:tc>
        <w:tc>
          <w:tcPr>
            <w:tcW w:w="51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410533CD" w14:textId="77777777" w:rsidR="006876B2" w:rsidRPr="008F4E30" w:rsidRDefault="006876B2" w:rsidP="00D44101">
            <w:pPr>
              <w:spacing w:before="0"/>
              <w:jc w:val="center"/>
              <w:rPr>
                <w:b/>
                <w:color w:val="FFFFFF" w:themeColor="background1"/>
                <w:sz w:val="24"/>
              </w:rPr>
            </w:pPr>
            <w:r w:rsidRPr="008F4E30">
              <w:rPr>
                <w:b/>
                <w:color w:val="FFFFFF" w:themeColor="background1"/>
                <w:sz w:val="24"/>
                <w:shd w:val="clear" w:color="auto" w:fill="00B0F0"/>
              </w:rPr>
              <w:t>Qualitätsgefährdendes Risiko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ECFF"/>
            <w:vAlign w:val="center"/>
          </w:tcPr>
          <w:p w14:paraId="7FA11F74" w14:textId="77777777" w:rsidR="006876B2" w:rsidRPr="008F4E30" w:rsidRDefault="006876B2" w:rsidP="00D44101">
            <w:pPr>
              <w:spacing w:before="0"/>
              <w:jc w:val="center"/>
              <w:rPr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00B0F0"/>
              </w:rPr>
              <w:t>QMS-Mangel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9921" w14:textId="77777777" w:rsidR="006876B2" w:rsidRPr="00D44101" w:rsidRDefault="006876B2" w:rsidP="00D44101">
            <w:pPr>
              <w:spacing w:before="0"/>
              <w:jc w:val="center"/>
              <w:rPr>
                <w:b/>
                <w:color w:val="FFFFFF" w:themeColor="background1"/>
                <w:sz w:val="24"/>
                <w:highlight w:val="red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403F67B9" w14:textId="77777777" w:rsidR="006876B2" w:rsidRPr="00D44101" w:rsidRDefault="006876B2" w:rsidP="00D44101">
            <w:pPr>
              <w:spacing w:before="0"/>
              <w:jc w:val="center"/>
              <w:rPr>
                <w:b/>
                <w:color w:val="FFFFFF" w:themeColor="background1"/>
                <w:sz w:val="24"/>
                <w:highlight w:val="red"/>
              </w:rPr>
            </w:pPr>
            <w:r w:rsidRPr="00D44101">
              <w:rPr>
                <w:b/>
                <w:color w:val="FFFFFF" w:themeColor="background1"/>
                <w:sz w:val="24"/>
                <w:highlight w:val="red"/>
              </w:rPr>
              <w:t>Qualitätsrisiko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5B7AEACA" w14:textId="77777777" w:rsidR="006876B2" w:rsidRPr="00D44101" w:rsidRDefault="006876B2" w:rsidP="00D44101">
            <w:pPr>
              <w:spacing w:before="0"/>
              <w:jc w:val="center"/>
              <w:rPr>
                <w:b/>
                <w:color w:val="FFFFFF" w:themeColor="background1"/>
                <w:sz w:val="24"/>
                <w:highlight w:val="red"/>
              </w:rPr>
            </w:pPr>
            <w:r w:rsidRPr="00D44101">
              <w:rPr>
                <w:b/>
                <w:color w:val="FFFFFF" w:themeColor="background1"/>
                <w:sz w:val="24"/>
                <w:highlight w:val="red"/>
              </w:rPr>
              <w:t>Mangel Qualitätssicherungssystem</w:t>
            </w:r>
          </w:p>
        </w:tc>
      </w:tr>
      <w:tr w:rsidR="006876B2" w:rsidRPr="00F01E20" w14:paraId="7FDF3A5A" w14:textId="77777777" w:rsidTr="00FB5EE7"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89266" w14:textId="77777777" w:rsidR="006876B2" w:rsidRPr="00F01E20" w:rsidRDefault="006876B2" w:rsidP="00D44101">
            <w:pPr>
              <w:spacing w:before="0"/>
              <w:jc w:val="center"/>
              <w:rPr>
                <w:b/>
                <w:color w:val="00B0F0"/>
                <w:sz w:val="6"/>
                <w:szCs w:val="6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50DB9" w14:textId="77777777" w:rsidR="006876B2" w:rsidRPr="00F01E20" w:rsidRDefault="006876B2" w:rsidP="00D44101">
            <w:pPr>
              <w:spacing w:before="0"/>
              <w:jc w:val="center"/>
              <w:rPr>
                <w:b/>
                <w:color w:val="00B0F0"/>
                <w:sz w:val="6"/>
                <w:szCs w:val="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C54AB" w14:textId="77777777" w:rsidR="006876B2" w:rsidRPr="00F01E20" w:rsidRDefault="006876B2" w:rsidP="00D44101">
            <w:pPr>
              <w:spacing w:before="0"/>
              <w:jc w:val="center"/>
              <w:rPr>
                <w:b/>
                <w:color w:val="00B0F0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8CB28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6AFBA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01F27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7F7EF" w14:textId="77777777" w:rsidR="006876B2" w:rsidRPr="00F01E20" w:rsidRDefault="006876B2" w:rsidP="00D44101">
            <w:pPr>
              <w:spacing w:before="0"/>
              <w:jc w:val="center"/>
              <w:rPr>
                <w:b/>
                <w:sz w:val="6"/>
                <w:szCs w:val="6"/>
              </w:rPr>
            </w:pPr>
          </w:p>
        </w:tc>
      </w:tr>
      <w:bookmarkEnd w:id="0"/>
      <w:tr w:rsidR="006876B2" w14:paraId="5D3E8CCC" w14:textId="77777777" w:rsidTr="00D579AB"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</w:tcPr>
          <w:p w14:paraId="31CE872E" w14:textId="77777777" w:rsidR="006876B2" w:rsidRDefault="006876B2" w:rsidP="00D44101">
            <w:pPr>
              <w:spacing w:before="0"/>
              <w:jc w:val="center"/>
              <w:rPr>
                <w:b/>
                <w:color w:val="00B0F0"/>
                <w:sz w:val="20"/>
              </w:rPr>
            </w:pPr>
          </w:p>
        </w:tc>
        <w:tc>
          <w:tcPr>
            <w:tcW w:w="51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24CC8C" w14:textId="77777777" w:rsidR="006876B2" w:rsidRPr="00035F50" w:rsidRDefault="006876B2" w:rsidP="00D44101">
            <w:pPr>
              <w:spacing w:before="0"/>
              <w:jc w:val="center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 xml:space="preserve">IDW EPS 140 </w:t>
            </w:r>
            <w:r w:rsidRPr="00035F50">
              <w:rPr>
                <w:b/>
                <w:color w:val="00B0F0"/>
                <w:sz w:val="20"/>
              </w:rPr>
              <w:t>T</w:t>
            </w:r>
            <w:r>
              <w:rPr>
                <w:b/>
                <w:color w:val="00B0F0"/>
                <w:sz w:val="20"/>
              </w:rPr>
              <w:t>z</w:t>
            </w:r>
            <w:r w:rsidRPr="00035F50">
              <w:rPr>
                <w:b/>
                <w:color w:val="00B0F0"/>
                <w:sz w:val="20"/>
              </w:rPr>
              <w:t xml:space="preserve"> A15.</w:t>
            </w:r>
            <w:r>
              <w:rPr>
                <w:b/>
                <w:color w:val="00B0F0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DC7F2B9" w14:textId="77777777" w:rsidR="006876B2" w:rsidRPr="00035F50" w:rsidRDefault="006876B2" w:rsidP="00D44101">
            <w:pPr>
              <w:spacing w:before="0"/>
              <w:jc w:val="center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IDW EPS 140 Tz. A15.1</w:t>
            </w:r>
          </w:p>
        </w:tc>
        <w:tc>
          <w:tcPr>
            <w:tcW w:w="426" w:type="dxa"/>
          </w:tcPr>
          <w:p w14:paraId="6AB77135" w14:textId="77777777" w:rsidR="006876B2" w:rsidRDefault="006876B2" w:rsidP="00D44101">
            <w:pPr>
              <w:spacing w:before="0"/>
              <w:jc w:val="center"/>
              <w:rPr>
                <w:b/>
                <w:color w:val="00B0F0"/>
                <w:sz w:val="20"/>
              </w:rPr>
            </w:pPr>
          </w:p>
        </w:tc>
        <w:tc>
          <w:tcPr>
            <w:tcW w:w="5244" w:type="dxa"/>
            <w:gridSpan w:val="3"/>
          </w:tcPr>
          <w:p w14:paraId="1A7EDB78" w14:textId="77777777" w:rsidR="006876B2" w:rsidRPr="00035F50" w:rsidRDefault="006876B2" w:rsidP="00D44101">
            <w:pPr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color w:val="00B0F0"/>
                <w:sz w:val="20"/>
              </w:rPr>
              <w:t xml:space="preserve">IDW EPS 140 </w:t>
            </w:r>
            <w:r w:rsidRPr="00035F50">
              <w:rPr>
                <w:b/>
                <w:color w:val="00B0F0"/>
                <w:sz w:val="20"/>
              </w:rPr>
              <w:t>Tz. 15b.</w:t>
            </w:r>
          </w:p>
        </w:tc>
        <w:tc>
          <w:tcPr>
            <w:tcW w:w="5130" w:type="dxa"/>
            <w:gridSpan w:val="3"/>
          </w:tcPr>
          <w:p w14:paraId="0FB63C93" w14:textId="77777777" w:rsidR="006876B2" w:rsidRPr="00035F50" w:rsidRDefault="006876B2" w:rsidP="00D44101">
            <w:pPr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color w:val="00B0F0"/>
                <w:sz w:val="20"/>
              </w:rPr>
              <w:t xml:space="preserve">IDW EPS 140 </w:t>
            </w:r>
            <w:r w:rsidRPr="00035F50">
              <w:rPr>
                <w:b/>
                <w:color w:val="00B0F0"/>
                <w:sz w:val="20"/>
              </w:rPr>
              <w:t>Tz. 15a.</w:t>
            </w:r>
          </w:p>
        </w:tc>
      </w:tr>
      <w:tr w:rsidR="006876B2" w:rsidRPr="00035F50" w14:paraId="5985B512" w14:textId="77777777" w:rsidTr="00D579AB">
        <w:trPr>
          <w:cantSplit/>
          <w:trHeight w:val="1134"/>
        </w:trPr>
        <w:tc>
          <w:tcPr>
            <w:tcW w:w="556" w:type="dxa"/>
            <w:textDirection w:val="btLr"/>
            <w:vAlign w:val="center"/>
          </w:tcPr>
          <w:p w14:paraId="43AC4D32" w14:textId="77777777" w:rsidR="006876B2" w:rsidRPr="00D44101" w:rsidRDefault="006876B2" w:rsidP="009C46DD">
            <w:pPr>
              <w:spacing w:before="0"/>
              <w:ind w:left="113" w:right="113"/>
              <w:jc w:val="center"/>
              <w:rPr>
                <w:b/>
                <w:sz w:val="24"/>
              </w:rPr>
            </w:pPr>
            <w:r w:rsidRPr="00D44101">
              <w:rPr>
                <w:b/>
              </w:rPr>
              <w:t>Definition</w:t>
            </w:r>
          </w:p>
        </w:tc>
        <w:tc>
          <w:tcPr>
            <w:tcW w:w="5109" w:type="dxa"/>
            <w:gridSpan w:val="3"/>
          </w:tcPr>
          <w:p w14:paraId="441A3DE5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Ein </w:t>
            </w:r>
            <w:r w:rsidRPr="00873600">
              <w:rPr>
                <w:b/>
                <w:sz w:val="20"/>
              </w:rPr>
              <w:t>(einzelnes)</w:t>
            </w:r>
            <w:r>
              <w:rPr>
                <w:sz w:val="20"/>
              </w:rPr>
              <w:t xml:space="preserve"> Risiko, </w:t>
            </w:r>
          </w:p>
          <w:p w14:paraId="3DC56604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BD1D02">
              <w:rPr>
                <w:sz w:val="20"/>
              </w:rPr>
              <w:t xml:space="preserve">für das eine </w:t>
            </w:r>
            <w:r w:rsidRPr="00BD1D02">
              <w:rPr>
                <w:b/>
                <w:sz w:val="20"/>
              </w:rPr>
              <w:t>realistische Möglichkeit</w:t>
            </w:r>
            <w:r w:rsidRPr="00BD1D02">
              <w:rPr>
                <w:sz w:val="20"/>
              </w:rPr>
              <w:t xml:space="preserve"> besteht </w:t>
            </w:r>
            <w:r w:rsidRPr="00BD1D02">
              <w:rPr>
                <w:b/>
                <w:sz w:val="20"/>
              </w:rPr>
              <w:t>einzutreten</w:t>
            </w:r>
            <w:r w:rsidRPr="00BD1D02">
              <w:rPr>
                <w:sz w:val="20"/>
              </w:rPr>
              <w:t xml:space="preserve"> und </w:t>
            </w:r>
          </w:p>
          <w:p w14:paraId="58E7698A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BD1D02">
              <w:rPr>
                <w:b/>
                <w:sz w:val="20"/>
              </w:rPr>
              <w:t>für das</w:t>
            </w:r>
            <w:r w:rsidRPr="00BD1D02">
              <w:rPr>
                <w:sz w:val="20"/>
              </w:rPr>
              <w:t xml:space="preserve"> – im Falle des Eintritts – eine </w:t>
            </w:r>
            <w:r w:rsidRPr="00BD1D02">
              <w:rPr>
                <w:b/>
                <w:sz w:val="20"/>
              </w:rPr>
              <w:t>realistische Möglichkeit</w:t>
            </w:r>
            <w:r w:rsidRPr="00BD1D02">
              <w:rPr>
                <w:sz w:val="20"/>
              </w:rPr>
              <w:t xml:space="preserve"> besteht, </w:t>
            </w:r>
          </w:p>
          <w:p w14:paraId="40C8B4EA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BD1D02">
              <w:rPr>
                <w:sz w:val="20"/>
              </w:rPr>
              <w:t xml:space="preserve">dass es </w:t>
            </w:r>
            <w:r w:rsidRPr="00BD1D02">
              <w:rPr>
                <w:b/>
                <w:sz w:val="20"/>
              </w:rPr>
              <w:t>einzeln oder</w:t>
            </w:r>
            <w:r w:rsidRPr="00BD1D02">
              <w:rPr>
                <w:sz w:val="20"/>
              </w:rPr>
              <w:t xml:space="preserve"> im Zusammenwirken mit dem Eintritt </w:t>
            </w:r>
            <w:r w:rsidRPr="00BD1D02">
              <w:rPr>
                <w:b/>
                <w:sz w:val="20"/>
              </w:rPr>
              <w:t>anderer Risiken</w:t>
            </w:r>
            <w:r w:rsidRPr="00BD1D02">
              <w:rPr>
                <w:sz w:val="20"/>
              </w:rPr>
              <w:t xml:space="preserve"> </w:t>
            </w:r>
          </w:p>
          <w:p w14:paraId="6ED1506B" w14:textId="77777777" w:rsidR="006876B2" w:rsidRPr="00BD1D0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BD1D02">
              <w:rPr>
                <w:b/>
                <w:sz w:val="20"/>
              </w:rPr>
              <w:t>dem Erreichen</w:t>
            </w:r>
            <w:r w:rsidRPr="00BD1D02">
              <w:rPr>
                <w:sz w:val="20"/>
              </w:rPr>
              <w:t xml:space="preserve"> eines oder mehrerer </w:t>
            </w:r>
            <w:r w:rsidRPr="00BD1D02">
              <w:rPr>
                <w:b/>
                <w:sz w:val="20"/>
              </w:rPr>
              <w:t>Qualitätsziele entgegensteht</w:t>
            </w:r>
            <w:r w:rsidR="00845D34">
              <w:rPr>
                <w:b/>
                <w:sz w:val="20"/>
              </w:rPr>
              <w:t xml:space="preserve"> </w:t>
            </w:r>
            <w:r w:rsidR="00845D34" w:rsidRPr="00845D34">
              <w:rPr>
                <w:sz w:val="20"/>
              </w:rPr>
              <w:t>(z. B. Gefahr der Erteilung von fehlerhaften Testaten)</w:t>
            </w:r>
            <w:r w:rsidR="00845D34">
              <w:rPr>
                <w:b/>
                <w:sz w:val="20"/>
              </w:rPr>
              <w:t>.</w:t>
            </w:r>
            <w:r>
              <w:rPr>
                <w:sz w:val="20"/>
              </w:rPr>
              <w:br/>
              <w:t>(IDW QMS 1 Tz. 8r).</w:t>
            </w:r>
          </w:p>
        </w:tc>
        <w:tc>
          <w:tcPr>
            <w:tcW w:w="5103" w:type="dxa"/>
          </w:tcPr>
          <w:p w14:paraId="6F0709C9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Ein Mangel im QMS der WP-Praxis liegt vor, wenn</w:t>
            </w:r>
          </w:p>
          <w:p w14:paraId="7C0F5A07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035F50">
              <w:rPr>
                <w:b/>
                <w:sz w:val="20"/>
              </w:rPr>
              <w:t>ein</w:t>
            </w:r>
            <w:r>
              <w:rPr>
                <w:b/>
                <w:sz w:val="20"/>
              </w:rPr>
              <w:t xml:space="preserve"> erforderliches </w:t>
            </w:r>
            <w:r w:rsidRPr="00035F50">
              <w:rPr>
                <w:b/>
                <w:sz w:val="20"/>
              </w:rPr>
              <w:t xml:space="preserve">Qualitätsziel </w:t>
            </w:r>
            <w:r w:rsidRPr="00873600">
              <w:rPr>
                <w:sz w:val="20"/>
              </w:rPr>
              <w:t>nicht festgelegt</w:t>
            </w:r>
            <w:r>
              <w:rPr>
                <w:sz w:val="20"/>
              </w:rPr>
              <w:t xml:space="preserve"> ist; </w:t>
            </w:r>
          </w:p>
          <w:p w14:paraId="73FDC20A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ein </w:t>
            </w:r>
            <w:r w:rsidRPr="00035F50">
              <w:rPr>
                <w:b/>
                <w:sz w:val="20"/>
              </w:rPr>
              <w:t>qualitätsgefährdendes Risiko nicht identifiziert</w:t>
            </w:r>
            <w:r>
              <w:rPr>
                <w:sz w:val="20"/>
              </w:rPr>
              <w:t xml:space="preserve"> oder nicht sachgerecht </w:t>
            </w:r>
            <w:r w:rsidRPr="00035F50">
              <w:rPr>
                <w:b/>
                <w:sz w:val="20"/>
              </w:rPr>
              <w:t>beurteilt</w:t>
            </w:r>
            <w:r>
              <w:rPr>
                <w:sz w:val="20"/>
              </w:rPr>
              <w:t xml:space="preserve"> ist,</w:t>
            </w:r>
          </w:p>
          <w:p w14:paraId="6909F171" w14:textId="77777777" w:rsidR="006876B2" w:rsidRPr="00035F50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b/>
                <w:sz w:val="20"/>
              </w:rPr>
            </w:pPr>
            <w:r w:rsidRPr="00035F50">
              <w:rPr>
                <w:b/>
                <w:sz w:val="20"/>
              </w:rPr>
              <w:t>eine Reaktion auf beurteilte qualitätsgefährdende Risiken</w:t>
            </w:r>
            <w:r>
              <w:rPr>
                <w:sz w:val="20"/>
              </w:rPr>
              <w:t xml:space="preserve"> nicht ausreichend ist, um das Risiko auf</w:t>
            </w:r>
            <w:r w:rsidRPr="00035F50">
              <w:rPr>
                <w:b/>
                <w:sz w:val="20"/>
              </w:rPr>
              <w:t xml:space="preserve"> ein vertretbar niedriges Niveau </w:t>
            </w:r>
            <w:r>
              <w:rPr>
                <w:b/>
                <w:sz w:val="20"/>
              </w:rPr>
              <w:t xml:space="preserve">zu </w:t>
            </w:r>
            <w:r w:rsidRPr="00035F50">
              <w:rPr>
                <w:b/>
                <w:sz w:val="20"/>
              </w:rPr>
              <w:t>reduzier</w:t>
            </w:r>
            <w:r>
              <w:rPr>
                <w:b/>
                <w:sz w:val="20"/>
              </w:rPr>
              <w:t>en</w:t>
            </w:r>
          </w:p>
          <w:p w14:paraId="3D8066F9" w14:textId="77777777" w:rsidR="006876B2" w:rsidRPr="00BD1D02" w:rsidRDefault="006876B2" w:rsidP="000B4769">
            <w:pPr>
              <w:rPr>
                <w:sz w:val="20"/>
              </w:rPr>
            </w:pPr>
            <w:r>
              <w:rPr>
                <w:sz w:val="20"/>
              </w:rPr>
              <w:t xml:space="preserve">ein </w:t>
            </w:r>
            <w:r w:rsidRPr="00035F50">
              <w:rPr>
                <w:b/>
                <w:sz w:val="20"/>
              </w:rPr>
              <w:t>anderer Aspekt des QMS fehlt oder nicht angemessen</w:t>
            </w:r>
            <w:r>
              <w:rPr>
                <w:sz w:val="20"/>
              </w:rPr>
              <w:t xml:space="preserve"> ausgestaltet, eingerichtet oder nicht wirksam ist (IDW QMS 1 Tz. Tz. 8q).</w:t>
            </w:r>
          </w:p>
        </w:tc>
        <w:tc>
          <w:tcPr>
            <w:tcW w:w="426" w:type="dxa"/>
          </w:tcPr>
          <w:p w14:paraId="01FB4005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5244" w:type="dxa"/>
            <w:gridSpan w:val="3"/>
          </w:tcPr>
          <w:p w14:paraId="1ED39FF7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Risiko, dass das QSS der WP-Praxis</w:t>
            </w:r>
          </w:p>
          <w:p w14:paraId="37AC774A" w14:textId="77777777" w:rsidR="006876B2" w:rsidRPr="00082D95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082D95">
              <w:rPr>
                <w:b/>
                <w:color w:val="FF0000"/>
                <w:sz w:val="20"/>
              </w:rPr>
              <w:t>nicht im Einklang</w:t>
            </w:r>
          </w:p>
          <w:p w14:paraId="6E6910F8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082D95">
              <w:rPr>
                <w:sz w:val="20"/>
              </w:rPr>
              <w:t xml:space="preserve">mit den </w:t>
            </w:r>
            <w:r w:rsidRPr="00082D95">
              <w:rPr>
                <w:b/>
                <w:sz w:val="20"/>
              </w:rPr>
              <w:t>gesetzlichen und satzungsmäßigen Anforderungen</w:t>
            </w:r>
            <w:r w:rsidRPr="00082D95">
              <w:rPr>
                <w:sz w:val="20"/>
              </w:rPr>
              <w:t xml:space="preserve"> steht und </w:t>
            </w:r>
          </w:p>
          <w:p w14:paraId="4FBCF80C" w14:textId="77777777" w:rsidR="006876B2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082D95">
              <w:rPr>
                <w:b/>
                <w:color w:val="FF0000"/>
                <w:sz w:val="20"/>
              </w:rPr>
              <w:t>nicht</w:t>
            </w:r>
            <w:r w:rsidRPr="00082D95">
              <w:rPr>
                <w:color w:val="FF0000"/>
                <w:sz w:val="20"/>
              </w:rPr>
              <w:t xml:space="preserve"> </w:t>
            </w:r>
            <w:r w:rsidRPr="00082D95">
              <w:rPr>
                <w:sz w:val="20"/>
              </w:rPr>
              <w:t xml:space="preserve">mit </w:t>
            </w:r>
            <w:r w:rsidRPr="00082D95">
              <w:rPr>
                <w:b/>
                <w:sz w:val="20"/>
              </w:rPr>
              <w:t>hinreichender Sicherheit</w:t>
            </w:r>
            <w:r w:rsidRPr="00082D95">
              <w:rPr>
                <w:sz w:val="20"/>
              </w:rPr>
              <w:t xml:space="preserve"> </w:t>
            </w:r>
          </w:p>
          <w:p w14:paraId="1F84CB3D" w14:textId="77777777" w:rsidR="006876B2" w:rsidRPr="00082D95" w:rsidRDefault="006876B2" w:rsidP="009C46DD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082D95">
              <w:rPr>
                <w:sz w:val="20"/>
              </w:rPr>
              <w:t xml:space="preserve">eine </w:t>
            </w:r>
            <w:r w:rsidRPr="00082D95">
              <w:rPr>
                <w:b/>
                <w:sz w:val="20"/>
              </w:rPr>
              <w:t>ordnungsgemäße Abwicklung</w:t>
            </w:r>
            <w:r w:rsidRPr="00082D95">
              <w:rPr>
                <w:sz w:val="20"/>
              </w:rPr>
              <w:t xml:space="preserve"> </w:t>
            </w:r>
            <w:r w:rsidRPr="00082D95">
              <w:rPr>
                <w:b/>
                <w:sz w:val="20"/>
              </w:rPr>
              <w:t>von gesetzlich vorgeschriebenen</w:t>
            </w:r>
            <w:r w:rsidRPr="00082D95">
              <w:rPr>
                <w:sz w:val="20"/>
              </w:rPr>
              <w:t xml:space="preserve"> </w:t>
            </w:r>
            <w:r w:rsidRPr="00082D95">
              <w:rPr>
                <w:sz w:val="20"/>
              </w:rPr>
              <w:br/>
              <w:t xml:space="preserve">* Abschlussprüfungen </w:t>
            </w:r>
            <w:r w:rsidRPr="00082D95">
              <w:rPr>
                <w:sz w:val="20"/>
              </w:rPr>
              <w:br/>
              <w:t>* Nachhaltigkeitsprüfungen</w:t>
            </w:r>
            <w:r>
              <w:rPr>
                <w:sz w:val="20"/>
              </w:rPr>
              <w:br/>
              <w:t>* b</w:t>
            </w:r>
            <w:r w:rsidRPr="00082D95">
              <w:rPr>
                <w:sz w:val="20"/>
              </w:rPr>
              <w:t>etriebswirtschaftliche Prüfungen (BaFin)</w:t>
            </w:r>
          </w:p>
          <w:p w14:paraId="4475A5B2" w14:textId="77777777" w:rsidR="006876B2" w:rsidRPr="00D44101" w:rsidRDefault="006876B2" w:rsidP="009C46D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gewährleistet.</w:t>
            </w:r>
          </w:p>
        </w:tc>
        <w:tc>
          <w:tcPr>
            <w:tcW w:w="5130" w:type="dxa"/>
            <w:gridSpan w:val="3"/>
          </w:tcPr>
          <w:p w14:paraId="706282E4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 w:rsidRPr="00BF3901">
              <w:rPr>
                <w:b/>
                <w:sz w:val="20"/>
              </w:rPr>
              <w:t>Beanstandung des QSS</w:t>
            </w:r>
            <w:r>
              <w:rPr>
                <w:sz w:val="20"/>
              </w:rPr>
              <w:t xml:space="preserve"> im Hinblick auf dessen </w:t>
            </w:r>
          </w:p>
          <w:p w14:paraId="0E444DE2" w14:textId="77777777" w:rsidR="006876B2" w:rsidRDefault="006876B2" w:rsidP="009C46DD">
            <w:pPr>
              <w:pStyle w:val="Listenabsatz"/>
              <w:numPr>
                <w:ilvl w:val="0"/>
                <w:numId w:val="36"/>
              </w:numPr>
              <w:spacing w:before="0"/>
              <w:jc w:val="left"/>
              <w:rPr>
                <w:sz w:val="20"/>
              </w:rPr>
            </w:pPr>
            <w:r w:rsidRPr="00BF3901">
              <w:rPr>
                <w:b/>
                <w:sz w:val="20"/>
              </w:rPr>
              <w:t>Angemessenheit</w:t>
            </w:r>
            <w:r>
              <w:rPr>
                <w:sz w:val="20"/>
              </w:rPr>
              <w:t xml:space="preserve"> oder </w:t>
            </w:r>
          </w:p>
          <w:p w14:paraId="6D6C7DB0" w14:textId="77777777" w:rsidR="006876B2" w:rsidRDefault="006876B2" w:rsidP="009C46DD">
            <w:pPr>
              <w:pStyle w:val="Listenabsatz"/>
              <w:numPr>
                <w:ilvl w:val="0"/>
                <w:numId w:val="36"/>
              </w:numPr>
              <w:spacing w:before="0"/>
              <w:jc w:val="left"/>
              <w:rPr>
                <w:sz w:val="20"/>
              </w:rPr>
            </w:pPr>
            <w:r w:rsidRPr="00BF3901">
              <w:rPr>
                <w:b/>
                <w:sz w:val="20"/>
              </w:rPr>
              <w:t>Wirksamkeit</w:t>
            </w:r>
            <w:r>
              <w:rPr>
                <w:sz w:val="20"/>
              </w:rPr>
              <w:t>,</w:t>
            </w:r>
          </w:p>
          <w:p w14:paraId="761EB7AE" w14:textId="77777777" w:rsidR="006876B2" w:rsidRDefault="006876B2" w:rsidP="009C46D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möglicherweise. dazu führt, dass </w:t>
            </w:r>
          </w:p>
          <w:p w14:paraId="13797A09" w14:textId="77777777" w:rsidR="006876B2" w:rsidRPr="00BF3901" w:rsidRDefault="006876B2" w:rsidP="009C46DD">
            <w:pPr>
              <w:pStyle w:val="Listenabsatz"/>
              <w:numPr>
                <w:ilvl w:val="0"/>
                <w:numId w:val="37"/>
              </w:numPr>
              <w:spacing w:before="0"/>
              <w:jc w:val="left"/>
              <w:rPr>
                <w:b/>
                <w:sz w:val="20"/>
              </w:rPr>
            </w:pPr>
            <w:r w:rsidRPr="00BF3901">
              <w:rPr>
                <w:b/>
                <w:sz w:val="20"/>
              </w:rPr>
              <w:t xml:space="preserve">berufliche Leistungen </w:t>
            </w:r>
          </w:p>
          <w:p w14:paraId="364B6D6F" w14:textId="77777777" w:rsidR="006876B2" w:rsidRPr="00BF3901" w:rsidRDefault="006876B2" w:rsidP="009C46DD">
            <w:pPr>
              <w:pStyle w:val="Listenabsatz"/>
              <w:numPr>
                <w:ilvl w:val="0"/>
                <w:numId w:val="37"/>
              </w:numPr>
              <w:spacing w:before="0"/>
              <w:jc w:val="left"/>
              <w:rPr>
                <w:b/>
                <w:sz w:val="20"/>
              </w:rPr>
            </w:pPr>
            <w:r w:rsidRPr="00BF3901">
              <w:rPr>
                <w:b/>
                <w:color w:val="FF0000"/>
                <w:sz w:val="20"/>
              </w:rPr>
              <w:t>nicht</w:t>
            </w:r>
            <w:r w:rsidRPr="00BF3901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mit den </w:t>
            </w:r>
            <w:r w:rsidRPr="00BF3901">
              <w:rPr>
                <w:b/>
                <w:sz w:val="20"/>
              </w:rPr>
              <w:t xml:space="preserve">gesetzlichen </w:t>
            </w:r>
          </w:p>
          <w:p w14:paraId="06B1FDB7" w14:textId="77777777" w:rsidR="006876B2" w:rsidRPr="00BF3901" w:rsidRDefault="006876B2" w:rsidP="009C46DD">
            <w:pPr>
              <w:pStyle w:val="Listenabsatz"/>
              <w:numPr>
                <w:ilvl w:val="0"/>
                <w:numId w:val="37"/>
              </w:numPr>
              <w:spacing w:before="0"/>
              <w:jc w:val="left"/>
              <w:rPr>
                <w:b/>
                <w:sz w:val="20"/>
              </w:rPr>
            </w:pPr>
            <w:r w:rsidRPr="00BF3901">
              <w:rPr>
                <w:b/>
                <w:sz w:val="20"/>
              </w:rPr>
              <w:t xml:space="preserve">oder satzungsmäßigen Anforderungen </w:t>
            </w:r>
          </w:p>
          <w:p w14:paraId="755F0668" w14:textId="77777777" w:rsidR="006876B2" w:rsidRPr="00035F50" w:rsidRDefault="006876B2" w:rsidP="009C46D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sz w:val="20"/>
              </w:rPr>
              <w:t>erbracht werden.</w:t>
            </w:r>
          </w:p>
        </w:tc>
      </w:tr>
      <w:tr w:rsidR="006876B2" w14:paraId="7A5CB3B3" w14:textId="77777777" w:rsidTr="00D579AB">
        <w:trPr>
          <w:cantSplit/>
          <w:trHeight w:val="20"/>
        </w:trPr>
        <w:tc>
          <w:tcPr>
            <w:tcW w:w="556" w:type="dxa"/>
            <w:textDirection w:val="btLr"/>
            <w:vAlign w:val="center"/>
          </w:tcPr>
          <w:p w14:paraId="798065F4" w14:textId="77777777" w:rsidR="006876B2" w:rsidRPr="00D44101" w:rsidRDefault="006876B2" w:rsidP="009C46DD">
            <w:pPr>
              <w:spacing w:before="0"/>
              <w:ind w:left="113" w:right="113"/>
              <w:jc w:val="center"/>
              <w:rPr>
                <w:b/>
                <w:color w:val="000000" w:themeColor="text1"/>
                <w:sz w:val="20"/>
              </w:rPr>
            </w:pPr>
            <w:bookmarkStart w:id="1" w:name="_Hlk201584235"/>
            <w:r w:rsidRPr="00D44101">
              <w:rPr>
                <w:b/>
                <w:color w:val="000000" w:themeColor="text1"/>
                <w:sz w:val="20"/>
              </w:rPr>
              <w:t>Kern</w:t>
            </w:r>
          </w:p>
        </w:tc>
        <w:tc>
          <w:tcPr>
            <w:tcW w:w="5109" w:type="dxa"/>
            <w:gridSpan w:val="3"/>
          </w:tcPr>
          <w:p w14:paraId="4DD4297E" w14:textId="77777777" w:rsidR="006876B2" w:rsidRPr="00873600" w:rsidRDefault="006876B2" w:rsidP="009C46DD">
            <w:pPr>
              <w:pStyle w:val="Listenabsatz"/>
              <w:spacing w:before="0"/>
              <w:ind w:left="0"/>
              <w:jc w:val="left"/>
              <w:rPr>
                <w:b/>
                <w:sz w:val="20"/>
              </w:rPr>
            </w:pPr>
            <w:r w:rsidRPr="00873600">
              <w:rPr>
                <w:b/>
                <w:color w:val="FF0000"/>
                <w:sz w:val="20"/>
              </w:rPr>
              <w:t xml:space="preserve">Einzelne Bausteine </w:t>
            </w:r>
            <w:r w:rsidRPr="00873600">
              <w:rPr>
                <w:b/>
                <w:sz w:val="20"/>
              </w:rPr>
              <w:t>für das übergeordnete Qualitätsrisiko</w:t>
            </w:r>
            <w:r>
              <w:rPr>
                <w:b/>
                <w:sz w:val="20"/>
              </w:rPr>
              <w:t>;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 xml:space="preserve">d. h. </w:t>
            </w:r>
            <w:r w:rsidRPr="00873600">
              <w:rPr>
                <w:b/>
                <w:sz w:val="20"/>
              </w:rPr>
              <w:t>spezifische Einzelfaktoren</w:t>
            </w:r>
            <w:r>
              <w:rPr>
                <w:sz w:val="20"/>
              </w:rPr>
              <w:t>, die das Erreichen der Qualitätsziele gefährden können.</w:t>
            </w:r>
          </w:p>
        </w:tc>
        <w:tc>
          <w:tcPr>
            <w:tcW w:w="5103" w:type="dxa"/>
          </w:tcPr>
          <w:p w14:paraId="5F489752" w14:textId="77777777" w:rsidR="006876B2" w:rsidRPr="00873600" w:rsidRDefault="006876B2" w:rsidP="000B4769">
            <w:pPr>
              <w:spacing w:before="0"/>
              <w:jc w:val="left"/>
              <w:rPr>
                <w:b/>
                <w:color w:val="FF0000"/>
                <w:sz w:val="20"/>
              </w:rPr>
            </w:pPr>
            <w:r w:rsidRPr="00873600">
              <w:rPr>
                <w:b/>
                <w:color w:val="FF0000"/>
                <w:sz w:val="20"/>
              </w:rPr>
              <w:t xml:space="preserve">Defizite </w:t>
            </w:r>
          </w:p>
          <w:p w14:paraId="7EE208BD" w14:textId="77777777" w:rsidR="006876B2" w:rsidRDefault="006876B2" w:rsidP="000B4769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873600">
              <w:rPr>
                <w:b/>
                <w:sz w:val="20"/>
              </w:rPr>
              <w:t>im Aufbau</w:t>
            </w:r>
            <w:r w:rsidRPr="00873600">
              <w:rPr>
                <w:sz w:val="20"/>
              </w:rPr>
              <w:t xml:space="preserve">, </w:t>
            </w:r>
          </w:p>
          <w:p w14:paraId="407646B4" w14:textId="77777777" w:rsidR="006876B2" w:rsidRDefault="006876B2" w:rsidP="000B4769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873600">
              <w:rPr>
                <w:sz w:val="20"/>
              </w:rPr>
              <w:t xml:space="preserve">in der </w:t>
            </w:r>
            <w:r w:rsidRPr="00873600">
              <w:rPr>
                <w:b/>
                <w:sz w:val="20"/>
              </w:rPr>
              <w:t>Durchführung</w:t>
            </w:r>
            <w:r w:rsidRPr="00873600">
              <w:rPr>
                <w:sz w:val="20"/>
              </w:rPr>
              <w:t xml:space="preserve"> oder </w:t>
            </w:r>
          </w:p>
          <w:p w14:paraId="14832D9A" w14:textId="77777777" w:rsidR="006876B2" w:rsidRPr="000B4769" w:rsidRDefault="006876B2" w:rsidP="000B4769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  <w:r w:rsidRPr="00873600">
              <w:rPr>
                <w:sz w:val="20"/>
              </w:rPr>
              <w:t xml:space="preserve">in der </w:t>
            </w:r>
            <w:r w:rsidRPr="00873600">
              <w:rPr>
                <w:b/>
                <w:sz w:val="20"/>
              </w:rPr>
              <w:t>Wirksamkeit</w:t>
            </w:r>
          </w:p>
          <w:p w14:paraId="077927FE" w14:textId="77777777" w:rsidR="006876B2" w:rsidRPr="00873600" w:rsidRDefault="006876B2" w:rsidP="000B4769">
            <w:pPr>
              <w:spacing w:before="0"/>
              <w:rPr>
                <w:sz w:val="20"/>
              </w:rPr>
            </w:pPr>
            <w:r w:rsidRPr="00873600">
              <w:rPr>
                <w:b/>
                <w:color w:val="FF0000"/>
                <w:sz w:val="20"/>
              </w:rPr>
              <w:t>des QMS selbst</w:t>
            </w:r>
          </w:p>
        </w:tc>
        <w:tc>
          <w:tcPr>
            <w:tcW w:w="426" w:type="dxa"/>
          </w:tcPr>
          <w:p w14:paraId="4DFFF3D8" w14:textId="77777777" w:rsidR="006876B2" w:rsidRPr="00873600" w:rsidRDefault="006876B2" w:rsidP="009C46DD">
            <w:pPr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5244" w:type="dxa"/>
            <w:gridSpan w:val="3"/>
          </w:tcPr>
          <w:p w14:paraId="6F3A84A0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 w:rsidRPr="00873600">
              <w:rPr>
                <w:b/>
                <w:sz w:val="20"/>
              </w:rPr>
              <w:t xml:space="preserve">Übergeordnete Risikobetrachtung auf </w:t>
            </w:r>
            <w:r w:rsidRPr="00873600">
              <w:rPr>
                <w:b/>
                <w:color w:val="FF0000"/>
                <w:sz w:val="20"/>
              </w:rPr>
              <w:t>Systemebene</w:t>
            </w:r>
            <w:r>
              <w:rPr>
                <w:sz w:val="20"/>
              </w:rPr>
              <w:t xml:space="preserve">, </w:t>
            </w:r>
          </w:p>
          <w:p w14:paraId="32FEE231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die (aggregierte) Gefahr beschreibt, dass das </w:t>
            </w:r>
            <w:r w:rsidRPr="00873600">
              <w:rPr>
                <w:b/>
                <w:sz w:val="20"/>
              </w:rPr>
              <w:t>Gesamtsystem</w:t>
            </w:r>
            <w:r>
              <w:rPr>
                <w:sz w:val="20"/>
              </w:rPr>
              <w:t xml:space="preserve"> nicht ausreichend zur Einhaltung von Berufspflichten funktioniert.</w:t>
            </w:r>
          </w:p>
        </w:tc>
        <w:tc>
          <w:tcPr>
            <w:tcW w:w="5130" w:type="dxa"/>
            <w:gridSpan w:val="3"/>
          </w:tcPr>
          <w:p w14:paraId="77383336" w14:textId="77777777" w:rsidR="006876B2" w:rsidRDefault="006876B2" w:rsidP="009C46DD">
            <w:pPr>
              <w:spacing w:before="0"/>
              <w:jc w:val="left"/>
              <w:rPr>
                <w:b/>
                <w:sz w:val="20"/>
              </w:rPr>
            </w:pPr>
            <w:r w:rsidRPr="00873600">
              <w:rPr>
                <w:b/>
                <w:color w:val="FF0000"/>
                <w:sz w:val="20"/>
              </w:rPr>
              <w:t xml:space="preserve">Konkrete, relevante Schwäche </w:t>
            </w:r>
            <w:r>
              <w:rPr>
                <w:b/>
                <w:sz w:val="20"/>
              </w:rPr>
              <w:t xml:space="preserve">im System, </w:t>
            </w:r>
          </w:p>
          <w:p w14:paraId="42118E69" w14:textId="77777777" w:rsidR="006876B2" w:rsidRDefault="006876B2" w:rsidP="009C46DD">
            <w:pPr>
              <w:spacing w:before="0"/>
              <w:jc w:val="left"/>
              <w:rPr>
                <w:sz w:val="20"/>
              </w:rPr>
            </w:pPr>
            <w:r w:rsidRPr="00873600">
              <w:rPr>
                <w:sz w:val="20"/>
              </w:rPr>
              <w:t xml:space="preserve">die </w:t>
            </w:r>
            <w:r w:rsidRPr="00873600">
              <w:rPr>
                <w:b/>
                <w:sz w:val="20"/>
              </w:rPr>
              <w:t>im Rahmen der externen Qualitätskontrolle festgestellt</w:t>
            </w:r>
            <w:r>
              <w:rPr>
                <w:b/>
                <w:sz w:val="20"/>
              </w:rPr>
              <w:t xml:space="preserve"> </w:t>
            </w:r>
            <w:r w:rsidRPr="00873600">
              <w:rPr>
                <w:sz w:val="20"/>
              </w:rPr>
              <w:t xml:space="preserve">wird und </w:t>
            </w:r>
          </w:p>
          <w:p w14:paraId="36912C49" w14:textId="77777777" w:rsidR="006876B2" w:rsidRPr="00BF3901" w:rsidRDefault="006876B2" w:rsidP="009C46D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873600">
              <w:rPr>
                <w:sz w:val="20"/>
              </w:rPr>
              <w:t xml:space="preserve">die </w:t>
            </w:r>
            <w:r w:rsidRPr="00873600">
              <w:rPr>
                <w:b/>
                <w:sz w:val="20"/>
              </w:rPr>
              <w:t>Einhaltung der Berufspflichten gefährden</w:t>
            </w:r>
            <w:r w:rsidRPr="00873600">
              <w:rPr>
                <w:sz w:val="20"/>
              </w:rPr>
              <w:t xml:space="preserve"> kann</w:t>
            </w:r>
            <w:r>
              <w:rPr>
                <w:b/>
                <w:sz w:val="20"/>
              </w:rPr>
              <w:t>.</w:t>
            </w:r>
          </w:p>
        </w:tc>
      </w:tr>
      <w:bookmarkEnd w:id="1"/>
      <w:tr w:rsidR="006876B2" w14:paraId="7F5394A2" w14:textId="77777777" w:rsidTr="00D579AB">
        <w:trPr>
          <w:cantSplit/>
          <w:trHeight w:val="1134"/>
        </w:trPr>
        <w:tc>
          <w:tcPr>
            <w:tcW w:w="556" w:type="dxa"/>
            <w:textDirection w:val="btLr"/>
            <w:vAlign w:val="center"/>
          </w:tcPr>
          <w:p w14:paraId="5166C94C" w14:textId="77777777" w:rsidR="006876B2" w:rsidRPr="00D44101" w:rsidRDefault="006876B2" w:rsidP="008C5864">
            <w:pPr>
              <w:spacing w:before="0"/>
              <w:ind w:left="113" w:right="113"/>
              <w:jc w:val="center"/>
              <w:rPr>
                <w:b/>
                <w:sz w:val="20"/>
              </w:rPr>
            </w:pPr>
            <w:r w:rsidRPr="00D44101">
              <w:rPr>
                <w:b/>
                <w:sz w:val="20"/>
              </w:rPr>
              <w:t>Hinweise</w:t>
            </w:r>
          </w:p>
        </w:tc>
        <w:tc>
          <w:tcPr>
            <w:tcW w:w="5109" w:type="dxa"/>
            <w:gridSpan w:val="3"/>
          </w:tcPr>
          <w:p w14:paraId="6F453868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Identifizierung und Beurteilung durch WP-Praxis selbst; </w:t>
            </w:r>
            <w:r w:rsidR="00845D34">
              <w:rPr>
                <w:sz w:val="20"/>
              </w:rPr>
              <w:t>z. B.</w:t>
            </w:r>
            <w:r w:rsidR="00845D34" w:rsidRPr="006E6308">
              <w:rPr>
                <w:b/>
                <w:color w:val="FF0000"/>
                <w:sz w:val="20"/>
              </w:rPr>
              <w:t xml:space="preserve"> jährliche Feststellung qualitätsgefährdender Risiken.</w:t>
            </w:r>
          </w:p>
          <w:p w14:paraId="4D91D8C7" w14:textId="77777777" w:rsidR="006876B2" w:rsidRPr="0082762A" w:rsidRDefault="006876B2" w:rsidP="008C5864">
            <w:r>
              <w:rPr>
                <w:sz w:val="20"/>
              </w:rPr>
              <w:t>Grundlage für die Ausgestaltung adäquater Reaktionen im Rahmen des risikobasierten Qualitätsmanagementprozesses.</w:t>
            </w:r>
          </w:p>
          <w:p w14:paraId="6F3632D1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5103" w:type="dxa"/>
          </w:tcPr>
          <w:p w14:paraId="0D4864AE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 w:rsidRPr="00D44101">
              <w:rPr>
                <w:b/>
                <w:sz w:val="20"/>
              </w:rPr>
              <w:t>WP-Praxis</w:t>
            </w:r>
            <w:r>
              <w:rPr>
                <w:sz w:val="20"/>
              </w:rPr>
              <w:t xml:space="preserve"> erkennt </w:t>
            </w:r>
          </w:p>
          <w:p w14:paraId="2D4B184A" w14:textId="77777777" w:rsidR="006876B2" w:rsidRDefault="006876B2" w:rsidP="008C5864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im Rahmen des </w:t>
            </w:r>
            <w:r w:rsidRPr="00D44101">
              <w:rPr>
                <w:b/>
                <w:sz w:val="20"/>
              </w:rPr>
              <w:t xml:space="preserve">Nachschau- und Verbesserungsprozesses </w:t>
            </w:r>
          </w:p>
          <w:p w14:paraId="34EFA7C0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 w:rsidRPr="00D44101">
              <w:rPr>
                <w:b/>
                <w:sz w:val="20"/>
              </w:rPr>
              <w:t>Schwachstellen</w:t>
            </w:r>
            <w:r>
              <w:rPr>
                <w:sz w:val="20"/>
              </w:rPr>
              <w:t xml:space="preserve"> im System und erkennt deren Ursachen frühzeitig und stellt diese ab, </w:t>
            </w:r>
          </w:p>
          <w:p w14:paraId="6903348F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 w:rsidRPr="00D44101">
              <w:rPr>
                <w:b/>
                <w:sz w:val="20"/>
              </w:rPr>
              <w:t xml:space="preserve">auch </w:t>
            </w:r>
            <w:r w:rsidR="003214A5">
              <w:rPr>
                <w:b/>
                <w:sz w:val="20"/>
              </w:rPr>
              <w:t>für den Fall, dass</w:t>
            </w:r>
            <w:r w:rsidRPr="00D44101">
              <w:rPr>
                <w:b/>
                <w:sz w:val="20"/>
              </w:rPr>
              <w:t xml:space="preserve"> diese ggf. noch keine konkrete Gefahr für die berufliche Leistung</w:t>
            </w:r>
            <w:r>
              <w:rPr>
                <w:sz w:val="20"/>
              </w:rPr>
              <w:t xml:space="preserve"> der WP-Praxis darstellen</w:t>
            </w:r>
            <w:r>
              <w:rPr>
                <w:sz w:val="20"/>
              </w:rPr>
              <w:br/>
              <w:t>„</w:t>
            </w:r>
            <w:r w:rsidRPr="00D44101">
              <w:rPr>
                <w:b/>
                <w:color w:val="FF0000"/>
                <w:sz w:val="20"/>
              </w:rPr>
              <w:t>Selbstheilungskräfte des QMS</w:t>
            </w:r>
            <w:r>
              <w:rPr>
                <w:sz w:val="20"/>
              </w:rPr>
              <w:t>“</w:t>
            </w:r>
          </w:p>
        </w:tc>
        <w:tc>
          <w:tcPr>
            <w:tcW w:w="426" w:type="dxa"/>
          </w:tcPr>
          <w:p w14:paraId="3B043A8D" w14:textId="77777777" w:rsidR="006876B2" w:rsidRPr="007F6158" w:rsidRDefault="006876B2" w:rsidP="008C5864">
            <w:pPr>
              <w:spacing w:before="0"/>
              <w:jc w:val="left"/>
              <w:rPr>
                <w:b/>
                <w:sz w:val="20"/>
              </w:rPr>
            </w:pPr>
          </w:p>
        </w:tc>
        <w:tc>
          <w:tcPr>
            <w:tcW w:w="5244" w:type="dxa"/>
            <w:gridSpan w:val="3"/>
          </w:tcPr>
          <w:p w14:paraId="2C46FC94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 w:rsidRPr="007F6158">
              <w:rPr>
                <w:b/>
                <w:sz w:val="20"/>
              </w:rPr>
              <w:t>Grundlage für Planung und Durchführung</w:t>
            </w:r>
            <w:r>
              <w:rPr>
                <w:sz w:val="20"/>
              </w:rPr>
              <w:t xml:space="preserve"> der externen Qualitätskontrolle und </w:t>
            </w:r>
          </w:p>
          <w:p w14:paraId="3A548CF0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basiert </w:t>
            </w:r>
          </w:p>
          <w:p w14:paraId="58AF9E7D" w14:textId="77777777" w:rsidR="006876B2" w:rsidRDefault="006876B2" w:rsidP="008C5864">
            <w:pPr>
              <w:pStyle w:val="Listenabsatz"/>
              <w:numPr>
                <w:ilvl w:val="0"/>
                <w:numId w:val="39"/>
              </w:numPr>
              <w:spacing w:before="0"/>
              <w:jc w:val="left"/>
              <w:rPr>
                <w:sz w:val="20"/>
              </w:rPr>
            </w:pPr>
            <w:r w:rsidRPr="007F6158">
              <w:rPr>
                <w:sz w:val="20"/>
              </w:rPr>
              <w:t xml:space="preserve">auf dem </w:t>
            </w:r>
            <w:r w:rsidRPr="007F6158">
              <w:rPr>
                <w:b/>
                <w:sz w:val="20"/>
              </w:rPr>
              <w:t>erlangten Verständnis von der WP-Praxis und von dem zu prüfenden QSS</w:t>
            </w:r>
            <w:r w:rsidRPr="007F6158">
              <w:rPr>
                <w:sz w:val="20"/>
              </w:rPr>
              <w:t xml:space="preserve"> und</w:t>
            </w:r>
          </w:p>
          <w:p w14:paraId="6460104D" w14:textId="77777777" w:rsidR="006876B2" w:rsidRDefault="006876B2" w:rsidP="008C5864">
            <w:pPr>
              <w:pStyle w:val="Listenabsatz"/>
              <w:numPr>
                <w:ilvl w:val="0"/>
                <w:numId w:val="39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berücksichtigt </w:t>
            </w:r>
            <w:r w:rsidRPr="007F6158">
              <w:rPr>
                <w:b/>
                <w:sz w:val="20"/>
              </w:rPr>
              <w:t>nicht nur</w:t>
            </w:r>
            <w:r>
              <w:rPr>
                <w:sz w:val="20"/>
              </w:rPr>
              <w:t xml:space="preserve"> die </w:t>
            </w:r>
            <w:r w:rsidRPr="007F6158">
              <w:rPr>
                <w:b/>
                <w:sz w:val="20"/>
              </w:rPr>
              <w:t>qualitätsgefährdenden Risiken</w:t>
            </w:r>
            <w:r>
              <w:rPr>
                <w:sz w:val="20"/>
              </w:rPr>
              <w:t xml:space="preserve">, </w:t>
            </w:r>
          </w:p>
          <w:p w14:paraId="545E5395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sondern bezieht auch die zu deren Bewältigung eingeführten </w:t>
            </w:r>
            <w:r w:rsidRPr="007F6158">
              <w:rPr>
                <w:b/>
                <w:sz w:val="20"/>
              </w:rPr>
              <w:t>Regelungen und Maßnahmen</w:t>
            </w:r>
            <w:r>
              <w:rPr>
                <w:sz w:val="20"/>
              </w:rPr>
              <w:t xml:space="preserve"> der WP-Praxis mit ein.</w:t>
            </w:r>
          </w:p>
        </w:tc>
        <w:tc>
          <w:tcPr>
            <w:tcW w:w="5130" w:type="dxa"/>
            <w:gridSpan w:val="3"/>
          </w:tcPr>
          <w:p w14:paraId="41B94D67" w14:textId="77777777" w:rsidR="006876B2" w:rsidRDefault="006876B2" w:rsidP="008C5864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Knüpft an </w:t>
            </w:r>
            <w:r w:rsidRPr="00D44101">
              <w:rPr>
                <w:b/>
                <w:sz w:val="20"/>
              </w:rPr>
              <w:t>konkrete Gefahr der Beeinträchtigung für die berufliche Leistung</w:t>
            </w:r>
            <w:r>
              <w:rPr>
                <w:sz w:val="20"/>
              </w:rPr>
              <w:t xml:space="preserve"> an und </w:t>
            </w:r>
          </w:p>
          <w:p w14:paraId="7CDB2CD3" w14:textId="77777777" w:rsidR="006876B2" w:rsidRPr="00873600" w:rsidRDefault="006876B2" w:rsidP="008C5864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kann zu einer </w:t>
            </w:r>
            <w:r w:rsidRPr="00D44101">
              <w:rPr>
                <w:b/>
                <w:sz w:val="20"/>
              </w:rPr>
              <w:t>Modifizierung des Prüfungsurteils</w:t>
            </w:r>
            <w:r>
              <w:rPr>
                <w:sz w:val="20"/>
              </w:rPr>
              <w:t xml:space="preserve"> des Prüfers für Qualitätskontrolle führen (§ 57a Abs. 5 Satz 5 WPO)</w:t>
            </w:r>
          </w:p>
        </w:tc>
      </w:tr>
      <w:tr w:rsidR="006876B2" w14:paraId="773FC7AC" w14:textId="77777777" w:rsidTr="00D579AB">
        <w:trPr>
          <w:cantSplit/>
          <w:trHeight w:val="3552"/>
        </w:trPr>
        <w:tc>
          <w:tcPr>
            <w:tcW w:w="556" w:type="dxa"/>
            <w:textDirection w:val="btLr"/>
            <w:vAlign w:val="center"/>
          </w:tcPr>
          <w:p w14:paraId="4479FFF7" w14:textId="77777777" w:rsidR="006876B2" w:rsidRPr="00D44101" w:rsidRDefault="006876B2" w:rsidP="008C5864">
            <w:pPr>
              <w:spacing w:before="0"/>
              <w:ind w:left="113" w:right="113"/>
              <w:jc w:val="center"/>
              <w:rPr>
                <w:b/>
              </w:rPr>
            </w:pPr>
            <w:r w:rsidRPr="00D44101">
              <w:rPr>
                <w:b/>
              </w:rPr>
              <w:t>B</w:t>
            </w:r>
            <w:r>
              <w:rPr>
                <w:b/>
              </w:rPr>
              <w:t>e</w:t>
            </w:r>
            <w:r w:rsidRPr="00D44101">
              <w:rPr>
                <w:b/>
              </w:rPr>
              <w:t>ispiele</w:t>
            </w:r>
          </w:p>
        </w:tc>
        <w:tc>
          <w:tcPr>
            <w:tcW w:w="5109" w:type="dxa"/>
            <w:gridSpan w:val="3"/>
          </w:tcPr>
          <w:p w14:paraId="175D7CFA" w14:textId="77777777" w:rsidR="006876B2" w:rsidRDefault="006876B2" w:rsidP="00956323">
            <w:pPr>
              <w:pStyle w:val="Listenabsatz"/>
              <w:numPr>
                <w:ilvl w:val="0"/>
                <w:numId w:val="40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5178B3">
              <w:rPr>
                <w:b/>
                <w:sz w:val="20"/>
              </w:rPr>
              <w:t>operative Verantwortung für das QMS</w:t>
            </w:r>
            <w:r>
              <w:rPr>
                <w:sz w:val="20"/>
              </w:rPr>
              <w:t xml:space="preserve"> wird </w:t>
            </w:r>
            <w:r w:rsidRPr="005178B3">
              <w:rPr>
                <w:b/>
                <w:sz w:val="20"/>
              </w:rPr>
              <w:t>nicht eindeutig</w:t>
            </w:r>
            <w:r>
              <w:rPr>
                <w:sz w:val="20"/>
              </w:rPr>
              <w:t xml:space="preserve"> einer fachlich kompetenten Person </w:t>
            </w:r>
            <w:r w:rsidRPr="005178B3">
              <w:rPr>
                <w:b/>
                <w:sz w:val="20"/>
              </w:rPr>
              <w:t>zugeordnet</w:t>
            </w:r>
            <w:r>
              <w:rPr>
                <w:sz w:val="20"/>
              </w:rPr>
              <w:t xml:space="preserve"> </w:t>
            </w:r>
          </w:p>
          <w:p w14:paraId="789038EA" w14:textId="77777777" w:rsidR="006876B2" w:rsidRDefault="006876B2" w:rsidP="00956323">
            <w:pPr>
              <w:pStyle w:val="Listenabsatz"/>
              <w:numPr>
                <w:ilvl w:val="0"/>
                <w:numId w:val="40"/>
              </w:numPr>
              <w:spacing w:before="0"/>
              <w:jc w:val="left"/>
              <w:rPr>
                <w:sz w:val="20"/>
              </w:rPr>
            </w:pPr>
            <w:r w:rsidRPr="005178B3">
              <w:rPr>
                <w:b/>
                <w:sz w:val="20"/>
              </w:rPr>
              <w:t>Fachpersonal</w:t>
            </w:r>
            <w:r>
              <w:rPr>
                <w:sz w:val="20"/>
              </w:rPr>
              <w:t xml:space="preserve"> wird </w:t>
            </w:r>
            <w:r w:rsidRPr="005178B3">
              <w:rPr>
                <w:b/>
                <w:sz w:val="20"/>
              </w:rPr>
              <w:t>nicht angemessen</w:t>
            </w:r>
            <w:r>
              <w:rPr>
                <w:sz w:val="20"/>
              </w:rPr>
              <w:t xml:space="preserve"> über die </w:t>
            </w:r>
            <w:r w:rsidRPr="005178B3">
              <w:rPr>
                <w:b/>
                <w:sz w:val="20"/>
              </w:rPr>
              <w:t>einschlägigen berufsethischen Regelungen</w:t>
            </w:r>
            <w:r>
              <w:rPr>
                <w:sz w:val="20"/>
              </w:rPr>
              <w:t xml:space="preserve"> der WPO, der BS WP/vBP und des HGB </w:t>
            </w:r>
            <w:r w:rsidRPr="005178B3">
              <w:rPr>
                <w:b/>
                <w:sz w:val="20"/>
              </w:rPr>
              <w:t>informiert</w:t>
            </w:r>
          </w:p>
          <w:p w14:paraId="4FE46EC1" w14:textId="77777777" w:rsidR="006876B2" w:rsidRDefault="006876B2" w:rsidP="00956323">
            <w:pPr>
              <w:pStyle w:val="Listenabsatz"/>
              <w:numPr>
                <w:ilvl w:val="0"/>
                <w:numId w:val="40"/>
              </w:numPr>
              <w:spacing w:before="0"/>
              <w:jc w:val="left"/>
              <w:rPr>
                <w:sz w:val="20"/>
              </w:rPr>
            </w:pPr>
            <w:r w:rsidRPr="005178B3">
              <w:rPr>
                <w:b/>
                <w:sz w:val="20"/>
              </w:rPr>
              <w:t>Fachkräftemangel</w:t>
            </w:r>
            <w:r>
              <w:rPr>
                <w:sz w:val="20"/>
              </w:rPr>
              <w:t>, d. h. es fehlt an Mitarbeitern, um die angenommenen Aufträge dem Qualitätsanspruch der WP-Praxis und den Berufspflichten genügend durchzuführen</w:t>
            </w:r>
          </w:p>
          <w:p w14:paraId="0979C4CC" w14:textId="77777777" w:rsidR="006876B2" w:rsidRPr="007F6158" w:rsidRDefault="006876B2" w:rsidP="00956323">
            <w:pPr>
              <w:pStyle w:val="Listenabsatz"/>
              <w:numPr>
                <w:ilvl w:val="0"/>
                <w:numId w:val="40"/>
              </w:numPr>
              <w:spacing w:before="0"/>
              <w:jc w:val="left"/>
              <w:rPr>
                <w:sz w:val="20"/>
              </w:rPr>
            </w:pPr>
            <w:r w:rsidRPr="00821A11">
              <w:rPr>
                <w:b/>
                <w:sz w:val="20"/>
              </w:rPr>
              <w:t>Verwendete IT ist veraltet oder ungeeignet</w:t>
            </w:r>
            <w:r w:rsidRPr="00821A11">
              <w:rPr>
                <w:sz w:val="20"/>
              </w:rPr>
              <w:t>, um die Auftragsabwicklung oder das QMS angemessen zu unterstützen.**)</w:t>
            </w:r>
          </w:p>
        </w:tc>
        <w:tc>
          <w:tcPr>
            <w:tcW w:w="5103" w:type="dxa"/>
          </w:tcPr>
          <w:p w14:paraId="1F7F820E" w14:textId="77777777" w:rsidR="006876B2" w:rsidRDefault="006876B2" w:rsidP="00CD1FCB">
            <w:pPr>
              <w:pStyle w:val="Listenabsatz"/>
              <w:numPr>
                <w:ilvl w:val="0"/>
                <w:numId w:val="41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Ein </w:t>
            </w:r>
            <w:r w:rsidRPr="00D44101">
              <w:rPr>
                <w:b/>
                <w:sz w:val="20"/>
              </w:rPr>
              <w:t>wesentliches Qualitätsziel</w:t>
            </w:r>
            <w:r>
              <w:rPr>
                <w:sz w:val="20"/>
              </w:rPr>
              <w:t xml:space="preserve"> (z. B. Einhaltung der Unabhängigkeit) ist im QMS </w:t>
            </w:r>
            <w:r w:rsidRPr="00D44101">
              <w:rPr>
                <w:b/>
                <w:sz w:val="20"/>
              </w:rPr>
              <w:t>nicht definiert</w:t>
            </w:r>
          </w:p>
          <w:p w14:paraId="79AD128C" w14:textId="77777777" w:rsidR="006876B2" w:rsidRDefault="006876B2" w:rsidP="00CD1FCB">
            <w:pPr>
              <w:pStyle w:val="Listenabsatz"/>
              <w:numPr>
                <w:ilvl w:val="0"/>
                <w:numId w:val="41"/>
              </w:numPr>
              <w:spacing w:before="0"/>
              <w:jc w:val="left"/>
              <w:rPr>
                <w:sz w:val="20"/>
              </w:rPr>
            </w:pPr>
            <w:r w:rsidRPr="00D44101">
              <w:rPr>
                <w:b/>
                <w:sz w:val="20"/>
              </w:rPr>
              <w:t>Ein identifiziertes qualitätsgefährdendes Risiko</w:t>
            </w:r>
            <w:r>
              <w:rPr>
                <w:sz w:val="20"/>
              </w:rPr>
              <w:t xml:space="preserve"> (z. B. hohe Fluktuation) wird </w:t>
            </w:r>
            <w:r w:rsidRPr="00D44101">
              <w:rPr>
                <w:b/>
                <w:sz w:val="20"/>
              </w:rPr>
              <w:t xml:space="preserve">nicht angemessen beurteilt </w:t>
            </w:r>
            <w:r>
              <w:rPr>
                <w:sz w:val="20"/>
              </w:rPr>
              <w:t>oder mit Maßnahmen adressiert</w:t>
            </w:r>
          </w:p>
          <w:p w14:paraId="7FAD7F4A" w14:textId="77777777" w:rsidR="006876B2" w:rsidRDefault="006876B2" w:rsidP="00CD1FCB">
            <w:pPr>
              <w:pStyle w:val="Listenabsatz"/>
              <w:numPr>
                <w:ilvl w:val="0"/>
                <w:numId w:val="41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</w:t>
            </w:r>
            <w:r w:rsidRPr="00D44101">
              <w:rPr>
                <w:b/>
                <w:sz w:val="20"/>
              </w:rPr>
              <w:t>Nachschau- und Verbesserungsprozess</w:t>
            </w:r>
            <w:r>
              <w:rPr>
                <w:sz w:val="20"/>
              </w:rPr>
              <w:t xml:space="preserve"> der WP-Praxis ist </w:t>
            </w:r>
            <w:r w:rsidRPr="00D44101">
              <w:rPr>
                <w:b/>
                <w:sz w:val="20"/>
              </w:rPr>
              <w:t>nicht so gestaltet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  <w:t xml:space="preserve">dass </w:t>
            </w:r>
            <w:r w:rsidRPr="00D44101">
              <w:rPr>
                <w:b/>
                <w:sz w:val="20"/>
              </w:rPr>
              <w:t>relevante Informationen</w:t>
            </w:r>
            <w:r>
              <w:rPr>
                <w:sz w:val="20"/>
              </w:rPr>
              <w:t xml:space="preserve"> über die </w:t>
            </w:r>
            <w:r w:rsidRPr="00D44101">
              <w:rPr>
                <w:b/>
                <w:sz w:val="20"/>
              </w:rPr>
              <w:t xml:space="preserve">Ausgestaltung und Einrichtung des QMS </w:t>
            </w:r>
            <w:r>
              <w:rPr>
                <w:sz w:val="20"/>
              </w:rPr>
              <w:t>geliefert werden</w:t>
            </w:r>
            <w:bookmarkStart w:id="2" w:name="_GoBack"/>
            <w:bookmarkEnd w:id="2"/>
          </w:p>
          <w:p w14:paraId="3DF93298" w14:textId="77777777" w:rsidR="006876B2" w:rsidRPr="007F6158" w:rsidRDefault="006876B2" w:rsidP="00CD1FCB">
            <w:pPr>
              <w:pStyle w:val="Listenabsatz"/>
              <w:numPr>
                <w:ilvl w:val="0"/>
                <w:numId w:val="41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Ein Aspekt des QMS </w:t>
            </w:r>
            <w:r w:rsidRPr="00D44101">
              <w:rPr>
                <w:b/>
                <w:sz w:val="20"/>
              </w:rPr>
              <w:t>fehlt</w:t>
            </w:r>
            <w:r>
              <w:rPr>
                <w:sz w:val="20"/>
              </w:rPr>
              <w:t xml:space="preserve"> vollständig, etwa die </w:t>
            </w:r>
            <w:r w:rsidRPr="00D44101">
              <w:rPr>
                <w:b/>
                <w:sz w:val="20"/>
              </w:rPr>
              <w:t>regelmäßige (jährliche) Beurteilung des QMS</w:t>
            </w:r>
            <w:r>
              <w:rPr>
                <w:sz w:val="20"/>
              </w:rPr>
              <w:t xml:space="preserve"> (Wirksamkeit der Maßnahmen)</w:t>
            </w:r>
            <w:r w:rsidR="00CD1FCB">
              <w:rPr>
                <w:sz w:val="20"/>
              </w:rPr>
              <w:t xml:space="preserve"> oder das Hinweisgebersystem</w:t>
            </w:r>
          </w:p>
        </w:tc>
        <w:tc>
          <w:tcPr>
            <w:tcW w:w="426" w:type="dxa"/>
          </w:tcPr>
          <w:p w14:paraId="1C16BCAD" w14:textId="77777777" w:rsidR="006876B2" w:rsidRDefault="006876B2" w:rsidP="008C5864">
            <w:pPr>
              <w:pStyle w:val="Listenabsatz"/>
              <w:numPr>
                <w:ilvl w:val="0"/>
                <w:numId w:val="38"/>
              </w:numPr>
              <w:spacing w:before="0"/>
              <w:jc w:val="left"/>
              <w:rPr>
                <w:sz w:val="20"/>
              </w:rPr>
            </w:pPr>
          </w:p>
        </w:tc>
        <w:tc>
          <w:tcPr>
            <w:tcW w:w="5244" w:type="dxa"/>
            <w:gridSpan w:val="3"/>
          </w:tcPr>
          <w:p w14:paraId="2F50E8F4" w14:textId="77777777" w:rsidR="006876B2" w:rsidRDefault="006876B2" w:rsidP="00582423">
            <w:pPr>
              <w:pStyle w:val="Listenabsatz"/>
              <w:numPr>
                <w:ilvl w:val="0"/>
                <w:numId w:val="42"/>
              </w:numPr>
              <w:spacing w:before="0"/>
              <w:ind w:left="321" w:hanging="4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Praxis hat </w:t>
            </w:r>
            <w:r w:rsidRPr="007F6158">
              <w:rPr>
                <w:b/>
                <w:sz w:val="20"/>
              </w:rPr>
              <w:t>kein systematisches Verfahren zur Identifikation und Bewertung</w:t>
            </w:r>
            <w:r>
              <w:rPr>
                <w:sz w:val="20"/>
              </w:rPr>
              <w:t xml:space="preserve"> qualitätsgefährdender Risiken etabliert.</w:t>
            </w:r>
          </w:p>
          <w:p w14:paraId="4E05A3A5" w14:textId="77777777" w:rsidR="006876B2" w:rsidRDefault="006876B2" w:rsidP="00582423">
            <w:pPr>
              <w:pStyle w:val="Listenabsatz"/>
              <w:numPr>
                <w:ilvl w:val="0"/>
                <w:numId w:val="42"/>
              </w:numPr>
              <w:spacing w:before="0"/>
              <w:ind w:left="321" w:hanging="426"/>
              <w:jc w:val="left"/>
              <w:rPr>
                <w:sz w:val="20"/>
              </w:rPr>
            </w:pPr>
            <w:r>
              <w:rPr>
                <w:sz w:val="20"/>
              </w:rPr>
              <w:t>Es bestehen</w:t>
            </w:r>
            <w:r w:rsidRPr="007F6158">
              <w:rPr>
                <w:b/>
                <w:sz w:val="20"/>
              </w:rPr>
              <w:t xml:space="preserve"> wiederholt Verstöße gegen zentrale Berufspflichten</w:t>
            </w:r>
            <w:r>
              <w:rPr>
                <w:sz w:val="20"/>
              </w:rPr>
              <w:t xml:space="preserve">, etwa zur Unabhängigkeit oder Verschwiegenheit, </w:t>
            </w:r>
            <w:r w:rsidRPr="007F6158">
              <w:rPr>
                <w:b/>
                <w:sz w:val="20"/>
              </w:rPr>
              <w:t>ohne</w:t>
            </w:r>
            <w:r>
              <w:rPr>
                <w:sz w:val="20"/>
              </w:rPr>
              <w:t xml:space="preserve"> dass das QSS </w:t>
            </w:r>
            <w:r w:rsidRPr="007F6158">
              <w:rPr>
                <w:b/>
                <w:sz w:val="20"/>
              </w:rPr>
              <w:t>diese verhindert</w:t>
            </w:r>
            <w:r>
              <w:rPr>
                <w:sz w:val="20"/>
              </w:rPr>
              <w:t>.</w:t>
            </w:r>
          </w:p>
          <w:p w14:paraId="4963C3F6" w14:textId="77777777" w:rsidR="006876B2" w:rsidRDefault="006876B2" w:rsidP="00582423">
            <w:pPr>
              <w:pStyle w:val="Listenabsatz"/>
              <w:numPr>
                <w:ilvl w:val="0"/>
                <w:numId w:val="42"/>
              </w:numPr>
              <w:spacing w:before="0"/>
              <w:ind w:left="321" w:hanging="4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7F6158">
              <w:rPr>
                <w:b/>
                <w:sz w:val="20"/>
              </w:rPr>
              <w:t>Überwachung der Wirksamkeit</w:t>
            </w:r>
            <w:r>
              <w:rPr>
                <w:sz w:val="20"/>
              </w:rPr>
              <w:t xml:space="preserve"> des QSS erfolgt </w:t>
            </w:r>
            <w:r w:rsidRPr="007F6158">
              <w:rPr>
                <w:b/>
                <w:sz w:val="20"/>
              </w:rPr>
              <w:t>nicht regelmäßig</w:t>
            </w:r>
            <w:r>
              <w:rPr>
                <w:sz w:val="20"/>
              </w:rPr>
              <w:t>, sodass Schwächen nicht erkannt werden.</w:t>
            </w:r>
          </w:p>
        </w:tc>
        <w:tc>
          <w:tcPr>
            <w:tcW w:w="5130" w:type="dxa"/>
            <w:gridSpan w:val="3"/>
          </w:tcPr>
          <w:p w14:paraId="1361981A" w14:textId="77777777" w:rsidR="006876B2" w:rsidRDefault="006876B2" w:rsidP="0046754D">
            <w:pPr>
              <w:pStyle w:val="Listenabsatz"/>
              <w:numPr>
                <w:ilvl w:val="0"/>
                <w:numId w:val="43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Es existiert </w:t>
            </w:r>
            <w:r w:rsidRPr="007F6158">
              <w:rPr>
                <w:b/>
                <w:sz w:val="20"/>
              </w:rPr>
              <w:t>keine wirksame Regelung zur Unabhängigkeit vor Mandatsannahme</w:t>
            </w:r>
            <w:r>
              <w:rPr>
                <w:sz w:val="20"/>
              </w:rPr>
              <w:t xml:space="preserve"> (Angemessenheit)</w:t>
            </w:r>
          </w:p>
          <w:p w14:paraId="2214C7DB" w14:textId="77777777" w:rsidR="006876B2" w:rsidRDefault="006876B2" w:rsidP="0046754D">
            <w:pPr>
              <w:pStyle w:val="Listenabsatz"/>
              <w:numPr>
                <w:ilvl w:val="0"/>
                <w:numId w:val="43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D44101">
              <w:rPr>
                <w:b/>
                <w:sz w:val="20"/>
              </w:rPr>
              <w:t>interne Nachschau</w:t>
            </w:r>
            <w:r>
              <w:rPr>
                <w:sz w:val="20"/>
              </w:rPr>
              <w:t xml:space="preserve"> wurde über mehrere Jahre </w:t>
            </w:r>
            <w:r w:rsidRPr="00D44101">
              <w:rPr>
                <w:b/>
                <w:sz w:val="20"/>
              </w:rPr>
              <w:t>nicht durchgeführt</w:t>
            </w:r>
            <w:r>
              <w:rPr>
                <w:sz w:val="20"/>
              </w:rPr>
              <w:t xml:space="preserve"> (Wirksamkeit)</w:t>
            </w:r>
          </w:p>
          <w:p w14:paraId="1243EF0F" w14:textId="77777777" w:rsidR="006876B2" w:rsidRDefault="006876B2" w:rsidP="0046754D">
            <w:pPr>
              <w:pStyle w:val="Listenabsatz"/>
              <w:numPr>
                <w:ilvl w:val="0"/>
                <w:numId w:val="43"/>
              </w:numPr>
              <w:spacing w:befor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Es </w:t>
            </w:r>
            <w:r w:rsidRPr="00D44101">
              <w:rPr>
                <w:b/>
                <w:sz w:val="20"/>
              </w:rPr>
              <w:t>fehlen verbindliche Vorgaben zur Dokumentation der Prüfungsdurchführung</w:t>
            </w:r>
          </w:p>
          <w:p w14:paraId="5336C566" w14:textId="77777777" w:rsidR="006876B2" w:rsidRPr="00D44101" w:rsidRDefault="006876B2" w:rsidP="0046754D">
            <w:pPr>
              <w:pStyle w:val="Listenabsatz"/>
              <w:numPr>
                <w:ilvl w:val="0"/>
                <w:numId w:val="43"/>
              </w:numPr>
              <w:spacing w:before="0"/>
              <w:jc w:val="left"/>
              <w:rPr>
                <w:b/>
                <w:sz w:val="20"/>
              </w:rPr>
            </w:pPr>
            <w:r w:rsidRPr="00D44101">
              <w:rPr>
                <w:sz w:val="20"/>
              </w:rPr>
              <w:t xml:space="preserve">Die </w:t>
            </w:r>
            <w:r w:rsidRPr="00D44101">
              <w:rPr>
                <w:b/>
                <w:sz w:val="20"/>
              </w:rPr>
              <w:t>Fortbildungspflicht</w:t>
            </w:r>
            <w:r w:rsidRPr="00D44101">
              <w:rPr>
                <w:sz w:val="20"/>
              </w:rPr>
              <w:t xml:space="preserve"> der Mitarbeitenden wird </w:t>
            </w:r>
            <w:r w:rsidRPr="00D44101">
              <w:rPr>
                <w:b/>
                <w:sz w:val="20"/>
              </w:rPr>
              <w:t>nicht überwacht oder nachgewiesen</w:t>
            </w:r>
            <w:r w:rsidRPr="00D44101">
              <w:rPr>
                <w:sz w:val="20"/>
              </w:rPr>
              <w:t>. *)</w:t>
            </w:r>
          </w:p>
        </w:tc>
      </w:tr>
      <w:tr w:rsidR="006876B2" w14:paraId="26254BB7" w14:textId="77777777" w:rsidTr="00FB5EE7">
        <w:trPr>
          <w:cantSplit/>
          <w:trHeight w:val="684"/>
        </w:trPr>
        <w:tc>
          <w:tcPr>
            <w:tcW w:w="556" w:type="dxa"/>
            <w:shd w:val="clear" w:color="auto" w:fill="FFFFA3"/>
            <w:textDirection w:val="btLr"/>
            <w:vAlign w:val="center"/>
          </w:tcPr>
          <w:p w14:paraId="64DC07B8" w14:textId="77777777" w:rsidR="006876B2" w:rsidRPr="00D44101" w:rsidRDefault="006876B2" w:rsidP="00846585">
            <w:pPr>
              <w:spacing w:before="0"/>
              <w:ind w:left="113" w:right="113"/>
              <w:jc w:val="center"/>
              <w:rPr>
                <w:b/>
              </w:rPr>
            </w:pPr>
          </w:p>
        </w:tc>
        <w:tc>
          <w:tcPr>
            <w:tcW w:w="10212" w:type="dxa"/>
            <w:gridSpan w:val="4"/>
            <w:shd w:val="clear" w:color="auto" w:fill="FFFFA3"/>
            <w:vAlign w:val="center"/>
          </w:tcPr>
          <w:p w14:paraId="68210FF5" w14:textId="77777777" w:rsidR="006876B2" w:rsidRPr="00D44101" w:rsidRDefault="006876B2" w:rsidP="00846585">
            <w:pPr>
              <w:spacing w:before="0"/>
              <w:jc w:val="center"/>
              <w:rPr>
                <w:b/>
              </w:rPr>
            </w:pPr>
            <w:r w:rsidRPr="00D44101">
              <w:rPr>
                <w:b/>
              </w:rPr>
              <w:t xml:space="preserve">Identifikation (Risiko) und Durchführung von Maßnahmen zur Risikobewältigung </w:t>
            </w:r>
            <w:r>
              <w:rPr>
                <w:b/>
              </w:rPr>
              <w:br/>
            </w:r>
            <w:r w:rsidRPr="00D44101">
              <w:rPr>
                <w:b/>
              </w:rPr>
              <w:t xml:space="preserve">durch die </w:t>
            </w:r>
            <w:r w:rsidRPr="008F4E30">
              <w:rPr>
                <w:b/>
                <w:color w:val="FFFFFF" w:themeColor="background1"/>
                <w:shd w:val="clear" w:color="auto" w:fill="00B0F0"/>
              </w:rPr>
              <w:t>WP-Praxis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6E1C58" w14:textId="77777777" w:rsidR="006876B2" w:rsidRDefault="006876B2" w:rsidP="00846585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0374" w:type="dxa"/>
            <w:gridSpan w:val="6"/>
            <w:shd w:val="clear" w:color="auto" w:fill="FFFFA3"/>
            <w:vAlign w:val="center"/>
          </w:tcPr>
          <w:p w14:paraId="36423CDA" w14:textId="77777777" w:rsidR="006876B2" w:rsidRPr="00D44101" w:rsidRDefault="006876B2" w:rsidP="00846585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Identifikation (Risiko) und Feststellung (Mangel) erfolgen </w:t>
            </w:r>
            <w:r>
              <w:rPr>
                <w:b/>
              </w:rPr>
              <w:br/>
              <w:t xml:space="preserve">durch den </w:t>
            </w:r>
            <w:r w:rsidRPr="00D44101">
              <w:rPr>
                <w:b/>
                <w:color w:val="FFFFFF" w:themeColor="background1"/>
                <w:highlight w:val="red"/>
              </w:rPr>
              <w:t>Prüfer für Qualitätskontrolle</w:t>
            </w:r>
          </w:p>
        </w:tc>
      </w:tr>
    </w:tbl>
    <w:p w14:paraId="7FD6811F" w14:textId="77777777" w:rsidR="00BF3901" w:rsidRPr="00BF3901" w:rsidRDefault="00D44101" w:rsidP="00BF3901">
      <w:pPr>
        <w:spacing w:befor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1A96" wp14:editId="3AB8DBC3">
                <wp:simplePos x="0" y="0"/>
                <wp:positionH relativeFrom="column">
                  <wp:posOffset>-53340</wp:posOffset>
                </wp:positionH>
                <wp:positionV relativeFrom="paragraph">
                  <wp:posOffset>114300</wp:posOffset>
                </wp:positionV>
                <wp:extent cx="12773025" cy="75247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30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CF479" w14:textId="77777777" w:rsidR="007F6158" w:rsidRPr="00D44101" w:rsidRDefault="007F6158" w:rsidP="005178B3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D44101">
                              <w:rPr>
                                <w:sz w:val="16"/>
                              </w:rPr>
                              <w:t xml:space="preserve">*) Vgl. WPK, Beispiele für Mängel des Qualitätssicherungssystems, 15.10.2020; </w:t>
                            </w:r>
                            <w:hyperlink r:id="rId9" w:history="1">
                              <w:r w:rsidRPr="00D44101">
                                <w:rPr>
                                  <w:rStyle w:val="Hyperlink"/>
                                  <w:sz w:val="16"/>
                                </w:rPr>
                                <w:t>https://www.wpk.de/fileadmin/documents/Beruf/Formulare_Merkblaetter/WPK_Hinweis_der_KfQK_Beispiele_Maengel_Qualitaetssicherungssystem.pdf</w:t>
                              </w:r>
                            </w:hyperlink>
                            <w:r w:rsidRPr="00D44101">
                              <w:rPr>
                                <w:sz w:val="16"/>
                              </w:rPr>
                              <w:t xml:space="preserve"> (Abruf: 23.06.2025)</w:t>
                            </w:r>
                            <w:r w:rsidR="005178B3" w:rsidRPr="00D44101">
                              <w:rPr>
                                <w:sz w:val="16"/>
                              </w:rPr>
                              <w:br/>
                              <w:t>**) Vgl. IDW Praxishinweis 3/2023: Umsetzung der Anforderungen des IDW QMS 1 (09.2022) an ein risikobasiertes Qualitätsmanagementsystem in kleineren, weniger komplexen WP-Praxen, Stand: 18.8.2023; Anlage „Risikomatrix zur Umsetzung des IDW QMS 1 (09.2022).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.2pt;margin-top:9pt;width:1005.7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j3LwIAAFIEAAAOAAAAZHJzL2Uyb0RvYy54bWysVF1v2yAUfZ+0/4B4X+y4SbNZcaqsVaZJ&#10;VVspmfpMMCSWgMuAxM5+/S7YSaNuT9Ne8IV7uR/nHDy/67QiR+F8A6ai41FOiTAc6sbsKvpjs/r0&#10;mRIfmKmZAiMqehKe3i0+fpi3thQF7EHVwhFMYnzZ2oruQ7Bllnm+F5r5EVhh0CnBaRZw63ZZ7ViL&#10;2bXKijy/zVpwtXXAhfd4+tA76SLll1Lw8CylF4GoimJvIa0urdu4Zos5K3eO2X3DhzbYP3ShWWOw&#10;6CXVAwuMHFzzRyrdcAceZBhx0BlI2XCRZsBpxvm7adZ7ZkWaBcHx9gKT/39p+dPxxZGmRu4oMUwj&#10;RRvRBSlUTcYRndb6EoPWFsNC9xW6GDmcezyMQ3fS6fjFcQj6EefTBVtMRni8VMxmN3kxpYSjczYt&#10;JrNpzJO9XbfOh28CNIlGRR2SlzBlx0cf+tBzSKxmYNUoheesVIa0Fb29mebpwsWDyZXBGnGIvtlo&#10;hW7bDRNsoT7hYA56YXjLVw0Wf2Q+vDCHSsBZUN3hGRepAIvAYFGyB/frb+cxHglCLyUtKqui/ueB&#10;OUGJ+m6Qui/jySRKMW0m01mBG3ft2V57zEHfA4oX6cHukhnjgzqb0oF+xUewjFXRxQzH2hUNZ/M+&#10;9HrHR8TFcpmCUHyWhUeztjymjhhGaDfdK3N2wD8gdU9w1iAr39HQx/ZELA8BZJM4igD3qA64o3AT&#10;y8Mjiy/jep+i3n4Fi98AAAD//wMAUEsDBBQABgAIAAAAIQC3xy1U3gAAAAoBAAAPAAAAZHJzL2Rv&#10;d25yZXYueG1sTE/LTsJAFN2b+A+TS+IOpoCQpnZKSBNiYnQBsnF32xnahpk7tTNA9eu9rnR5HjmP&#10;fDM6K65mCJ0nBfNZAsJQ7XVHjYLj+26agggRSaP1ZBR8mQCb4v4ux0z7G+3N9RAbwSEUMlTQxthn&#10;Uoa6NQ7DzPeGWDv5wWFkODRSD3jjcGflIknW0mFH3NBib8rW1OfDxSl4KXdvuK8WLv225fPradt/&#10;Hj9WSj1Mxu0TiGjG+GeG3/k8HQreVPkL6SCsgmn6yE7mU77EOrct5yAqZpbrFcgil/8vFD8AAAD/&#10;/wMAUEsBAi0AFAAGAAgAAAAhALaDOJL+AAAA4QEAABMAAAAAAAAAAAAAAAAAAAAAAFtDb250ZW50&#10;X1R5cGVzXS54bWxQSwECLQAUAAYACAAAACEAOP0h/9YAAACUAQAACwAAAAAAAAAAAAAAAAAvAQAA&#10;X3JlbHMvLnJlbHNQSwECLQAUAAYACAAAACEA6PFI9y8CAABSBAAADgAAAAAAAAAAAAAAAAAuAgAA&#10;ZHJzL2Uyb0RvYy54bWxQSwECLQAUAAYACAAAACEAt8ctVN4AAAAKAQAADwAAAAAAAAAAAAAAAACJ&#10;BAAAZHJzL2Rvd25yZXYueG1sUEsFBgAAAAAEAAQA8wAAAJQFAAAAAA==&#10;" filled="f" stroked="f" strokeweight=".5pt">
                <v:textbox>
                  <w:txbxContent>
                    <w:p w:rsidR="007F6158" w:rsidRPr="00D44101" w:rsidRDefault="007F6158" w:rsidP="005178B3">
                      <w:pPr>
                        <w:jc w:val="left"/>
                        <w:rPr>
                          <w:sz w:val="16"/>
                        </w:rPr>
                      </w:pPr>
                      <w:r w:rsidRPr="00D44101">
                        <w:rPr>
                          <w:sz w:val="16"/>
                        </w:rPr>
                        <w:t xml:space="preserve">*) Vgl. WPK, Beispiele für Mängel des Qualitätssicherungssystems, 15.10.2020; </w:t>
                      </w:r>
                      <w:hyperlink r:id="rId10" w:history="1">
                        <w:r w:rsidRPr="00D44101">
                          <w:rPr>
                            <w:rStyle w:val="Hyperlink"/>
                            <w:sz w:val="16"/>
                          </w:rPr>
                          <w:t>https://www.wpk.de/fileadmin/documents/Beruf/Formulare_Merkblaetter/WPK_Hinweis_der_KfQK_Beispiele_Maengel_Qualitaetssicherungssystem.pdf</w:t>
                        </w:r>
                      </w:hyperlink>
                      <w:r w:rsidRPr="00D44101">
                        <w:rPr>
                          <w:sz w:val="16"/>
                        </w:rPr>
                        <w:t xml:space="preserve"> (Abruf: 23.06.2025)</w:t>
                      </w:r>
                      <w:r w:rsidR="005178B3" w:rsidRPr="00D44101">
                        <w:rPr>
                          <w:sz w:val="16"/>
                        </w:rPr>
                        <w:br/>
                        <w:t>**) Vgl. IDW Praxishinweis 3/2023: Umsetzung der Anforderungen des IDW QMS 1 (09.2022) an ein risikobasiertes Qualitätsmanagementsystem in kleineren, weniger komplexen WP-Praxen, Stand: 18.8.2023; Anlage „Risikomatrix zur Umsetzung des IDW QMS 1 (09.2022).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397A3" wp14:editId="306D3337">
                <wp:simplePos x="0" y="0"/>
                <wp:positionH relativeFrom="column">
                  <wp:posOffset>69850</wp:posOffset>
                </wp:positionH>
                <wp:positionV relativeFrom="paragraph">
                  <wp:posOffset>200660</wp:posOffset>
                </wp:positionV>
                <wp:extent cx="1277302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D5183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5.8pt" to="101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7PtAEAALcDAAAOAAAAZHJzL2Uyb0RvYy54bWysU01v2zAMvRfYfxB0X+wk2FoYcXpo0V6G&#10;LdjW3RWZioXqC5QWO/9+lJK4QzcURdELLUrvkXwkvboerWF7wKi9a/l8VnMGTvpOu13LH37efbzi&#10;LCbhOmG8g5YfIPLr9YeL1RAaWPjemw6QURAXmyG0vE8pNFUVZQ9WxJkP4OhRebQikYu7qkMxUHRr&#10;qkVdf64Gj11ALyFGur09PvJ1ia8UyPRNqQiJmZZTbalYLHabbbVeiWaHIvRansoQb6jCCu0o6RTq&#10;ViTBfqP+J5TVEn30Ks2kt5VXSksoGkjNvH6m5kcvAhQt1JwYpjbF9wsrv+43yHTX8iVnTlga0T2g&#10;yEP5BbjVLp+WuU1DiA2hb9wGT14MG8yaR4U2f0kNG0trD1NrYUxM0uV8cXm5rBefOJPnx+qJGTCm&#10;e/CW5UPLjXZZtmjE/ktMlI2gZwg5uZJj7nJKBwMZbNx3UCQlZyvsskRwY5DtBY2/e5xnHRSrIDNF&#10;aWMmUv0y6YTNNCiL9VrihC4ZvUsT0Wrn8X9Z03guVR3xZ9VHrVn21neHMonSDtqOouy0yXn9/vYL&#10;/el/W/8BAAD//wMAUEsDBBQABgAIAAAAIQAAYk9f3gAAAAkBAAAPAAAAZHJzL2Rvd25yZXYueG1s&#10;TI/NTsMwEITvSLyDtUi9USepaKsQp0L8nOCQphw4uvGSRI3XUewmgadnEQd6nJ3R7DfZbradGHHw&#10;rSMF8TICgVQ501Kt4P3wcrsF4YMmoztHqOALPezy66tMp8ZNtMexDLXgEvKpVtCE0KdS+qpBq/3S&#10;9UjsfbrB6sByqKUZ9MTltpNJFK2l1S3xh0b3+NhgdSrPVsHm+bUs+unp7buQG1kUowvb04dSi5v5&#10;4R5EwDn8h+EXn9EhZ6ajO5PxomMd85SgYBWvQbCfRElyB+L4d5F5Ji8X5D8AAAD//wMAUEsBAi0A&#10;FAAGAAgAAAAhALaDOJL+AAAA4QEAABMAAAAAAAAAAAAAAAAAAAAAAFtDb250ZW50X1R5cGVzXS54&#10;bWxQSwECLQAUAAYACAAAACEAOP0h/9YAAACUAQAACwAAAAAAAAAAAAAAAAAvAQAAX3JlbHMvLnJl&#10;bHNQSwECLQAUAAYACAAAACEAAoTOz7QBAAC3AwAADgAAAAAAAAAAAAAAAAAuAgAAZHJzL2Uyb0Rv&#10;Yy54bWxQSwECLQAUAAYACAAAACEAAGJPX94AAAAJAQAADwAAAAAAAAAAAAAAAAAOBAAAZHJzL2Rv&#10;d25yZXYueG1sUEsFBgAAAAAEAAQA8wAAABkFAAAAAA==&#10;" strokecolor="black [3040]"/>
            </w:pict>
          </mc:Fallback>
        </mc:AlternateContent>
      </w:r>
    </w:p>
    <w:sectPr w:rsidR="00BF3901" w:rsidRPr="00BF3901" w:rsidSect="00864BE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1" w:h="16838" w:orient="landscape" w:code="8"/>
      <w:pgMar w:top="1134" w:right="1099" w:bottom="1701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9D8AC" w14:textId="77777777" w:rsidR="0036294B" w:rsidRDefault="0036294B">
      <w:pPr>
        <w:spacing w:before="0"/>
      </w:pPr>
      <w:r>
        <w:separator/>
      </w:r>
    </w:p>
  </w:endnote>
  <w:endnote w:type="continuationSeparator" w:id="0">
    <w:p w14:paraId="76365910" w14:textId="77777777" w:rsidR="0036294B" w:rsidRDefault="003629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5A097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16423F"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="0016423F"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="0016423F"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164249">
      <w:rPr>
        <w:rFonts w:eastAsiaTheme="minorHAnsi" w:cstheme="minorBidi"/>
        <w:b/>
        <w:color w:val="00B0F0"/>
        <w:sz w:val="20"/>
        <w:lang w:eastAsia="en-US"/>
      </w:rPr>
      <w:t>Praxishilfe</w:t>
    </w:r>
    <w:r w:rsidR="0016423F">
      <w:rPr>
        <w:rFonts w:eastAsiaTheme="minorHAnsi" w:cstheme="minorBidi"/>
        <w:b/>
        <w:color w:val="00B0F0"/>
        <w:sz w:val="20"/>
        <w:lang w:eastAsia="en-US"/>
      </w:rPr>
      <w:t xml:space="preserve"> </w:t>
    </w:r>
    <w:r w:rsidR="00164249">
      <w:rPr>
        <w:rFonts w:eastAsiaTheme="minorHAnsi" w:cstheme="minorBidi"/>
        <w:b/>
        <w:color w:val="00B0F0"/>
        <w:sz w:val="20"/>
        <w:lang w:eastAsia="en-US"/>
      </w:rPr>
      <w:t>1</w:t>
    </w:r>
    <w:r w:rsidR="009D3B9E">
      <w:rPr>
        <w:rFonts w:eastAsiaTheme="minorHAnsi" w:cstheme="minorBidi"/>
        <w:b/>
        <w:color w:val="00B0F0"/>
        <w:sz w:val="20"/>
        <w:lang w:eastAsia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C899" w14:textId="77777777" w:rsidR="00D579AB" w:rsidRPr="00870FFE" w:rsidRDefault="00D579AB" w:rsidP="00A643A0">
    <w:pPr>
      <w:tabs>
        <w:tab w:val="center" w:pos="4536"/>
        <w:tab w:val="left" w:pos="8723"/>
        <w:tab w:val="right" w:pos="9072"/>
      </w:tabs>
      <w:spacing w:before="520" w:after="120"/>
      <w:jc w:val="righ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sz w:val="20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sz w:val="20"/>
          </w:rPr>
          <w:t>1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="00254B68">
      <w:rPr>
        <w:sz w:val="20"/>
      </w:rPr>
      <w:tab/>
    </w:r>
    <w:r>
      <w:rPr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0C76E4">
      <w:rPr>
        <w:sz w:val="20"/>
      </w:rPr>
      <w:tab/>
    </w:r>
    <w:r w:rsidR="000C76E4"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Pr</w:t>
    </w:r>
    <w:r>
      <w:rPr>
        <w:rFonts w:eastAsiaTheme="minorHAnsi" w:cstheme="minorBidi"/>
        <w:b/>
        <w:color w:val="00B0F0"/>
        <w:sz w:val="20"/>
        <w:lang w:eastAsia="en-US"/>
      </w:rPr>
      <w:t>axis</w:t>
    </w:r>
    <w:r w:rsidRPr="00E211D2">
      <w:rPr>
        <w:rFonts w:eastAsiaTheme="minorHAnsi" w:cstheme="minorBidi"/>
        <w:b/>
        <w:color w:val="00B0F0"/>
        <w:sz w:val="20"/>
        <w:lang w:eastAsia="en-US"/>
      </w:rPr>
      <w:t>hilfe</w:t>
    </w:r>
    <w:r w:rsidR="004C1B3F">
      <w:rPr>
        <w:rFonts w:eastAsiaTheme="minorHAnsi" w:cstheme="minorBidi"/>
        <w:b/>
        <w:color w:val="00B0F0"/>
        <w:sz w:val="20"/>
        <w:lang w:eastAsia="en-US"/>
      </w:rPr>
      <w:t>1/3</w:t>
    </w:r>
  </w:p>
  <w:p w14:paraId="613773C4" w14:textId="77777777" w:rsidR="007506E6" w:rsidRPr="00D579AB" w:rsidRDefault="007506E6" w:rsidP="00D579AB">
    <w:pPr>
      <w:pStyle w:val="Fuzeile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E708" w14:textId="77777777" w:rsidR="0036294B" w:rsidRDefault="0036294B" w:rsidP="00EE217B">
      <w:pPr>
        <w:pStyle w:val="Fuzeile"/>
      </w:pPr>
    </w:p>
    <w:p w14:paraId="03CCDD73" w14:textId="77777777" w:rsidR="0036294B" w:rsidRPr="00EE217B" w:rsidRDefault="0036294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4A0E538" w14:textId="77777777" w:rsidR="0036294B" w:rsidRDefault="0036294B" w:rsidP="00711AB6">
      <w:pPr>
        <w:spacing w:before="0"/>
        <w:jc w:val="center"/>
      </w:pPr>
    </w:p>
    <w:p w14:paraId="2B865329" w14:textId="77777777" w:rsidR="0036294B" w:rsidRPr="00711AB6" w:rsidRDefault="0036294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5A12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79D2" w14:textId="77777777" w:rsidR="007506E6" w:rsidRPr="000D2FDB" w:rsidRDefault="007506E6" w:rsidP="000D2FDB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65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D62AA9"/>
    <w:multiLevelType w:val="hybridMultilevel"/>
    <w:tmpl w:val="7DA827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F64E2"/>
    <w:multiLevelType w:val="hybridMultilevel"/>
    <w:tmpl w:val="7C8A195C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5F5E"/>
    <w:multiLevelType w:val="hybridMultilevel"/>
    <w:tmpl w:val="A8B6D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C72DC"/>
    <w:multiLevelType w:val="hybridMultilevel"/>
    <w:tmpl w:val="4022C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E23B9"/>
    <w:multiLevelType w:val="hybridMultilevel"/>
    <w:tmpl w:val="4A8E9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2DE706D"/>
    <w:multiLevelType w:val="hybridMultilevel"/>
    <w:tmpl w:val="B32AD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37299D"/>
    <w:multiLevelType w:val="hybridMultilevel"/>
    <w:tmpl w:val="6BFE4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325857"/>
    <w:multiLevelType w:val="hybridMultilevel"/>
    <w:tmpl w:val="70E8D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D115AE6"/>
    <w:multiLevelType w:val="hybridMultilevel"/>
    <w:tmpl w:val="D30271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74160"/>
    <w:multiLevelType w:val="hybridMultilevel"/>
    <w:tmpl w:val="91804DE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D1338"/>
    <w:multiLevelType w:val="hybridMultilevel"/>
    <w:tmpl w:val="EA927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51198"/>
    <w:multiLevelType w:val="hybridMultilevel"/>
    <w:tmpl w:val="4C3E69FA"/>
    <w:lvl w:ilvl="0" w:tplc="0407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24AF7A29"/>
    <w:multiLevelType w:val="hybridMultilevel"/>
    <w:tmpl w:val="B6D0C7C0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D9513B"/>
    <w:multiLevelType w:val="hybridMultilevel"/>
    <w:tmpl w:val="9594D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139FA"/>
    <w:multiLevelType w:val="hybridMultilevel"/>
    <w:tmpl w:val="E6445E14"/>
    <w:lvl w:ilvl="0" w:tplc="45E01E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E354A"/>
    <w:multiLevelType w:val="hybridMultilevel"/>
    <w:tmpl w:val="3A44B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412C3"/>
    <w:multiLevelType w:val="hybridMultilevel"/>
    <w:tmpl w:val="D684479A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B25B3"/>
    <w:multiLevelType w:val="hybridMultilevel"/>
    <w:tmpl w:val="B0BE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621A5"/>
    <w:multiLevelType w:val="hybridMultilevel"/>
    <w:tmpl w:val="B976685E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145C9"/>
    <w:multiLevelType w:val="hybridMultilevel"/>
    <w:tmpl w:val="931AE3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37F27"/>
    <w:multiLevelType w:val="hybridMultilevel"/>
    <w:tmpl w:val="C88675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A3E50"/>
    <w:multiLevelType w:val="hybridMultilevel"/>
    <w:tmpl w:val="A6EC20D2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68CB1074"/>
    <w:multiLevelType w:val="hybridMultilevel"/>
    <w:tmpl w:val="BA3E5E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87589"/>
    <w:multiLevelType w:val="hybridMultilevel"/>
    <w:tmpl w:val="7B583B0A"/>
    <w:lvl w:ilvl="0" w:tplc="088663C8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B685F"/>
    <w:multiLevelType w:val="hybridMultilevel"/>
    <w:tmpl w:val="C722D9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84168"/>
    <w:multiLevelType w:val="hybridMultilevel"/>
    <w:tmpl w:val="61205CA8"/>
    <w:lvl w:ilvl="0" w:tplc="F9ACD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5176E"/>
    <w:multiLevelType w:val="hybridMultilevel"/>
    <w:tmpl w:val="3BEC4956"/>
    <w:lvl w:ilvl="0" w:tplc="A9BC34B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C4A49"/>
    <w:multiLevelType w:val="hybridMultilevel"/>
    <w:tmpl w:val="A51A40DE"/>
    <w:lvl w:ilvl="0" w:tplc="0CFED5D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4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3"/>
  </w:num>
  <w:num w:numId="12">
    <w:abstractNumId w:val="18"/>
  </w:num>
  <w:num w:numId="13">
    <w:abstractNumId w:val="17"/>
  </w:num>
  <w:num w:numId="14">
    <w:abstractNumId w:val="28"/>
  </w:num>
  <w:num w:numId="15">
    <w:abstractNumId w:val="13"/>
  </w:num>
  <w:num w:numId="16">
    <w:abstractNumId w:val="15"/>
  </w:num>
  <w:num w:numId="17">
    <w:abstractNumId w:val="11"/>
  </w:num>
  <w:num w:numId="18">
    <w:abstractNumId w:val="22"/>
  </w:num>
  <w:num w:numId="19">
    <w:abstractNumId w:val="10"/>
  </w:num>
  <w:num w:numId="20">
    <w:abstractNumId w:val="20"/>
  </w:num>
  <w:num w:numId="21">
    <w:abstractNumId w:val="23"/>
  </w:num>
  <w:num w:numId="22">
    <w:abstractNumId w:val="25"/>
  </w:num>
  <w:num w:numId="23">
    <w:abstractNumId w:val="7"/>
  </w:num>
  <w:num w:numId="24">
    <w:abstractNumId w:val="33"/>
    <w:lvlOverride w:ilvl="0">
      <w:startOverride w:val="1"/>
    </w:lvlOverride>
  </w:num>
  <w:num w:numId="25">
    <w:abstractNumId w:val="26"/>
  </w:num>
  <w:num w:numId="26">
    <w:abstractNumId w:val="16"/>
  </w:num>
  <w:num w:numId="27">
    <w:abstractNumId w:val="33"/>
    <w:lvlOverride w:ilvl="0">
      <w:startOverride w:val="1"/>
    </w:lvlOverride>
  </w:num>
  <w:num w:numId="28">
    <w:abstractNumId w:val="12"/>
  </w:num>
  <w:num w:numId="29">
    <w:abstractNumId w:val="35"/>
  </w:num>
  <w:num w:numId="30">
    <w:abstractNumId w:val="30"/>
  </w:num>
  <w:num w:numId="31">
    <w:abstractNumId w:val="24"/>
  </w:num>
  <w:num w:numId="32">
    <w:abstractNumId w:val="38"/>
  </w:num>
  <w:num w:numId="33">
    <w:abstractNumId w:val="31"/>
  </w:num>
  <w:num w:numId="34">
    <w:abstractNumId w:val="21"/>
  </w:num>
  <w:num w:numId="35">
    <w:abstractNumId w:val="34"/>
  </w:num>
  <w:num w:numId="36">
    <w:abstractNumId w:val="39"/>
  </w:num>
  <w:num w:numId="37">
    <w:abstractNumId w:val="29"/>
  </w:num>
  <w:num w:numId="38">
    <w:abstractNumId w:val="32"/>
  </w:num>
  <w:num w:numId="39">
    <w:abstractNumId w:val="27"/>
  </w:num>
  <w:num w:numId="40">
    <w:abstractNumId w:val="9"/>
  </w:num>
  <w:num w:numId="41">
    <w:abstractNumId w:val="36"/>
  </w:num>
  <w:num w:numId="42">
    <w:abstractNumId w:val="19"/>
  </w:num>
  <w:num w:numId="43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4B"/>
    <w:rsid w:val="00002230"/>
    <w:rsid w:val="00002EED"/>
    <w:rsid w:val="000030A9"/>
    <w:rsid w:val="0001477C"/>
    <w:rsid w:val="0002748A"/>
    <w:rsid w:val="00027F7F"/>
    <w:rsid w:val="0003066A"/>
    <w:rsid w:val="0003242D"/>
    <w:rsid w:val="00035F50"/>
    <w:rsid w:val="0004061E"/>
    <w:rsid w:val="000503CF"/>
    <w:rsid w:val="0005299C"/>
    <w:rsid w:val="0005326E"/>
    <w:rsid w:val="000611BF"/>
    <w:rsid w:val="000616B8"/>
    <w:rsid w:val="00064F40"/>
    <w:rsid w:val="00070402"/>
    <w:rsid w:val="000728E4"/>
    <w:rsid w:val="00075E7C"/>
    <w:rsid w:val="00080B9A"/>
    <w:rsid w:val="00082D95"/>
    <w:rsid w:val="00086B8A"/>
    <w:rsid w:val="0009344D"/>
    <w:rsid w:val="00097B2B"/>
    <w:rsid w:val="000A2734"/>
    <w:rsid w:val="000A4AFD"/>
    <w:rsid w:val="000B1337"/>
    <w:rsid w:val="000B4769"/>
    <w:rsid w:val="000C4301"/>
    <w:rsid w:val="000C76E4"/>
    <w:rsid w:val="000D2FDB"/>
    <w:rsid w:val="000E1F12"/>
    <w:rsid w:val="000E26F7"/>
    <w:rsid w:val="000F0F65"/>
    <w:rsid w:val="00106AB5"/>
    <w:rsid w:val="00106CB8"/>
    <w:rsid w:val="00107326"/>
    <w:rsid w:val="00111AC6"/>
    <w:rsid w:val="00113C31"/>
    <w:rsid w:val="00114CF5"/>
    <w:rsid w:val="001205E2"/>
    <w:rsid w:val="0012718F"/>
    <w:rsid w:val="0013517A"/>
    <w:rsid w:val="00140C88"/>
    <w:rsid w:val="00143F11"/>
    <w:rsid w:val="0015064A"/>
    <w:rsid w:val="00154301"/>
    <w:rsid w:val="0016423F"/>
    <w:rsid w:val="00164249"/>
    <w:rsid w:val="00165A53"/>
    <w:rsid w:val="00177AAB"/>
    <w:rsid w:val="00180880"/>
    <w:rsid w:val="00180EAB"/>
    <w:rsid w:val="00183C38"/>
    <w:rsid w:val="00184E10"/>
    <w:rsid w:val="00185CAB"/>
    <w:rsid w:val="00194CCB"/>
    <w:rsid w:val="0019585B"/>
    <w:rsid w:val="0019778B"/>
    <w:rsid w:val="001A1B58"/>
    <w:rsid w:val="001B3F50"/>
    <w:rsid w:val="001B7E25"/>
    <w:rsid w:val="001C0D6B"/>
    <w:rsid w:val="001C1789"/>
    <w:rsid w:val="001C350E"/>
    <w:rsid w:val="001D22E2"/>
    <w:rsid w:val="001D3C3D"/>
    <w:rsid w:val="001D3D3F"/>
    <w:rsid w:val="001E1F96"/>
    <w:rsid w:val="001E38E2"/>
    <w:rsid w:val="001E7241"/>
    <w:rsid w:val="001E7A82"/>
    <w:rsid w:val="001F04DD"/>
    <w:rsid w:val="001F2F94"/>
    <w:rsid w:val="002065BE"/>
    <w:rsid w:val="0021047B"/>
    <w:rsid w:val="00213C34"/>
    <w:rsid w:val="002173F7"/>
    <w:rsid w:val="00220475"/>
    <w:rsid w:val="0022203D"/>
    <w:rsid w:val="0022714F"/>
    <w:rsid w:val="002365F9"/>
    <w:rsid w:val="00254B68"/>
    <w:rsid w:val="00257647"/>
    <w:rsid w:val="002717FB"/>
    <w:rsid w:val="00275A27"/>
    <w:rsid w:val="00283F41"/>
    <w:rsid w:val="00284FA6"/>
    <w:rsid w:val="00285560"/>
    <w:rsid w:val="00285C0D"/>
    <w:rsid w:val="00290924"/>
    <w:rsid w:val="002918B7"/>
    <w:rsid w:val="00293387"/>
    <w:rsid w:val="0029592F"/>
    <w:rsid w:val="00296428"/>
    <w:rsid w:val="002A02C7"/>
    <w:rsid w:val="002A064F"/>
    <w:rsid w:val="002A26CD"/>
    <w:rsid w:val="002A4B53"/>
    <w:rsid w:val="002B17CE"/>
    <w:rsid w:val="002B298F"/>
    <w:rsid w:val="002B37AC"/>
    <w:rsid w:val="002C55D8"/>
    <w:rsid w:val="002D0908"/>
    <w:rsid w:val="002D3AF8"/>
    <w:rsid w:val="002D7E2D"/>
    <w:rsid w:val="002F09D8"/>
    <w:rsid w:val="002F6B99"/>
    <w:rsid w:val="002F771F"/>
    <w:rsid w:val="00304799"/>
    <w:rsid w:val="003214A5"/>
    <w:rsid w:val="00330F5B"/>
    <w:rsid w:val="00336E05"/>
    <w:rsid w:val="00340216"/>
    <w:rsid w:val="003407A4"/>
    <w:rsid w:val="00342964"/>
    <w:rsid w:val="00352142"/>
    <w:rsid w:val="00360F3D"/>
    <w:rsid w:val="00361392"/>
    <w:rsid w:val="0036294B"/>
    <w:rsid w:val="00364269"/>
    <w:rsid w:val="00376DCD"/>
    <w:rsid w:val="00382BCD"/>
    <w:rsid w:val="00383120"/>
    <w:rsid w:val="003932A1"/>
    <w:rsid w:val="003A6FEB"/>
    <w:rsid w:val="003B420D"/>
    <w:rsid w:val="003B607D"/>
    <w:rsid w:val="003C2E3D"/>
    <w:rsid w:val="003D3797"/>
    <w:rsid w:val="003D4BDE"/>
    <w:rsid w:val="003E348F"/>
    <w:rsid w:val="003E358E"/>
    <w:rsid w:val="003E5835"/>
    <w:rsid w:val="003F1B18"/>
    <w:rsid w:val="003F3270"/>
    <w:rsid w:val="003F53D0"/>
    <w:rsid w:val="004076E9"/>
    <w:rsid w:val="00411E80"/>
    <w:rsid w:val="0041402E"/>
    <w:rsid w:val="00416098"/>
    <w:rsid w:val="00420CC7"/>
    <w:rsid w:val="00423569"/>
    <w:rsid w:val="004248A0"/>
    <w:rsid w:val="004304D9"/>
    <w:rsid w:val="00433509"/>
    <w:rsid w:val="004373EC"/>
    <w:rsid w:val="00440D21"/>
    <w:rsid w:val="004447FA"/>
    <w:rsid w:val="00445BB8"/>
    <w:rsid w:val="0044742E"/>
    <w:rsid w:val="0045393D"/>
    <w:rsid w:val="00454705"/>
    <w:rsid w:val="00465DB3"/>
    <w:rsid w:val="0046754D"/>
    <w:rsid w:val="00485825"/>
    <w:rsid w:val="004867BC"/>
    <w:rsid w:val="0049126F"/>
    <w:rsid w:val="004A13BC"/>
    <w:rsid w:val="004B1D03"/>
    <w:rsid w:val="004B2234"/>
    <w:rsid w:val="004B5526"/>
    <w:rsid w:val="004B5A8E"/>
    <w:rsid w:val="004B630B"/>
    <w:rsid w:val="004B6415"/>
    <w:rsid w:val="004C1B3F"/>
    <w:rsid w:val="004C3F5D"/>
    <w:rsid w:val="004C60FF"/>
    <w:rsid w:val="004C6A79"/>
    <w:rsid w:val="004C71CA"/>
    <w:rsid w:val="004D43D5"/>
    <w:rsid w:val="004D6C91"/>
    <w:rsid w:val="004E486D"/>
    <w:rsid w:val="004E56C6"/>
    <w:rsid w:val="004E699D"/>
    <w:rsid w:val="004F1C26"/>
    <w:rsid w:val="004F1E92"/>
    <w:rsid w:val="0050127A"/>
    <w:rsid w:val="0050152B"/>
    <w:rsid w:val="00502D25"/>
    <w:rsid w:val="00505B05"/>
    <w:rsid w:val="005060F4"/>
    <w:rsid w:val="00516C43"/>
    <w:rsid w:val="005178B3"/>
    <w:rsid w:val="0052103B"/>
    <w:rsid w:val="00525693"/>
    <w:rsid w:val="005259EE"/>
    <w:rsid w:val="00525CDB"/>
    <w:rsid w:val="00527267"/>
    <w:rsid w:val="005273A8"/>
    <w:rsid w:val="00534A4B"/>
    <w:rsid w:val="005473EF"/>
    <w:rsid w:val="0055136F"/>
    <w:rsid w:val="0055156D"/>
    <w:rsid w:val="00552C43"/>
    <w:rsid w:val="0055402A"/>
    <w:rsid w:val="00563337"/>
    <w:rsid w:val="00567521"/>
    <w:rsid w:val="00582423"/>
    <w:rsid w:val="00583AA1"/>
    <w:rsid w:val="005913EC"/>
    <w:rsid w:val="005921A2"/>
    <w:rsid w:val="00595995"/>
    <w:rsid w:val="005967E6"/>
    <w:rsid w:val="005A5AF9"/>
    <w:rsid w:val="005B50D0"/>
    <w:rsid w:val="005B57D7"/>
    <w:rsid w:val="005B7F7F"/>
    <w:rsid w:val="005C1C85"/>
    <w:rsid w:val="005C5708"/>
    <w:rsid w:val="005D02CD"/>
    <w:rsid w:val="005D1825"/>
    <w:rsid w:val="005D26BD"/>
    <w:rsid w:val="005D2A74"/>
    <w:rsid w:val="005D37BA"/>
    <w:rsid w:val="005E07BD"/>
    <w:rsid w:val="005E4DF3"/>
    <w:rsid w:val="005E7803"/>
    <w:rsid w:val="005F6F40"/>
    <w:rsid w:val="00612E99"/>
    <w:rsid w:val="00620074"/>
    <w:rsid w:val="00625BF7"/>
    <w:rsid w:val="00632C1A"/>
    <w:rsid w:val="00634A46"/>
    <w:rsid w:val="00644426"/>
    <w:rsid w:val="006454CF"/>
    <w:rsid w:val="00647D91"/>
    <w:rsid w:val="0065198F"/>
    <w:rsid w:val="006521FF"/>
    <w:rsid w:val="00665F75"/>
    <w:rsid w:val="0066763B"/>
    <w:rsid w:val="006772D7"/>
    <w:rsid w:val="00684B37"/>
    <w:rsid w:val="006876B2"/>
    <w:rsid w:val="00687DB4"/>
    <w:rsid w:val="006A364A"/>
    <w:rsid w:val="006B298C"/>
    <w:rsid w:val="006C4228"/>
    <w:rsid w:val="006D45A1"/>
    <w:rsid w:val="006D641E"/>
    <w:rsid w:val="006E24F6"/>
    <w:rsid w:val="006E6308"/>
    <w:rsid w:val="006E7126"/>
    <w:rsid w:val="00700C70"/>
    <w:rsid w:val="007026D1"/>
    <w:rsid w:val="00711AB6"/>
    <w:rsid w:val="00716DD5"/>
    <w:rsid w:val="00720E5C"/>
    <w:rsid w:val="00721D5B"/>
    <w:rsid w:val="00742EA1"/>
    <w:rsid w:val="00744772"/>
    <w:rsid w:val="007506E6"/>
    <w:rsid w:val="00751FDE"/>
    <w:rsid w:val="00753BB6"/>
    <w:rsid w:val="007626C5"/>
    <w:rsid w:val="00763FC1"/>
    <w:rsid w:val="007648E0"/>
    <w:rsid w:val="00765666"/>
    <w:rsid w:val="00772F9F"/>
    <w:rsid w:val="00781ACA"/>
    <w:rsid w:val="0078728B"/>
    <w:rsid w:val="00790130"/>
    <w:rsid w:val="00796513"/>
    <w:rsid w:val="007A060E"/>
    <w:rsid w:val="007A3E0C"/>
    <w:rsid w:val="007B1945"/>
    <w:rsid w:val="007B7211"/>
    <w:rsid w:val="007B7E9E"/>
    <w:rsid w:val="007D3976"/>
    <w:rsid w:val="007D69D6"/>
    <w:rsid w:val="007E0249"/>
    <w:rsid w:val="007E3659"/>
    <w:rsid w:val="007E4AA0"/>
    <w:rsid w:val="007F3A7C"/>
    <w:rsid w:val="007F6158"/>
    <w:rsid w:val="00802ED4"/>
    <w:rsid w:val="00805463"/>
    <w:rsid w:val="00805892"/>
    <w:rsid w:val="0081072B"/>
    <w:rsid w:val="00821A11"/>
    <w:rsid w:val="008248D3"/>
    <w:rsid w:val="0083765F"/>
    <w:rsid w:val="00845D34"/>
    <w:rsid w:val="00846585"/>
    <w:rsid w:val="008471C9"/>
    <w:rsid w:val="00855B99"/>
    <w:rsid w:val="00857A2A"/>
    <w:rsid w:val="00860DE1"/>
    <w:rsid w:val="00862DDF"/>
    <w:rsid w:val="00864BED"/>
    <w:rsid w:val="00870FFE"/>
    <w:rsid w:val="00872C95"/>
    <w:rsid w:val="00872F5F"/>
    <w:rsid w:val="00873600"/>
    <w:rsid w:val="0087591D"/>
    <w:rsid w:val="0088020C"/>
    <w:rsid w:val="00884570"/>
    <w:rsid w:val="00891EEA"/>
    <w:rsid w:val="008976BA"/>
    <w:rsid w:val="008A5560"/>
    <w:rsid w:val="008C44B0"/>
    <w:rsid w:val="008C5864"/>
    <w:rsid w:val="008D1A8E"/>
    <w:rsid w:val="008E0CB8"/>
    <w:rsid w:val="008E0D82"/>
    <w:rsid w:val="008E0FC7"/>
    <w:rsid w:val="008F4E30"/>
    <w:rsid w:val="008F75E7"/>
    <w:rsid w:val="00901752"/>
    <w:rsid w:val="00905F51"/>
    <w:rsid w:val="009075A9"/>
    <w:rsid w:val="009116C3"/>
    <w:rsid w:val="00912221"/>
    <w:rsid w:val="009212B4"/>
    <w:rsid w:val="00947043"/>
    <w:rsid w:val="0095198B"/>
    <w:rsid w:val="00954636"/>
    <w:rsid w:val="00955E0D"/>
    <w:rsid w:val="00956323"/>
    <w:rsid w:val="00970211"/>
    <w:rsid w:val="009760D0"/>
    <w:rsid w:val="009808CD"/>
    <w:rsid w:val="009823D6"/>
    <w:rsid w:val="009863FD"/>
    <w:rsid w:val="0099236A"/>
    <w:rsid w:val="009A6E64"/>
    <w:rsid w:val="009A77F3"/>
    <w:rsid w:val="009B46CE"/>
    <w:rsid w:val="009C2FF2"/>
    <w:rsid w:val="009C46DD"/>
    <w:rsid w:val="009C6EFB"/>
    <w:rsid w:val="009D3B9E"/>
    <w:rsid w:val="009D429E"/>
    <w:rsid w:val="009D669D"/>
    <w:rsid w:val="009E1FB1"/>
    <w:rsid w:val="009F311A"/>
    <w:rsid w:val="009F6E01"/>
    <w:rsid w:val="00A04DD9"/>
    <w:rsid w:val="00A06317"/>
    <w:rsid w:val="00A12AE1"/>
    <w:rsid w:val="00A215A1"/>
    <w:rsid w:val="00A237ED"/>
    <w:rsid w:val="00A31197"/>
    <w:rsid w:val="00A36967"/>
    <w:rsid w:val="00A40785"/>
    <w:rsid w:val="00A5114A"/>
    <w:rsid w:val="00A52420"/>
    <w:rsid w:val="00A5552F"/>
    <w:rsid w:val="00A613A1"/>
    <w:rsid w:val="00A63E6B"/>
    <w:rsid w:val="00A643A0"/>
    <w:rsid w:val="00A649A3"/>
    <w:rsid w:val="00A7113B"/>
    <w:rsid w:val="00A734DF"/>
    <w:rsid w:val="00A75CE3"/>
    <w:rsid w:val="00A80805"/>
    <w:rsid w:val="00A80AB8"/>
    <w:rsid w:val="00A8486F"/>
    <w:rsid w:val="00A87FE5"/>
    <w:rsid w:val="00A946ED"/>
    <w:rsid w:val="00AA5A71"/>
    <w:rsid w:val="00AA65D6"/>
    <w:rsid w:val="00AB47F1"/>
    <w:rsid w:val="00AC1586"/>
    <w:rsid w:val="00AC17EE"/>
    <w:rsid w:val="00AE290A"/>
    <w:rsid w:val="00AE4BDC"/>
    <w:rsid w:val="00AF1983"/>
    <w:rsid w:val="00AF1B3E"/>
    <w:rsid w:val="00AF4F9B"/>
    <w:rsid w:val="00B13094"/>
    <w:rsid w:val="00B13741"/>
    <w:rsid w:val="00B15817"/>
    <w:rsid w:val="00B1680D"/>
    <w:rsid w:val="00B172FE"/>
    <w:rsid w:val="00B22993"/>
    <w:rsid w:val="00B261B2"/>
    <w:rsid w:val="00B27E2C"/>
    <w:rsid w:val="00B451A0"/>
    <w:rsid w:val="00B57C11"/>
    <w:rsid w:val="00B6345C"/>
    <w:rsid w:val="00B661A2"/>
    <w:rsid w:val="00B73242"/>
    <w:rsid w:val="00B77530"/>
    <w:rsid w:val="00B77A2E"/>
    <w:rsid w:val="00B93249"/>
    <w:rsid w:val="00BA02EC"/>
    <w:rsid w:val="00BA1533"/>
    <w:rsid w:val="00BA1564"/>
    <w:rsid w:val="00BA7590"/>
    <w:rsid w:val="00BC6A51"/>
    <w:rsid w:val="00BD1D02"/>
    <w:rsid w:val="00BD2864"/>
    <w:rsid w:val="00BD37FF"/>
    <w:rsid w:val="00BD62C0"/>
    <w:rsid w:val="00BE368B"/>
    <w:rsid w:val="00BE604F"/>
    <w:rsid w:val="00BF0354"/>
    <w:rsid w:val="00BF2B89"/>
    <w:rsid w:val="00BF3901"/>
    <w:rsid w:val="00BF7EB9"/>
    <w:rsid w:val="00C042CE"/>
    <w:rsid w:val="00C04C2B"/>
    <w:rsid w:val="00C212DF"/>
    <w:rsid w:val="00C24E59"/>
    <w:rsid w:val="00C25D9A"/>
    <w:rsid w:val="00C30D7D"/>
    <w:rsid w:val="00C31810"/>
    <w:rsid w:val="00C35E2A"/>
    <w:rsid w:val="00C43D74"/>
    <w:rsid w:val="00C470A2"/>
    <w:rsid w:val="00C61048"/>
    <w:rsid w:val="00C64733"/>
    <w:rsid w:val="00C8522D"/>
    <w:rsid w:val="00C91AC1"/>
    <w:rsid w:val="00C92132"/>
    <w:rsid w:val="00C92FE5"/>
    <w:rsid w:val="00C940C7"/>
    <w:rsid w:val="00C951A7"/>
    <w:rsid w:val="00CA5FDE"/>
    <w:rsid w:val="00CA6FFC"/>
    <w:rsid w:val="00CB24C7"/>
    <w:rsid w:val="00CB7C6D"/>
    <w:rsid w:val="00CC19EF"/>
    <w:rsid w:val="00CC5AA4"/>
    <w:rsid w:val="00CD1A9A"/>
    <w:rsid w:val="00CD1FCB"/>
    <w:rsid w:val="00CD4117"/>
    <w:rsid w:val="00CD426A"/>
    <w:rsid w:val="00CD4938"/>
    <w:rsid w:val="00CE1A2F"/>
    <w:rsid w:val="00CE73C2"/>
    <w:rsid w:val="00CF09AF"/>
    <w:rsid w:val="00CF217E"/>
    <w:rsid w:val="00D13BD1"/>
    <w:rsid w:val="00D23BD0"/>
    <w:rsid w:val="00D25FB7"/>
    <w:rsid w:val="00D44101"/>
    <w:rsid w:val="00D450FE"/>
    <w:rsid w:val="00D45365"/>
    <w:rsid w:val="00D46036"/>
    <w:rsid w:val="00D53D30"/>
    <w:rsid w:val="00D579AB"/>
    <w:rsid w:val="00D60BA3"/>
    <w:rsid w:val="00D61222"/>
    <w:rsid w:val="00D77B1E"/>
    <w:rsid w:val="00D97C46"/>
    <w:rsid w:val="00DA1884"/>
    <w:rsid w:val="00DA349A"/>
    <w:rsid w:val="00DA6374"/>
    <w:rsid w:val="00DB3534"/>
    <w:rsid w:val="00DB3B77"/>
    <w:rsid w:val="00DC1004"/>
    <w:rsid w:val="00DC28F0"/>
    <w:rsid w:val="00DC5CF9"/>
    <w:rsid w:val="00DD3447"/>
    <w:rsid w:val="00DD3FEB"/>
    <w:rsid w:val="00DD5810"/>
    <w:rsid w:val="00DE10AB"/>
    <w:rsid w:val="00DE2B44"/>
    <w:rsid w:val="00DE3AE5"/>
    <w:rsid w:val="00DE5924"/>
    <w:rsid w:val="00DE761F"/>
    <w:rsid w:val="00DF4BF6"/>
    <w:rsid w:val="00DF63A4"/>
    <w:rsid w:val="00E01501"/>
    <w:rsid w:val="00E016C0"/>
    <w:rsid w:val="00E017E6"/>
    <w:rsid w:val="00E2108A"/>
    <w:rsid w:val="00E211D2"/>
    <w:rsid w:val="00E342CA"/>
    <w:rsid w:val="00E368C3"/>
    <w:rsid w:val="00E45E89"/>
    <w:rsid w:val="00E466DF"/>
    <w:rsid w:val="00E47405"/>
    <w:rsid w:val="00E47DEB"/>
    <w:rsid w:val="00E50734"/>
    <w:rsid w:val="00E54CF5"/>
    <w:rsid w:val="00E55E0A"/>
    <w:rsid w:val="00E57522"/>
    <w:rsid w:val="00E57793"/>
    <w:rsid w:val="00E61BCD"/>
    <w:rsid w:val="00E70735"/>
    <w:rsid w:val="00E77518"/>
    <w:rsid w:val="00E84E35"/>
    <w:rsid w:val="00E90310"/>
    <w:rsid w:val="00EA2ACF"/>
    <w:rsid w:val="00EA409B"/>
    <w:rsid w:val="00EA74B3"/>
    <w:rsid w:val="00EC00F0"/>
    <w:rsid w:val="00ED4FB4"/>
    <w:rsid w:val="00EE217B"/>
    <w:rsid w:val="00EE68FB"/>
    <w:rsid w:val="00EF2558"/>
    <w:rsid w:val="00F01E20"/>
    <w:rsid w:val="00F029CC"/>
    <w:rsid w:val="00F02A61"/>
    <w:rsid w:val="00F1255E"/>
    <w:rsid w:val="00F17D30"/>
    <w:rsid w:val="00F21FCB"/>
    <w:rsid w:val="00F23C7A"/>
    <w:rsid w:val="00F2421E"/>
    <w:rsid w:val="00F3121A"/>
    <w:rsid w:val="00F35247"/>
    <w:rsid w:val="00F43427"/>
    <w:rsid w:val="00F44FDA"/>
    <w:rsid w:val="00F46E90"/>
    <w:rsid w:val="00F500CC"/>
    <w:rsid w:val="00F508B7"/>
    <w:rsid w:val="00F51F9C"/>
    <w:rsid w:val="00F579A0"/>
    <w:rsid w:val="00F57EDD"/>
    <w:rsid w:val="00F603DA"/>
    <w:rsid w:val="00F607DD"/>
    <w:rsid w:val="00F672A4"/>
    <w:rsid w:val="00F67FF5"/>
    <w:rsid w:val="00F82866"/>
    <w:rsid w:val="00F851B9"/>
    <w:rsid w:val="00F871A3"/>
    <w:rsid w:val="00F87375"/>
    <w:rsid w:val="00F920AB"/>
    <w:rsid w:val="00F94E07"/>
    <w:rsid w:val="00FA1E51"/>
    <w:rsid w:val="00FA3ACA"/>
    <w:rsid w:val="00FB004D"/>
    <w:rsid w:val="00FB07A8"/>
    <w:rsid w:val="00FB19BE"/>
    <w:rsid w:val="00FB5EE7"/>
    <w:rsid w:val="00FB74D4"/>
    <w:rsid w:val="00FC64B3"/>
    <w:rsid w:val="00FD0600"/>
    <w:rsid w:val="00FD391A"/>
    <w:rsid w:val="00FD6CCC"/>
    <w:rsid w:val="00FE2DC5"/>
    <w:rsid w:val="00FE65A7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26BD2CD"/>
  <w15:docId w15:val="{6642221C-27CE-4712-86A1-4EADFF1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49A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49A"/>
    <w:rPr>
      <w:rFonts w:ascii="Century Gothic" w:hAnsi="Century Gothic"/>
      <w:b/>
      <w:bCs/>
      <w:sz w:val="24"/>
    </w:rPr>
  </w:style>
  <w:style w:type="character" w:customStyle="1" w:styleId="berschrift1Zchn">
    <w:name w:val="Überschrift 1 Zchn"/>
    <w:basedOn w:val="Absatz-Standardschriftart"/>
    <w:link w:val="berschrift1"/>
    <w:rsid w:val="004B1D03"/>
    <w:rPr>
      <w:rFonts w:ascii="Futura Md BT" w:hAnsi="Futura Md BT"/>
      <w:b/>
      <w:color w:val="00A7DE"/>
      <w:kern w:val="28"/>
      <w:sz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pk.de/fileadmin/documents/Beruf/Formulare_Merkblaetter/WPK_Hinweis_der_KfQK_Beispiele_Maengel_Qualitaetssicherungssystem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pk.de/fileadmin/documents/Beruf/Formulare_Merkblaetter/WPK_Hinweis_der_KfQK_Beispiele_Maengel_Qualitaetssicherungssystem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F2F08E8-4BDA-407A-A4C0-63458531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Koch, Anja - AUDfIT</cp:lastModifiedBy>
  <cp:revision>44</cp:revision>
  <cp:lastPrinted>2025-09-09T07:37:00Z</cp:lastPrinted>
  <dcterms:created xsi:type="dcterms:W3CDTF">2025-06-23T10:46:00Z</dcterms:created>
  <dcterms:modified xsi:type="dcterms:W3CDTF">2025-09-09T07:37:00Z</dcterms:modified>
</cp:coreProperties>
</file>