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shd w:val="clear" w:color="auto" w:fill="C5F1C5"/>
        <w:tblLook w:val="04A0" w:firstRow="1" w:lastRow="0" w:firstColumn="1" w:lastColumn="0" w:noHBand="0" w:noVBand="1"/>
      </w:tblPr>
      <w:tblGrid>
        <w:gridCol w:w="8699"/>
        <w:gridCol w:w="373"/>
      </w:tblGrid>
      <w:tr w:rsidR="005D63E3" w:rsidRPr="005D63E3" w:rsidTr="005D63E3">
        <w:trPr>
          <w:cantSplit/>
          <w:trHeight w:val="738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4C1787" w:rsidRPr="005D63E3" w:rsidRDefault="005716FF" w:rsidP="00CB60D4">
            <w:pPr>
              <w:pStyle w:val="berschrift1"/>
              <w:tabs>
                <w:tab w:val="clear" w:pos="709"/>
              </w:tabs>
              <w:ind w:left="0" w:firstLine="0"/>
              <w:outlineLvl w:val="0"/>
              <w:rPr>
                <w:rFonts w:ascii="Century Gothic" w:hAnsi="Century Gothic"/>
                <w:color w:val="228B22"/>
                <w:sz w:val="24"/>
                <w:szCs w:val="24"/>
              </w:rPr>
            </w:pP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>Mandantenschreiben zur Information von</w:t>
            </w:r>
            <w:r w:rsidRPr="006F0518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Unternehmen</w:t>
            </w: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 xml:space="preserve">, die </w:t>
            </w:r>
            <w:r w:rsidR="00473E18">
              <w:rPr>
                <w:rFonts w:ascii="Century Gothic" w:hAnsi="Century Gothic"/>
                <w:color w:val="FF0000"/>
                <w:sz w:val="24"/>
                <w:szCs w:val="24"/>
              </w:rPr>
              <w:t>künftig</w:t>
            </w: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 xml:space="preserve"> </w:t>
            </w:r>
            <w:r w:rsidR="00473E18">
              <w:rPr>
                <w:rFonts w:ascii="Century Gothic" w:hAnsi="Century Gothic"/>
                <w:color w:val="228B22"/>
                <w:sz w:val="24"/>
                <w:szCs w:val="24"/>
              </w:rPr>
              <w:t>von</w:t>
            </w: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 xml:space="preserve"> d</w:t>
            </w:r>
            <w:r w:rsidR="00473E18">
              <w:rPr>
                <w:rFonts w:ascii="Century Gothic" w:hAnsi="Century Gothic"/>
                <w:color w:val="228B22"/>
                <w:sz w:val="24"/>
                <w:szCs w:val="24"/>
              </w:rPr>
              <w:t>er</w:t>
            </w: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 xml:space="preserve"> </w:t>
            </w:r>
            <w:r w:rsidRPr="006F0518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CSRD-Berichtspflicht </w:t>
            </w:r>
            <w:r w:rsidR="00473E18">
              <w:rPr>
                <w:rFonts w:ascii="Century Gothic" w:hAnsi="Century Gothic"/>
                <w:color w:val="FF0000"/>
                <w:sz w:val="24"/>
                <w:szCs w:val="24"/>
              </w:rPr>
              <w:t>nicht mehr betroffen sein werden</w:t>
            </w:r>
            <w:r w:rsidR="00473E18">
              <w:rPr>
                <w:rFonts w:ascii="Century Gothic" w:hAnsi="Century Gothic"/>
                <w:color w:val="FF0000"/>
                <w:sz w:val="24"/>
                <w:szCs w:val="24"/>
              </w:rPr>
              <w:br/>
            </w:r>
            <w:r w:rsidRPr="005D63E3">
              <w:rPr>
                <w:rFonts w:ascii="Century Gothic" w:hAnsi="Century Gothic"/>
                <w:color w:val="228B22"/>
                <w:sz w:val="24"/>
                <w:szCs w:val="24"/>
              </w:rPr>
              <w:t>(</w:t>
            </w:r>
            <w:r w:rsidR="00473E18">
              <w:rPr>
                <w:rFonts w:ascii="Century Gothic" w:hAnsi="Century Gothic"/>
                <w:color w:val="228B22"/>
                <w:sz w:val="24"/>
                <w:szCs w:val="24"/>
              </w:rPr>
              <w:t>KMU</w:t>
            </w:r>
            <w:r w:rsidR="00433943" w:rsidRPr="005D63E3">
              <w:rPr>
                <w:rFonts w:ascii="Century Gothic" w:hAnsi="Century Gothic"/>
                <w:color w:val="228B22"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5F1C5"/>
            <w:textDirection w:val="btLr"/>
            <w:vAlign w:val="center"/>
          </w:tcPr>
          <w:p w:rsidR="004C1787" w:rsidRPr="005D63E3" w:rsidRDefault="003109F7" w:rsidP="00CB60D4">
            <w:pPr>
              <w:pStyle w:val="berschrift1"/>
              <w:tabs>
                <w:tab w:val="clear" w:pos="709"/>
              </w:tabs>
              <w:ind w:left="113" w:right="113" w:firstLine="0"/>
              <w:outlineLvl w:val="0"/>
              <w:rPr>
                <w:rFonts w:ascii="Century Gothic" w:hAnsi="Century Gothic"/>
                <w:b w:val="0"/>
                <w:color w:val="228B22"/>
                <w:sz w:val="10"/>
                <w:szCs w:val="10"/>
              </w:rPr>
            </w:pPr>
            <w:r w:rsidRPr="005D63E3">
              <w:rPr>
                <w:rFonts w:ascii="Century Gothic" w:hAnsi="Century Gothic"/>
                <w:b w:val="0"/>
                <w:color w:val="FF0000"/>
                <w:sz w:val="12"/>
                <w:szCs w:val="10"/>
              </w:rPr>
              <w:t>03/20</w:t>
            </w:r>
            <w:r w:rsidR="00FF18E9" w:rsidRPr="005D63E3">
              <w:rPr>
                <w:rFonts w:ascii="Century Gothic" w:hAnsi="Century Gothic"/>
                <w:b w:val="0"/>
                <w:color w:val="FF0000"/>
                <w:sz w:val="12"/>
                <w:szCs w:val="10"/>
              </w:rPr>
              <w:t>2</w:t>
            </w:r>
            <w:r w:rsidRPr="005D63E3">
              <w:rPr>
                <w:rFonts w:ascii="Century Gothic" w:hAnsi="Century Gothic"/>
                <w:b w:val="0"/>
                <w:color w:val="FF0000"/>
                <w:sz w:val="12"/>
                <w:szCs w:val="10"/>
              </w:rPr>
              <w:t>5</w:t>
            </w:r>
          </w:p>
        </w:tc>
      </w:tr>
    </w:tbl>
    <w:p w:rsidR="004C1787" w:rsidRPr="005716FF" w:rsidRDefault="004C1787" w:rsidP="004C1787">
      <w:pPr>
        <w:spacing w:before="0"/>
        <w:contextualSpacing/>
        <w:rPr>
          <w:b/>
          <w:sz w:val="24"/>
          <w:szCs w:val="24"/>
        </w:rPr>
      </w:pPr>
    </w:p>
    <w:p w:rsidR="005716FF" w:rsidRPr="00373DB7" w:rsidRDefault="00373DB7" w:rsidP="004C1787">
      <w:pPr>
        <w:spacing w:before="0"/>
        <w:contextualSpacing/>
        <w:rPr>
          <w:sz w:val="24"/>
          <w:szCs w:val="24"/>
        </w:rPr>
      </w:pPr>
      <w:r w:rsidRPr="00373DB7">
        <w:rPr>
          <w:sz w:val="24"/>
          <w:szCs w:val="24"/>
        </w:rPr>
        <w:t>Mustermandant</w:t>
      </w:r>
      <w:r w:rsidR="00C23FAA">
        <w:rPr>
          <w:sz w:val="24"/>
          <w:szCs w:val="24"/>
        </w:rPr>
        <w:tab/>
      </w:r>
      <w:r w:rsidR="00C23FAA">
        <w:rPr>
          <w:sz w:val="24"/>
          <w:szCs w:val="24"/>
        </w:rPr>
        <w:tab/>
      </w:r>
      <w:r w:rsidR="00C23FAA">
        <w:rPr>
          <w:sz w:val="24"/>
          <w:szCs w:val="24"/>
        </w:rPr>
        <w:tab/>
      </w:r>
      <w:r w:rsidR="00C23FAA">
        <w:rPr>
          <w:sz w:val="24"/>
          <w:szCs w:val="24"/>
        </w:rPr>
        <w:tab/>
      </w:r>
      <w:r w:rsidR="00C23FAA">
        <w:rPr>
          <w:sz w:val="24"/>
          <w:szCs w:val="24"/>
        </w:rPr>
        <w:tab/>
      </w:r>
      <w:r w:rsidR="00C23FAA">
        <w:rPr>
          <w:sz w:val="24"/>
          <w:szCs w:val="24"/>
        </w:rPr>
        <w:tab/>
        <w:t xml:space="preserve">Musterhausen, den </w:t>
      </w:r>
      <w:proofErr w:type="spellStart"/>
      <w:r w:rsidR="00C23FAA">
        <w:rPr>
          <w:sz w:val="24"/>
          <w:szCs w:val="24"/>
        </w:rPr>
        <w:t>xx.</w:t>
      </w:r>
      <w:proofErr w:type="gramStart"/>
      <w:r w:rsidR="00C23FAA">
        <w:rPr>
          <w:sz w:val="24"/>
          <w:szCs w:val="24"/>
        </w:rPr>
        <w:t>xx.xxxx</w:t>
      </w:r>
      <w:proofErr w:type="spellEnd"/>
      <w:proofErr w:type="gramEnd"/>
    </w:p>
    <w:p w:rsidR="00373DB7" w:rsidRPr="00373DB7" w:rsidRDefault="00373DB7" w:rsidP="004C1787">
      <w:pPr>
        <w:spacing w:before="0"/>
        <w:contextualSpacing/>
        <w:rPr>
          <w:sz w:val="24"/>
          <w:szCs w:val="24"/>
        </w:rPr>
      </w:pPr>
      <w:r w:rsidRPr="00373DB7">
        <w:rPr>
          <w:sz w:val="24"/>
          <w:szCs w:val="24"/>
        </w:rPr>
        <w:t>XYZ-GmbH</w:t>
      </w:r>
    </w:p>
    <w:p w:rsidR="00373DB7" w:rsidRPr="00373DB7" w:rsidRDefault="00373DB7" w:rsidP="004C1787">
      <w:pPr>
        <w:spacing w:before="0"/>
        <w:contextualSpacing/>
        <w:rPr>
          <w:b/>
          <w:sz w:val="24"/>
          <w:szCs w:val="24"/>
        </w:rPr>
      </w:pPr>
      <w:r w:rsidRPr="00373DB7">
        <w:rPr>
          <w:sz w:val="24"/>
          <w:szCs w:val="24"/>
        </w:rPr>
        <w:t>01234 Musterhausen</w:t>
      </w:r>
    </w:p>
    <w:p w:rsidR="005716FF" w:rsidRPr="0026742D" w:rsidRDefault="005716FF" w:rsidP="004C1787">
      <w:pPr>
        <w:spacing w:before="0"/>
        <w:contextualSpacing/>
        <w:rPr>
          <w:b/>
          <w:sz w:val="20"/>
        </w:rPr>
      </w:pPr>
    </w:p>
    <w:p w:rsidR="005716FF" w:rsidRPr="005716FF" w:rsidRDefault="005716FF" w:rsidP="00BF0DA0">
      <w:pPr>
        <w:spacing w:before="0"/>
        <w:contextualSpacing/>
        <w:jc w:val="left"/>
        <w:rPr>
          <w:b/>
          <w:sz w:val="24"/>
          <w:szCs w:val="24"/>
        </w:rPr>
      </w:pPr>
      <w:r w:rsidRPr="005716FF">
        <w:rPr>
          <w:b/>
          <w:sz w:val="24"/>
          <w:szCs w:val="24"/>
        </w:rPr>
        <w:t>Betreff:</w:t>
      </w:r>
      <w:r w:rsidR="00C84B27">
        <w:rPr>
          <w:b/>
          <w:sz w:val="24"/>
          <w:szCs w:val="24"/>
        </w:rPr>
        <w:br/>
      </w:r>
      <w:r w:rsidRPr="005716FF">
        <w:rPr>
          <w:b/>
          <w:sz w:val="24"/>
          <w:szCs w:val="24"/>
        </w:rPr>
        <w:t>CSRD-</w:t>
      </w:r>
      <w:r w:rsidR="00BF0DA0">
        <w:rPr>
          <w:b/>
          <w:sz w:val="24"/>
          <w:szCs w:val="24"/>
        </w:rPr>
        <w:t xml:space="preserve">Erleichterungen? </w:t>
      </w:r>
      <w:r w:rsidR="00373DB7">
        <w:rPr>
          <w:b/>
          <w:sz w:val="24"/>
          <w:szCs w:val="24"/>
        </w:rPr>
        <w:t>– Neuer VSME Standard</w:t>
      </w:r>
    </w:p>
    <w:p w:rsidR="005716FF" w:rsidRPr="005716FF" w:rsidRDefault="005716FF" w:rsidP="004C1787">
      <w:pPr>
        <w:spacing w:before="0"/>
        <w:contextualSpacing/>
        <w:rPr>
          <w:b/>
          <w:sz w:val="24"/>
          <w:szCs w:val="24"/>
        </w:rPr>
      </w:pPr>
    </w:p>
    <w:p w:rsidR="00340AEF" w:rsidRPr="00C40FA3" w:rsidRDefault="006A694A" w:rsidP="00340AEF">
      <w:pPr>
        <w:spacing w:before="100" w:beforeAutospacing="1" w:after="100" w:afterAutospacing="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5777230</wp:posOffset>
                </wp:positionH>
                <wp:positionV relativeFrom="paragraph">
                  <wp:posOffset>723265</wp:posOffset>
                </wp:positionV>
                <wp:extent cx="333375" cy="304800"/>
                <wp:effectExtent l="0" t="0" r="9525" b="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3B2" w:rsidRPr="006A694A" w:rsidRDefault="00F153B2" w:rsidP="00F153B2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A694A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454.9pt;margin-top:56.95pt;width:2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" fillcolor="#228b22" stroked="f" strokeweight="1pt">
                <v:stroke joinstyle="miter"/>
                <v:textbox inset="0,0,0,0">
                  <w:txbxContent>
                    <w:p w:rsidR="00F153B2" w:rsidRPr="006A694A" w:rsidRDefault="00F153B2" w:rsidP="00F153B2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6A694A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373DB7">
        <w:rPr>
          <w:sz w:val="24"/>
          <w:szCs w:val="24"/>
        </w:rPr>
        <w:t>„</w:t>
      </w:r>
      <w:r w:rsidR="005716FF" w:rsidRPr="00C40FA3">
        <w:rPr>
          <w:sz w:val="24"/>
          <w:szCs w:val="24"/>
        </w:rPr>
        <w:t>Sehr geehrte</w:t>
      </w:r>
      <w:r w:rsidR="00340AEF">
        <w:rPr>
          <w:sz w:val="24"/>
          <w:szCs w:val="24"/>
        </w:rPr>
        <w:t xml:space="preserve"> Frau Mustermann</w:t>
      </w:r>
      <w:r w:rsidR="005716FF" w:rsidRPr="00C40FA3">
        <w:rPr>
          <w:sz w:val="24"/>
          <w:szCs w:val="24"/>
        </w:rPr>
        <w:t>,</w:t>
      </w:r>
      <w:r w:rsidR="00340AEF">
        <w:rPr>
          <w:sz w:val="24"/>
          <w:szCs w:val="24"/>
        </w:rPr>
        <w:br/>
        <w:t>sehr geehrter Herr Mustermann,</w:t>
      </w:r>
    </w:p>
    <w:p w:rsidR="00340AEF" w:rsidRDefault="005716FF" w:rsidP="005716FF">
      <w:pPr>
        <w:spacing w:before="100" w:beforeAutospacing="1" w:after="100" w:afterAutospacing="1"/>
        <w:rPr>
          <w:sz w:val="24"/>
          <w:szCs w:val="24"/>
        </w:rPr>
      </w:pPr>
      <w:r w:rsidRPr="00C40FA3">
        <w:rPr>
          <w:sz w:val="24"/>
          <w:szCs w:val="24"/>
        </w:rPr>
        <w:t xml:space="preserve">die Europäische Kommission hat mit dem </w:t>
      </w:r>
      <w:r w:rsidR="00373DB7">
        <w:rPr>
          <w:sz w:val="24"/>
          <w:szCs w:val="24"/>
        </w:rPr>
        <w:t>„</w:t>
      </w:r>
      <w:r w:rsidRPr="005716FF">
        <w:rPr>
          <w:b/>
          <w:bCs/>
          <w:sz w:val="24"/>
          <w:szCs w:val="24"/>
        </w:rPr>
        <w:t>Omnibus-Vorschlag</w:t>
      </w:r>
      <w:r w:rsidR="00373DB7">
        <w:rPr>
          <w:b/>
          <w:bCs/>
          <w:sz w:val="24"/>
          <w:szCs w:val="24"/>
        </w:rPr>
        <w:t>“</w:t>
      </w:r>
      <w:r w:rsidRPr="005716FF">
        <w:rPr>
          <w:b/>
          <w:bCs/>
          <w:sz w:val="24"/>
          <w:szCs w:val="24"/>
        </w:rPr>
        <w:t xml:space="preserve"> zur CSRD vom Februar 2025</w:t>
      </w:r>
      <w:r w:rsidRPr="00C40FA3">
        <w:rPr>
          <w:sz w:val="24"/>
          <w:szCs w:val="24"/>
        </w:rPr>
        <w:t xml:space="preserve"> eine umfassende Entschlackung der Nachhaltigkeitsbericht</w:t>
      </w:r>
      <w:r>
        <w:rPr>
          <w:sz w:val="24"/>
          <w:szCs w:val="24"/>
        </w:rPr>
        <w:t>-</w:t>
      </w:r>
      <w:r w:rsidRPr="00C40FA3">
        <w:rPr>
          <w:sz w:val="24"/>
          <w:szCs w:val="24"/>
        </w:rPr>
        <w:t>erstattung angestoßen</w:t>
      </w:r>
      <w:r>
        <w:rPr>
          <w:sz w:val="24"/>
          <w:szCs w:val="24"/>
        </w:rPr>
        <w:t xml:space="preserve"> </w:t>
      </w:r>
      <w:r w:rsidR="00373DB7">
        <w:rPr>
          <w:sz w:val="24"/>
          <w:szCs w:val="24"/>
        </w:rPr>
        <w:t>und verfolgt dabei nach</w:t>
      </w:r>
      <w:r w:rsidR="00340AEF">
        <w:rPr>
          <w:sz w:val="24"/>
          <w:szCs w:val="24"/>
        </w:rPr>
        <w:t>folgende Ziele:</w:t>
      </w:r>
    </w:p>
    <w:p w:rsidR="00340AEF" w:rsidRPr="00340AEF" w:rsidRDefault="005716FF" w:rsidP="00746F11">
      <w:pPr>
        <w:pStyle w:val="Listenabsatz"/>
        <w:numPr>
          <w:ilvl w:val="0"/>
          <w:numId w:val="14"/>
        </w:numPr>
        <w:spacing w:before="100" w:beforeAutospacing="1" w:after="100" w:afterAutospacing="1"/>
        <w:ind w:left="709"/>
        <w:rPr>
          <w:sz w:val="24"/>
          <w:szCs w:val="24"/>
        </w:rPr>
      </w:pPr>
      <w:r w:rsidRPr="00340AEF">
        <w:rPr>
          <w:b/>
          <w:bCs/>
          <w:sz w:val="24"/>
          <w:szCs w:val="24"/>
        </w:rPr>
        <w:t>weniger Bürokratie</w:t>
      </w:r>
      <w:r w:rsidR="00211833">
        <w:rPr>
          <w:b/>
          <w:bCs/>
          <w:sz w:val="24"/>
          <w:szCs w:val="24"/>
        </w:rPr>
        <w:t xml:space="preserve"> für die verpflichte</w:t>
      </w:r>
      <w:r w:rsidR="00684339">
        <w:rPr>
          <w:b/>
          <w:bCs/>
          <w:sz w:val="24"/>
          <w:szCs w:val="24"/>
        </w:rPr>
        <w:t>t</w:t>
      </w:r>
      <w:r w:rsidR="00211833">
        <w:rPr>
          <w:b/>
          <w:bCs/>
          <w:sz w:val="24"/>
          <w:szCs w:val="24"/>
        </w:rPr>
        <w:t>en Unternehmen</w:t>
      </w:r>
      <w:r w:rsidRPr="00340AEF">
        <w:rPr>
          <w:b/>
          <w:bCs/>
          <w:sz w:val="24"/>
          <w:szCs w:val="24"/>
        </w:rPr>
        <w:t>,</w:t>
      </w:r>
    </w:p>
    <w:p w:rsidR="005716FF" w:rsidRDefault="006A694A" w:rsidP="00746F11">
      <w:pPr>
        <w:pStyle w:val="Listenabsatz"/>
        <w:numPr>
          <w:ilvl w:val="0"/>
          <w:numId w:val="14"/>
        </w:numPr>
        <w:spacing w:before="100" w:beforeAutospacing="1" w:after="240"/>
        <w:ind w:left="709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33921" wp14:editId="10A395BC">
                <wp:simplePos x="0" y="0"/>
                <wp:positionH relativeFrom="column">
                  <wp:posOffset>5786755</wp:posOffset>
                </wp:positionH>
                <wp:positionV relativeFrom="paragraph">
                  <wp:posOffset>316865</wp:posOffset>
                </wp:positionV>
                <wp:extent cx="333375" cy="304800"/>
                <wp:effectExtent l="0" t="0" r="9525" b="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94A" w:rsidRPr="006A694A" w:rsidRDefault="006A694A" w:rsidP="006A694A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33921" id="Ellipse 2" o:spid="_x0000_s1027" style="position:absolute;left:0;text-align:left;margin-left:455.65pt;margin-top:24.95pt;width:26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" fillcolor="#228b22" stroked="f" strokeweight="1pt">
                <v:stroke joinstyle="miter"/>
                <v:textbox inset="0,0,0,0">
                  <w:txbxContent>
                    <w:p w:rsidR="006A694A" w:rsidRPr="006A694A" w:rsidRDefault="006A694A" w:rsidP="006A694A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211833">
        <w:rPr>
          <w:b/>
          <w:bCs/>
          <w:sz w:val="24"/>
          <w:szCs w:val="24"/>
        </w:rPr>
        <w:t>stärkere</w:t>
      </w:r>
      <w:r w:rsidR="005716FF" w:rsidRPr="00340AEF">
        <w:rPr>
          <w:b/>
          <w:bCs/>
          <w:sz w:val="24"/>
          <w:szCs w:val="24"/>
        </w:rPr>
        <w:t xml:space="preserve"> Fokussierung auf </w:t>
      </w:r>
      <w:r w:rsidR="00211833">
        <w:rPr>
          <w:b/>
          <w:bCs/>
          <w:sz w:val="24"/>
          <w:szCs w:val="24"/>
        </w:rPr>
        <w:t>w</w:t>
      </w:r>
      <w:r w:rsidR="005716FF" w:rsidRPr="00340AEF">
        <w:rPr>
          <w:b/>
          <w:bCs/>
          <w:sz w:val="24"/>
          <w:szCs w:val="24"/>
        </w:rPr>
        <w:t>esentliche</w:t>
      </w:r>
      <w:r w:rsidR="00211833">
        <w:rPr>
          <w:b/>
          <w:bCs/>
          <w:sz w:val="24"/>
          <w:szCs w:val="24"/>
        </w:rPr>
        <w:t xml:space="preserve"> Aspekte</w:t>
      </w:r>
      <w:r w:rsidR="005716FF" w:rsidRPr="00340AEF">
        <w:rPr>
          <w:sz w:val="24"/>
          <w:szCs w:val="24"/>
        </w:rPr>
        <w:t>.</w:t>
      </w:r>
    </w:p>
    <w:p w:rsidR="00211833" w:rsidRDefault="00EC6EF7" w:rsidP="00EC6EF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Insbesondere kleinere und mittlere Unternehmen sollen regulatorisch entlastet werden.</w:t>
      </w:r>
    </w:p>
    <w:p w:rsidR="00EC6EF7" w:rsidRDefault="006A694A" w:rsidP="00EC6EF7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E0A36" wp14:editId="447A9734">
                <wp:simplePos x="0" y="0"/>
                <wp:positionH relativeFrom="column">
                  <wp:posOffset>5796280</wp:posOffset>
                </wp:positionH>
                <wp:positionV relativeFrom="paragraph">
                  <wp:posOffset>10160</wp:posOffset>
                </wp:positionV>
                <wp:extent cx="333375" cy="304800"/>
                <wp:effectExtent l="0" t="0" r="9525" b="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94A" w:rsidRPr="006A694A" w:rsidRDefault="006A694A" w:rsidP="006A694A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E0A36" id="Ellipse 3" o:spid="_x0000_s1028" style="position:absolute;left:0;text-align:left;margin-left:456.4pt;margin-top:.8pt;width:26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" fillcolor="#228b22" stroked="f" strokeweight="1pt">
                <v:stroke joinstyle="miter"/>
                <v:textbox inset="0,0,0,0">
                  <w:txbxContent>
                    <w:p w:rsidR="006A694A" w:rsidRPr="006A694A" w:rsidRDefault="006A694A" w:rsidP="006A694A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211833">
        <w:rPr>
          <w:sz w:val="24"/>
          <w:szCs w:val="24"/>
        </w:rPr>
        <w:t>Sollte</w:t>
      </w:r>
      <w:r w:rsidR="00EC6EF7">
        <w:rPr>
          <w:sz w:val="24"/>
          <w:szCs w:val="24"/>
        </w:rPr>
        <w:t xml:space="preserve"> der </w:t>
      </w:r>
      <w:r w:rsidR="00A15694">
        <w:rPr>
          <w:sz w:val="24"/>
          <w:szCs w:val="24"/>
        </w:rPr>
        <w:t>„</w:t>
      </w:r>
      <w:r w:rsidR="00EC6EF7">
        <w:rPr>
          <w:sz w:val="24"/>
          <w:szCs w:val="24"/>
        </w:rPr>
        <w:t>Omnibus-</w:t>
      </w:r>
      <w:r w:rsidR="00A15694">
        <w:rPr>
          <w:sz w:val="24"/>
          <w:szCs w:val="24"/>
        </w:rPr>
        <w:t>Richtlinienv</w:t>
      </w:r>
      <w:r w:rsidR="00EC6EF7">
        <w:rPr>
          <w:sz w:val="24"/>
          <w:szCs w:val="24"/>
        </w:rPr>
        <w:t>orschlag</w:t>
      </w:r>
      <w:r w:rsidR="00A15694">
        <w:rPr>
          <w:sz w:val="24"/>
          <w:szCs w:val="24"/>
        </w:rPr>
        <w:t xml:space="preserve"> der EU“</w:t>
      </w:r>
      <w:r w:rsidR="00EC6EF7">
        <w:rPr>
          <w:sz w:val="24"/>
          <w:szCs w:val="24"/>
        </w:rPr>
        <w:t xml:space="preserve"> in den nächsten Monaten umgesetzt w</w:t>
      </w:r>
      <w:r w:rsidR="00211833">
        <w:rPr>
          <w:sz w:val="24"/>
          <w:szCs w:val="24"/>
        </w:rPr>
        <w:t>erden</w:t>
      </w:r>
      <w:r w:rsidR="00EC6EF7">
        <w:rPr>
          <w:sz w:val="24"/>
          <w:szCs w:val="24"/>
        </w:rPr>
        <w:t>,</w:t>
      </w:r>
      <w:r w:rsidR="00211833">
        <w:rPr>
          <w:sz w:val="24"/>
          <w:szCs w:val="24"/>
        </w:rPr>
        <w:t xml:space="preserve"> so</w:t>
      </w:r>
      <w:r w:rsidR="00EC6EF7">
        <w:rPr>
          <w:sz w:val="24"/>
          <w:szCs w:val="24"/>
        </w:rPr>
        <w:t xml:space="preserve"> würde das vereinfacht gesagt Folgendes konkret </w:t>
      </w:r>
      <w:r w:rsidR="00A15694">
        <w:rPr>
          <w:sz w:val="24"/>
          <w:szCs w:val="24"/>
        </w:rPr>
        <w:t xml:space="preserve">für Sie als Unternehmen </w:t>
      </w:r>
      <w:r w:rsidR="00EC6EF7">
        <w:rPr>
          <w:sz w:val="24"/>
          <w:szCs w:val="24"/>
        </w:rPr>
        <w:t>bedeuten:</w:t>
      </w:r>
    </w:p>
    <w:p w:rsidR="00EC6EF7" w:rsidRPr="002D52CF" w:rsidRDefault="002D52CF" w:rsidP="002E41ED">
      <w:pPr>
        <w:spacing w:before="100" w:beforeAutospacing="1" w:after="160"/>
        <w:ind w:left="284" w:hanging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C6EF7" w:rsidRPr="002D52CF">
        <w:rPr>
          <w:b/>
          <w:sz w:val="24"/>
          <w:szCs w:val="24"/>
        </w:rPr>
        <w:t>CSRD-Berichtspflicht entfällt</w:t>
      </w:r>
      <w:r w:rsidR="00EC6EF7" w:rsidRPr="002D52CF">
        <w:rPr>
          <w:sz w:val="24"/>
          <w:szCs w:val="24"/>
        </w:rPr>
        <w:t xml:space="preserve"> für Unternehmen mit </w:t>
      </w:r>
      <w:r w:rsidR="00EC6EF7" w:rsidRPr="002D52CF">
        <w:rPr>
          <w:b/>
          <w:sz w:val="24"/>
          <w:szCs w:val="24"/>
        </w:rPr>
        <w:t>weniger als 1.000 Mit</w:t>
      </w:r>
      <w:r>
        <w:rPr>
          <w:b/>
          <w:sz w:val="24"/>
          <w:szCs w:val="24"/>
        </w:rPr>
        <w:t>-</w:t>
      </w:r>
      <w:r w:rsidR="00EC6EF7" w:rsidRPr="002D52CF">
        <w:rPr>
          <w:b/>
          <w:sz w:val="24"/>
          <w:szCs w:val="24"/>
        </w:rPr>
        <w:t>arbeiter</w:t>
      </w:r>
    </w:p>
    <w:p w:rsidR="00EC6EF7" w:rsidRPr="002D52CF" w:rsidRDefault="002D52CF" w:rsidP="002E41ED">
      <w:pPr>
        <w:spacing w:before="0" w:after="160"/>
        <w:ind w:left="284" w:hanging="284"/>
        <w:jc w:val="left"/>
        <w:rPr>
          <w:sz w:val="24"/>
          <w:szCs w:val="24"/>
        </w:rPr>
      </w:pPr>
      <w:r w:rsidRPr="002D52C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EC6EF7" w:rsidRPr="002D52CF">
        <w:rPr>
          <w:sz w:val="24"/>
          <w:szCs w:val="24"/>
        </w:rPr>
        <w:t>Lieferketten-Berichtspflicht für KMU wird reduziert (</w:t>
      </w:r>
      <w:r w:rsidR="00EC6EF7" w:rsidRPr="002D52CF">
        <w:rPr>
          <w:b/>
          <w:sz w:val="24"/>
          <w:szCs w:val="24"/>
        </w:rPr>
        <w:t xml:space="preserve">Begrenzung </w:t>
      </w:r>
      <w:proofErr w:type="spellStart"/>
      <w:r w:rsidR="00EC6EF7" w:rsidRPr="002D52CF">
        <w:rPr>
          <w:b/>
          <w:sz w:val="24"/>
          <w:szCs w:val="24"/>
        </w:rPr>
        <w:t>Trickle</w:t>
      </w:r>
      <w:proofErr w:type="spellEnd"/>
      <w:r w:rsidR="00EC6EF7" w:rsidRPr="002D52CF">
        <w:rPr>
          <w:b/>
          <w:sz w:val="24"/>
          <w:szCs w:val="24"/>
        </w:rPr>
        <w:t>-Down-Effekt</w:t>
      </w:r>
      <w:r w:rsidR="00EC6EF7" w:rsidRPr="002D52CF">
        <w:rPr>
          <w:sz w:val="24"/>
          <w:szCs w:val="24"/>
        </w:rPr>
        <w:t>)</w:t>
      </w:r>
    </w:p>
    <w:p w:rsidR="00EC6EF7" w:rsidRPr="002D52CF" w:rsidRDefault="00665B35" w:rsidP="002E41ED">
      <w:pPr>
        <w:spacing w:before="0" w:after="160"/>
        <w:ind w:left="284" w:hanging="284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E0A36" wp14:editId="447A9734">
                <wp:simplePos x="0" y="0"/>
                <wp:positionH relativeFrom="rightMargin">
                  <wp:posOffset>19050</wp:posOffset>
                </wp:positionH>
                <wp:positionV relativeFrom="paragraph">
                  <wp:posOffset>419735</wp:posOffset>
                </wp:positionV>
                <wp:extent cx="333375" cy="304800"/>
                <wp:effectExtent l="0" t="0" r="9525" b="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94A" w:rsidRPr="006A694A" w:rsidRDefault="006A694A" w:rsidP="006A694A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E0A36" id="Ellipse 4" o:spid="_x0000_s1029" style="position:absolute;left:0;text-align:left;margin-left:1.5pt;margin-top:33.05pt;width:26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" fillcolor="#228b22" stroked="f" strokeweight="1pt">
                <v:stroke joinstyle="miter"/>
                <v:textbox inset="0,0,0,0">
                  <w:txbxContent>
                    <w:p w:rsidR="006A694A" w:rsidRPr="006A694A" w:rsidRDefault="006A694A" w:rsidP="006A694A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D52CF" w:rsidRPr="002D52CF">
        <w:rPr>
          <w:b/>
          <w:sz w:val="24"/>
          <w:szCs w:val="24"/>
        </w:rPr>
        <w:t>3.</w:t>
      </w:r>
      <w:r w:rsidR="002D52CF">
        <w:rPr>
          <w:b/>
          <w:sz w:val="24"/>
          <w:szCs w:val="24"/>
        </w:rPr>
        <w:t xml:space="preserve"> </w:t>
      </w:r>
      <w:r w:rsidR="00EC6EF7" w:rsidRPr="002D52CF">
        <w:rPr>
          <w:sz w:val="24"/>
          <w:szCs w:val="24"/>
        </w:rPr>
        <w:t xml:space="preserve">Stattdessen: </w:t>
      </w:r>
      <w:r w:rsidR="00EC6EF7" w:rsidRPr="002D52CF">
        <w:rPr>
          <w:b/>
          <w:sz w:val="24"/>
          <w:szCs w:val="24"/>
        </w:rPr>
        <w:t>freiwilliger VSME-Standard</w:t>
      </w:r>
      <w:r w:rsidR="00EC6EF7" w:rsidRPr="002D52CF">
        <w:rPr>
          <w:sz w:val="24"/>
          <w:szCs w:val="24"/>
        </w:rPr>
        <w:t xml:space="preserve"> für eine an KMU angepasste ESG-Berichterstattung.</w:t>
      </w:r>
    </w:p>
    <w:p w:rsidR="00BE3EE2" w:rsidRDefault="00EC6EF7" w:rsidP="002E41ED">
      <w:pPr>
        <w:pStyle w:val="Listenabsatz"/>
        <w:spacing w:before="0" w:after="240"/>
        <w:ind w:left="0"/>
        <w:rPr>
          <w:sz w:val="24"/>
          <w:szCs w:val="24"/>
        </w:rPr>
      </w:pPr>
      <w:r w:rsidRPr="00D9062C">
        <w:rPr>
          <w:sz w:val="24"/>
          <w:szCs w:val="24"/>
        </w:rPr>
        <w:t>D</w:t>
      </w:r>
      <w:r w:rsidR="00BE3EE2">
        <w:rPr>
          <w:sz w:val="24"/>
          <w:szCs w:val="24"/>
        </w:rPr>
        <w:t>ie</w:t>
      </w:r>
      <w:r w:rsidRPr="00D9062C">
        <w:rPr>
          <w:sz w:val="24"/>
          <w:szCs w:val="24"/>
        </w:rPr>
        <w:t xml:space="preserve">s klingt zunächst nach </w:t>
      </w:r>
      <w:r w:rsidR="00BE3EE2">
        <w:rPr>
          <w:sz w:val="24"/>
          <w:szCs w:val="24"/>
        </w:rPr>
        <w:t>„</w:t>
      </w:r>
      <w:r w:rsidRPr="00D9062C">
        <w:rPr>
          <w:sz w:val="24"/>
          <w:szCs w:val="24"/>
        </w:rPr>
        <w:t>Rückzug aus der Regulierung</w:t>
      </w:r>
      <w:r w:rsidR="00BE3EE2">
        <w:rPr>
          <w:sz w:val="24"/>
          <w:szCs w:val="24"/>
        </w:rPr>
        <w:t>“</w:t>
      </w:r>
      <w:r w:rsidRPr="00D9062C">
        <w:rPr>
          <w:sz w:val="24"/>
          <w:szCs w:val="24"/>
        </w:rPr>
        <w:t xml:space="preserve"> – ist aber tatsächlich ein </w:t>
      </w:r>
      <w:r w:rsidRPr="00D9062C">
        <w:rPr>
          <w:b/>
          <w:sz w:val="24"/>
          <w:szCs w:val="24"/>
        </w:rPr>
        <w:t>strategisches Angebot</w:t>
      </w:r>
      <w:r w:rsidRPr="00D9062C">
        <w:rPr>
          <w:sz w:val="24"/>
          <w:szCs w:val="24"/>
        </w:rPr>
        <w:t>:</w:t>
      </w:r>
    </w:p>
    <w:p w:rsidR="002E41ED" w:rsidRPr="002E41ED" w:rsidRDefault="002E41ED" w:rsidP="002E41ED">
      <w:pPr>
        <w:pStyle w:val="Listenabsatz"/>
        <w:spacing w:before="100" w:beforeAutospacing="1" w:after="240"/>
        <w:ind w:left="0"/>
        <w:rPr>
          <w:sz w:val="16"/>
          <w:szCs w:val="16"/>
        </w:rPr>
      </w:pPr>
    </w:p>
    <w:p w:rsidR="00BE3EE2" w:rsidRDefault="00665B35" w:rsidP="00994D79">
      <w:pPr>
        <w:pStyle w:val="Listenabsatz"/>
        <w:spacing w:before="100" w:beforeAutospacing="1" w:after="240"/>
        <w:ind w:left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4C731" wp14:editId="5A5A6722">
                <wp:simplePos x="0" y="0"/>
                <wp:positionH relativeFrom="rightMargin">
                  <wp:posOffset>19050</wp:posOffset>
                </wp:positionH>
                <wp:positionV relativeFrom="paragraph">
                  <wp:posOffset>40640</wp:posOffset>
                </wp:positionV>
                <wp:extent cx="333375" cy="304800"/>
                <wp:effectExtent l="0" t="0" r="9525" b="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B35" w:rsidRPr="006A694A" w:rsidRDefault="00665B35" w:rsidP="00665B35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4C731" id="Ellipse 5" o:spid="_x0000_s1030" style="position:absolute;left:0;text-align:left;margin-left:1.5pt;margin-top:3.2pt;width:26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" fillcolor="#228b22" stroked="f" strokeweight="1pt">
                <v:stroke joinstyle="miter"/>
                <v:textbox inset="0,0,0,0">
                  <w:txbxContent>
                    <w:p w:rsidR="00665B35" w:rsidRPr="006A694A" w:rsidRDefault="00665B35" w:rsidP="00665B35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6EF7" w:rsidRPr="00D9062C">
        <w:rPr>
          <w:sz w:val="24"/>
          <w:szCs w:val="24"/>
        </w:rPr>
        <w:t xml:space="preserve">Der </w:t>
      </w:r>
      <w:r w:rsidR="00211833">
        <w:rPr>
          <w:sz w:val="24"/>
          <w:szCs w:val="24"/>
        </w:rPr>
        <w:t xml:space="preserve">neue </w:t>
      </w:r>
      <w:r w:rsidR="00EC6EF7" w:rsidRPr="00684339">
        <w:rPr>
          <w:b/>
          <w:sz w:val="24"/>
          <w:szCs w:val="24"/>
        </w:rPr>
        <w:t xml:space="preserve">VSME-Standard </w:t>
      </w:r>
      <w:r w:rsidR="00EC6EF7" w:rsidRPr="00D9062C">
        <w:rPr>
          <w:sz w:val="24"/>
          <w:szCs w:val="24"/>
        </w:rPr>
        <w:t>ermöglicht Ihnen,</w:t>
      </w:r>
    </w:p>
    <w:p w:rsidR="002E41ED" w:rsidRPr="002E41ED" w:rsidRDefault="002E41ED" w:rsidP="00994D79">
      <w:pPr>
        <w:pStyle w:val="Listenabsatz"/>
        <w:spacing w:before="100" w:beforeAutospacing="1" w:after="240"/>
        <w:ind w:left="0"/>
        <w:rPr>
          <w:sz w:val="16"/>
          <w:szCs w:val="16"/>
        </w:rPr>
      </w:pPr>
    </w:p>
    <w:p w:rsidR="00BE3EE2" w:rsidRPr="00BE3EE2" w:rsidRDefault="00EC6EF7" w:rsidP="00BE3EE2">
      <w:pPr>
        <w:pStyle w:val="Listenabsatz"/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D9062C">
        <w:rPr>
          <w:b/>
          <w:sz w:val="24"/>
          <w:szCs w:val="24"/>
        </w:rPr>
        <w:t>strukturiert,</w:t>
      </w:r>
    </w:p>
    <w:p w:rsidR="00BE3EE2" w:rsidRPr="00BE3EE2" w:rsidRDefault="00EC6EF7" w:rsidP="00BE3EE2">
      <w:pPr>
        <w:pStyle w:val="Listenabsatz"/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D9062C">
        <w:rPr>
          <w:b/>
          <w:sz w:val="24"/>
          <w:szCs w:val="24"/>
        </w:rPr>
        <w:t>glaubwürdig und</w:t>
      </w:r>
    </w:p>
    <w:p w:rsidR="00BE3EE2" w:rsidRPr="00BE3EE2" w:rsidRDefault="00EC6EF7" w:rsidP="00A06A8C">
      <w:pPr>
        <w:pStyle w:val="Listenabsatz"/>
        <w:numPr>
          <w:ilvl w:val="0"/>
          <w:numId w:val="20"/>
        </w:numPr>
        <w:spacing w:before="100" w:beforeAutospacing="1" w:after="240"/>
        <w:ind w:left="714" w:hanging="357"/>
        <w:rPr>
          <w:sz w:val="24"/>
          <w:szCs w:val="24"/>
        </w:rPr>
      </w:pPr>
      <w:r w:rsidRPr="00D9062C">
        <w:rPr>
          <w:b/>
          <w:sz w:val="24"/>
          <w:szCs w:val="24"/>
        </w:rPr>
        <w:t>ressourcenschonend</w:t>
      </w:r>
    </w:p>
    <w:p w:rsidR="00EC6EF7" w:rsidRPr="00BE3EE2" w:rsidRDefault="00EC6EF7" w:rsidP="0026742D">
      <w:pPr>
        <w:spacing w:before="100" w:beforeAutospacing="1" w:after="160"/>
        <w:rPr>
          <w:sz w:val="24"/>
          <w:szCs w:val="24"/>
        </w:rPr>
      </w:pPr>
      <w:r w:rsidRPr="00BE3EE2">
        <w:rPr>
          <w:sz w:val="24"/>
          <w:szCs w:val="24"/>
        </w:rPr>
        <w:t xml:space="preserve">über Ihre Nachhaltigkeit zu berichten. </w:t>
      </w:r>
    </w:p>
    <w:p w:rsidR="00EC6EF7" w:rsidRPr="00D9062C" w:rsidRDefault="00EC6EF7" w:rsidP="00EC6EF7">
      <w:pPr>
        <w:pStyle w:val="Listenabsatz"/>
        <w:spacing w:before="100" w:beforeAutospacing="1" w:after="100" w:afterAutospacing="1"/>
        <w:ind w:left="0"/>
        <w:rPr>
          <w:b/>
          <w:sz w:val="24"/>
          <w:szCs w:val="24"/>
        </w:rPr>
      </w:pPr>
      <w:r w:rsidRPr="00D9062C">
        <w:rPr>
          <w:b/>
          <w:sz w:val="24"/>
          <w:szCs w:val="24"/>
        </w:rPr>
        <w:lastRenderedPageBreak/>
        <w:t xml:space="preserve">Wer morgen wettbewerbsfähig bleiben will, </w:t>
      </w:r>
      <w:r w:rsidR="00211833">
        <w:rPr>
          <w:b/>
          <w:sz w:val="24"/>
          <w:szCs w:val="24"/>
        </w:rPr>
        <w:t>muss zeitnah</w:t>
      </w:r>
      <w:r w:rsidRPr="00D9062C">
        <w:rPr>
          <w:b/>
          <w:sz w:val="24"/>
          <w:szCs w:val="24"/>
        </w:rPr>
        <w:t xml:space="preserve"> </w:t>
      </w:r>
      <w:r w:rsidR="00211833">
        <w:rPr>
          <w:b/>
          <w:sz w:val="24"/>
          <w:szCs w:val="24"/>
        </w:rPr>
        <w:t>„</w:t>
      </w:r>
      <w:r w:rsidRPr="00D9062C">
        <w:rPr>
          <w:b/>
          <w:sz w:val="24"/>
          <w:szCs w:val="24"/>
        </w:rPr>
        <w:t>ESG-</w:t>
      </w:r>
      <w:r w:rsidR="00211833">
        <w:rPr>
          <w:b/>
          <w:sz w:val="24"/>
          <w:szCs w:val="24"/>
        </w:rPr>
        <w:t>berichts</w:t>
      </w:r>
      <w:r w:rsidRPr="00D9062C">
        <w:rPr>
          <w:b/>
          <w:sz w:val="24"/>
          <w:szCs w:val="24"/>
        </w:rPr>
        <w:t>fähig</w:t>
      </w:r>
      <w:r w:rsidR="00211833">
        <w:rPr>
          <w:b/>
          <w:sz w:val="24"/>
          <w:szCs w:val="24"/>
        </w:rPr>
        <w:t>“ werden</w:t>
      </w:r>
      <w:r w:rsidRPr="00D9062C">
        <w:rPr>
          <w:b/>
          <w:sz w:val="24"/>
          <w:szCs w:val="24"/>
        </w:rPr>
        <w:t>.</w:t>
      </w:r>
    </w:p>
    <w:p w:rsidR="00EC6EF7" w:rsidRPr="005F21E9" w:rsidRDefault="0028639B" w:rsidP="00A25E17">
      <w:pPr>
        <w:spacing w:before="100" w:beforeAutospacing="1" w:after="100" w:afterAutospacing="1"/>
        <w:ind w:left="1276" w:hanging="1276"/>
        <w:jc w:val="left"/>
        <w:outlineLvl w:val="2"/>
        <w:rPr>
          <w:b/>
          <w:bCs/>
          <w:color w:val="228B2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55C59" wp14:editId="35749D25">
                <wp:simplePos x="0" y="0"/>
                <wp:positionH relativeFrom="rightMargin">
                  <wp:posOffset>19050</wp:posOffset>
                </wp:positionH>
                <wp:positionV relativeFrom="paragraph">
                  <wp:posOffset>47625</wp:posOffset>
                </wp:positionV>
                <wp:extent cx="333375" cy="304800"/>
                <wp:effectExtent l="0" t="0" r="9525" b="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39B" w:rsidRPr="006A694A" w:rsidRDefault="0028639B" w:rsidP="0028639B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55C59" id="Ellipse 6" o:spid="_x0000_s1031" style="position:absolute;left:0;text-align:left;margin-left:1.5pt;margin-top:3.75pt;width:26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" fillcolor="#228b22" stroked="f" strokeweight="1pt">
                <v:stroke joinstyle="miter"/>
                <v:textbox inset="0,0,0,0">
                  <w:txbxContent>
                    <w:p w:rsidR="0028639B" w:rsidRPr="006A694A" w:rsidRDefault="0028639B" w:rsidP="0028639B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56BD0">
        <w:rPr>
          <w:b/>
          <w:bCs/>
          <w:color w:val="228B22"/>
          <w:sz w:val="24"/>
          <w:szCs w:val="24"/>
        </w:rPr>
        <w:t xml:space="preserve">Leitfrage 1: </w:t>
      </w:r>
      <w:r w:rsidR="00EC6EF7" w:rsidRPr="005F21E9">
        <w:rPr>
          <w:b/>
          <w:bCs/>
          <w:color w:val="228B22"/>
          <w:sz w:val="24"/>
          <w:szCs w:val="24"/>
        </w:rPr>
        <w:t>Warum</w:t>
      </w:r>
      <w:r w:rsidR="001A43C4">
        <w:rPr>
          <w:b/>
          <w:bCs/>
          <w:color w:val="228B22"/>
          <w:sz w:val="24"/>
          <w:szCs w:val="24"/>
        </w:rPr>
        <w:t xml:space="preserve"> </w:t>
      </w:r>
      <w:r w:rsidR="00256BD0">
        <w:rPr>
          <w:b/>
          <w:bCs/>
          <w:color w:val="228B22"/>
          <w:sz w:val="24"/>
          <w:szCs w:val="24"/>
        </w:rPr>
        <w:t xml:space="preserve">ist </w:t>
      </w:r>
      <w:r w:rsidR="001A43C4">
        <w:rPr>
          <w:b/>
          <w:bCs/>
          <w:color w:val="228B22"/>
          <w:sz w:val="24"/>
          <w:szCs w:val="24"/>
        </w:rPr>
        <w:t>nachhaltiges Wirtschaften</w:t>
      </w:r>
      <w:r w:rsidR="00EC6EF7" w:rsidRPr="005F21E9">
        <w:rPr>
          <w:b/>
          <w:bCs/>
          <w:color w:val="228B22"/>
          <w:sz w:val="24"/>
          <w:szCs w:val="24"/>
        </w:rPr>
        <w:t xml:space="preserve"> </w:t>
      </w:r>
      <w:r w:rsidR="001A43C4">
        <w:rPr>
          <w:b/>
          <w:bCs/>
          <w:color w:val="228B22"/>
          <w:sz w:val="24"/>
          <w:szCs w:val="24"/>
        </w:rPr>
        <w:t>(</w:t>
      </w:r>
      <w:r w:rsidR="00EC6EF7" w:rsidRPr="005F21E9">
        <w:rPr>
          <w:b/>
          <w:bCs/>
          <w:color w:val="228B22"/>
          <w:sz w:val="24"/>
          <w:szCs w:val="24"/>
        </w:rPr>
        <w:t>ESG</w:t>
      </w:r>
      <w:r w:rsidR="001A43C4">
        <w:rPr>
          <w:b/>
          <w:bCs/>
          <w:color w:val="228B22"/>
          <w:sz w:val="24"/>
          <w:szCs w:val="24"/>
        </w:rPr>
        <w:t>)</w:t>
      </w:r>
      <w:r w:rsidR="00EC6EF7" w:rsidRPr="005F21E9">
        <w:rPr>
          <w:b/>
          <w:bCs/>
          <w:color w:val="228B22"/>
          <w:sz w:val="24"/>
          <w:szCs w:val="24"/>
        </w:rPr>
        <w:t xml:space="preserve"> für KMU auch ohne</w:t>
      </w:r>
      <w:r w:rsidR="00A25E17">
        <w:rPr>
          <w:b/>
          <w:bCs/>
          <w:color w:val="228B22"/>
          <w:sz w:val="24"/>
          <w:szCs w:val="24"/>
        </w:rPr>
        <w:br/>
      </w:r>
      <w:r w:rsidR="00EC6EF7" w:rsidRPr="005F21E9">
        <w:rPr>
          <w:b/>
          <w:bCs/>
          <w:color w:val="228B22"/>
          <w:sz w:val="24"/>
          <w:szCs w:val="24"/>
        </w:rPr>
        <w:t xml:space="preserve"> gesetzliche Pflicht </w:t>
      </w:r>
      <w:r w:rsidR="00256BD0">
        <w:rPr>
          <w:b/>
          <w:bCs/>
          <w:color w:val="228B22"/>
          <w:sz w:val="24"/>
          <w:szCs w:val="24"/>
        </w:rPr>
        <w:t>von großer, teils existentieller Bedeutung?</w:t>
      </w:r>
    </w:p>
    <w:p w:rsidR="00256BD0" w:rsidRDefault="00EC6EF7" w:rsidP="00EC6EF7">
      <w:pPr>
        <w:spacing w:before="100" w:beforeAutospacing="1" w:after="100" w:afterAutospacing="1"/>
        <w:jc w:val="left"/>
        <w:outlineLvl w:val="2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Auch wenn kleine und mittlere Unternehmen nicht direkt unter die CSRD fallen, wachsen die Anforderungen an Transparenz und Nachhaltigkeit deutlich, nicht aus der Gesetzgebung, sondern aus dem Markt.</w:t>
      </w:r>
    </w:p>
    <w:p w:rsidR="00256BD0" w:rsidRDefault="0028639B" w:rsidP="00EC6EF7">
      <w:pPr>
        <w:spacing w:before="100" w:beforeAutospacing="1" w:after="100" w:afterAutospacing="1"/>
        <w:jc w:val="left"/>
        <w:outlineLvl w:val="2"/>
        <w:rPr>
          <w:bCs/>
          <w:color w:val="000000" w:themeColor="text1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C5F76" wp14:editId="7A46F1C7">
                <wp:simplePos x="0" y="0"/>
                <wp:positionH relativeFrom="rightMargin">
                  <wp:posOffset>19050</wp:posOffset>
                </wp:positionH>
                <wp:positionV relativeFrom="paragraph">
                  <wp:posOffset>8890</wp:posOffset>
                </wp:positionV>
                <wp:extent cx="333375" cy="304800"/>
                <wp:effectExtent l="0" t="0" r="9525" b="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39B" w:rsidRPr="006A694A" w:rsidRDefault="0028639B" w:rsidP="0028639B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DC5F76" id="Ellipse 7" o:spid="_x0000_s1032" style="position:absolute;margin-left:1.5pt;margin-top:.7pt;width:26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" fillcolor="#228b22" stroked="f" strokeweight="1pt">
                <v:stroke joinstyle="miter"/>
                <v:textbox inset="0,0,0,0">
                  <w:txbxContent>
                    <w:p w:rsidR="0028639B" w:rsidRPr="006A694A" w:rsidRDefault="0028639B" w:rsidP="0028639B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6EF7">
        <w:rPr>
          <w:bCs/>
          <w:color w:val="000000" w:themeColor="text1"/>
          <w:sz w:val="24"/>
          <w:szCs w:val="24"/>
        </w:rPr>
        <w:t>ESG-Kriterien spielen zunehmend eine zentrale Rolle bei</w:t>
      </w:r>
    </w:p>
    <w:p w:rsidR="00256BD0" w:rsidRDefault="00EC6EF7" w:rsidP="00256BD0">
      <w:pPr>
        <w:pStyle w:val="Listenabsatz"/>
        <w:numPr>
          <w:ilvl w:val="0"/>
          <w:numId w:val="21"/>
        </w:numPr>
        <w:spacing w:before="100" w:beforeAutospacing="1" w:after="100" w:afterAutospacing="1"/>
        <w:jc w:val="left"/>
        <w:outlineLvl w:val="2"/>
        <w:rPr>
          <w:bCs/>
          <w:color w:val="000000" w:themeColor="text1"/>
          <w:sz w:val="24"/>
          <w:szCs w:val="24"/>
        </w:rPr>
      </w:pPr>
      <w:r w:rsidRPr="00256BD0">
        <w:rPr>
          <w:bCs/>
          <w:color w:val="000000" w:themeColor="text1"/>
          <w:sz w:val="24"/>
          <w:szCs w:val="24"/>
        </w:rPr>
        <w:t>Finanzierung,</w:t>
      </w:r>
    </w:p>
    <w:p w:rsidR="00256BD0" w:rsidRDefault="00ED1226" w:rsidP="00256BD0">
      <w:pPr>
        <w:pStyle w:val="Listenabsatz"/>
        <w:numPr>
          <w:ilvl w:val="0"/>
          <w:numId w:val="21"/>
        </w:numPr>
        <w:spacing w:before="100" w:beforeAutospacing="1" w:after="100" w:afterAutospacing="1"/>
        <w:jc w:val="left"/>
        <w:outlineLvl w:val="2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strategische</w:t>
      </w:r>
      <w:r w:rsidR="00684339">
        <w:rPr>
          <w:bCs/>
          <w:color w:val="000000" w:themeColor="text1"/>
          <w:sz w:val="24"/>
          <w:szCs w:val="24"/>
        </w:rPr>
        <w:t>n</w:t>
      </w:r>
      <w:r>
        <w:rPr>
          <w:bCs/>
          <w:color w:val="000000" w:themeColor="text1"/>
          <w:sz w:val="24"/>
          <w:szCs w:val="24"/>
        </w:rPr>
        <w:t xml:space="preserve"> </w:t>
      </w:r>
      <w:r w:rsidR="00EC6EF7" w:rsidRPr="00256BD0">
        <w:rPr>
          <w:bCs/>
          <w:color w:val="000000" w:themeColor="text1"/>
          <w:sz w:val="24"/>
          <w:szCs w:val="24"/>
        </w:rPr>
        <w:t>Partnerschaften und</w:t>
      </w:r>
    </w:p>
    <w:p w:rsidR="00EC6EF7" w:rsidRPr="00256BD0" w:rsidRDefault="0028639B" w:rsidP="00256BD0">
      <w:pPr>
        <w:pStyle w:val="Listenabsatz"/>
        <w:numPr>
          <w:ilvl w:val="0"/>
          <w:numId w:val="21"/>
        </w:numPr>
        <w:spacing w:before="100" w:beforeAutospacing="1" w:after="100" w:afterAutospacing="1"/>
        <w:jc w:val="left"/>
        <w:outlineLvl w:val="2"/>
        <w:rPr>
          <w:bCs/>
          <w:color w:val="000000" w:themeColor="text1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0FCC2" wp14:editId="0FFD891A">
                <wp:simplePos x="0" y="0"/>
                <wp:positionH relativeFrom="rightMargin">
                  <wp:posOffset>19050</wp:posOffset>
                </wp:positionH>
                <wp:positionV relativeFrom="paragraph">
                  <wp:posOffset>365125</wp:posOffset>
                </wp:positionV>
                <wp:extent cx="333375" cy="304800"/>
                <wp:effectExtent l="0" t="0" r="9525" b="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39B" w:rsidRPr="006A694A" w:rsidRDefault="0028639B" w:rsidP="0028639B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0FCC2" id="Ellipse 8" o:spid="_x0000_s1033" style="position:absolute;left:0;text-align:left;margin-left:1.5pt;margin-top:28.75pt;width:26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" fillcolor="#228b22" stroked="f" strokeweight="1pt">
                <v:stroke joinstyle="miter"/>
                <v:textbox inset="0,0,0,0">
                  <w:txbxContent>
                    <w:p w:rsidR="0028639B" w:rsidRPr="006A694A" w:rsidRDefault="0028639B" w:rsidP="0028639B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6EF7" w:rsidRPr="00256BD0">
        <w:rPr>
          <w:bCs/>
          <w:color w:val="000000" w:themeColor="text1"/>
          <w:sz w:val="24"/>
          <w:szCs w:val="24"/>
        </w:rPr>
        <w:t xml:space="preserve">Wettbewerbsfähigkeit. </w:t>
      </w:r>
    </w:p>
    <w:p w:rsidR="00EC6EF7" w:rsidRPr="00684339" w:rsidRDefault="005B1D83" w:rsidP="00EC6EF7">
      <w:pPr>
        <w:spacing w:before="100" w:beforeAutospacing="1" w:after="100" w:afterAutospacing="1"/>
        <w:jc w:val="left"/>
        <w:outlineLvl w:val="2"/>
        <w:rPr>
          <w:b/>
          <w:bCs/>
          <w:color w:val="000000" w:themeColor="text1"/>
          <w:sz w:val="24"/>
          <w:szCs w:val="24"/>
        </w:rPr>
      </w:pPr>
      <w:r w:rsidRPr="00684339">
        <w:rPr>
          <w:b/>
          <w:bCs/>
          <w:color w:val="000000" w:themeColor="text1"/>
          <w:sz w:val="24"/>
          <w:szCs w:val="24"/>
        </w:rPr>
        <w:t>Besteht jetzt faktischer Handlungszwang</w:t>
      </w:r>
      <w:r w:rsidR="00EC6EF7" w:rsidRPr="00684339">
        <w:rPr>
          <w:b/>
          <w:bCs/>
          <w:color w:val="000000" w:themeColor="text1"/>
          <w:sz w:val="24"/>
          <w:szCs w:val="24"/>
        </w:rPr>
        <w:t>, auch ohne gesetzliche Pflicht?</w:t>
      </w:r>
    </w:p>
    <w:p w:rsidR="000E690B" w:rsidRPr="00C40FA3" w:rsidRDefault="000E690B" w:rsidP="00EC6EF7">
      <w:pPr>
        <w:spacing w:before="100" w:beforeAutospacing="1" w:after="100" w:afterAutospacing="1"/>
        <w:jc w:val="left"/>
        <w:outlineLvl w:val="2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Ja, die Gründe sind vielfältig:</w:t>
      </w:r>
    </w:p>
    <w:p w:rsidR="00EC6EF7" w:rsidRPr="00C40FA3" w:rsidRDefault="00EC6EF7" w:rsidP="00EC6EF7">
      <w:pPr>
        <w:numPr>
          <w:ilvl w:val="0"/>
          <w:numId w:val="18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D9062C">
        <w:rPr>
          <w:b/>
          <w:bCs/>
          <w:sz w:val="24"/>
          <w:szCs w:val="24"/>
        </w:rPr>
        <w:t>Kreditvergabe wird klimabezogen:</w:t>
      </w:r>
      <w:r w:rsidRPr="00C40F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Banken fordern bereits heute teilweise </w:t>
      </w:r>
      <w:r w:rsidRPr="00C40FA3">
        <w:rPr>
          <w:sz w:val="24"/>
          <w:szCs w:val="24"/>
        </w:rPr>
        <w:t>Klimarisikoszenarien für Kreditbewertungen.</w:t>
      </w:r>
    </w:p>
    <w:p w:rsidR="00EC6EF7" w:rsidRPr="00C40FA3" w:rsidRDefault="00EC6EF7" w:rsidP="00EC6EF7">
      <w:pPr>
        <w:numPr>
          <w:ilvl w:val="0"/>
          <w:numId w:val="18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D9062C">
        <w:rPr>
          <w:b/>
          <w:bCs/>
          <w:sz w:val="24"/>
          <w:szCs w:val="24"/>
        </w:rPr>
        <w:t>Lieferkettendruck bleibt real:</w:t>
      </w:r>
      <w:r w:rsidRPr="00C40F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Die Verpflichtung zur Weitergabe von </w:t>
      </w:r>
      <w:r w:rsidRPr="00C40FA3">
        <w:rPr>
          <w:sz w:val="24"/>
          <w:szCs w:val="24"/>
        </w:rPr>
        <w:t xml:space="preserve">ESG-Daten </w:t>
      </w:r>
      <w:r>
        <w:rPr>
          <w:sz w:val="24"/>
          <w:szCs w:val="24"/>
        </w:rPr>
        <w:t>an Geschäftspartner bleibt bestehen – wenn auch in vermindertem Umfang.</w:t>
      </w:r>
    </w:p>
    <w:p w:rsidR="00EC6EF7" w:rsidRPr="00C40FA3" w:rsidRDefault="00EC6EF7" w:rsidP="00EC6EF7">
      <w:pPr>
        <w:numPr>
          <w:ilvl w:val="0"/>
          <w:numId w:val="18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D9062C">
        <w:rPr>
          <w:b/>
          <w:bCs/>
          <w:sz w:val="24"/>
          <w:szCs w:val="24"/>
        </w:rPr>
        <w:t>Markterwartungen steigen:</w:t>
      </w:r>
      <w:r w:rsidRPr="00C40FA3">
        <w:rPr>
          <w:sz w:val="24"/>
          <w:szCs w:val="24"/>
        </w:rPr>
        <w:t xml:space="preserve"> Kunden, Investoren, öffentliche Auftraggeber – alle erwarten Transparenz</w:t>
      </w:r>
      <w:r>
        <w:rPr>
          <w:sz w:val="24"/>
          <w:szCs w:val="24"/>
        </w:rPr>
        <w:t xml:space="preserve"> hinsichtlich Nachhaltigkeit.</w:t>
      </w:r>
    </w:p>
    <w:p w:rsidR="00EC6EF7" w:rsidRPr="00C40FA3" w:rsidRDefault="00EC6EF7" w:rsidP="00EC6EF7">
      <w:pPr>
        <w:numPr>
          <w:ilvl w:val="0"/>
          <w:numId w:val="18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D9062C">
        <w:rPr>
          <w:b/>
          <w:bCs/>
          <w:sz w:val="24"/>
          <w:szCs w:val="24"/>
        </w:rPr>
        <w:t>Green Claims werden überprüft:</w:t>
      </w:r>
      <w:r w:rsidRPr="00C40FA3">
        <w:rPr>
          <w:sz w:val="24"/>
          <w:szCs w:val="24"/>
        </w:rPr>
        <w:t xml:space="preserve"> ESG-Kommunikation ohne Datenbasis kann zum Risiko werden.</w:t>
      </w:r>
    </w:p>
    <w:p w:rsidR="00EC6EF7" w:rsidRPr="001A43C4" w:rsidRDefault="0028639B" w:rsidP="00025CC2">
      <w:pPr>
        <w:spacing w:before="100" w:beforeAutospacing="1" w:after="100" w:afterAutospacing="1"/>
        <w:ind w:left="1276" w:hanging="1276"/>
        <w:jc w:val="left"/>
        <w:outlineLvl w:val="2"/>
        <w:rPr>
          <w:b/>
          <w:bCs/>
          <w:color w:val="228B2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F783B" wp14:editId="61F41BF0">
                <wp:simplePos x="0" y="0"/>
                <wp:positionH relativeFrom="rightMargin">
                  <wp:posOffset>54610</wp:posOffset>
                </wp:positionH>
                <wp:positionV relativeFrom="paragraph">
                  <wp:posOffset>50165</wp:posOffset>
                </wp:positionV>
                <wp:extent cx="333375" cy="304800"/>
                <wp:effectExtent l="0" t="0" r="9525" b="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39B" w:rsidRPr="006A694A" w:rsidRDefault="0028639B" w:rsidP="0028639B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3F783B" id="Ellipse 9" o:spid="_x0000_s1034" style="position:absolute;left:0;text-align:left;margin-left:4.3pt;margin-top:3.95pt;width:26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" fillcolor="#228b22" stroked="f" strokeweight="1pt">
                <v:stroke joinstyle="miter"/>
                <v:textbox inset="0,0,0,0">
                  <w:txbxContent>
                    <w:p w:rsidR="0028639B" w:rsidRPr="006A694A" w:rsidRDefault="0028639B" w:rsidP="0028639B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E690B">
        <w:rPr>
          <w:b/>
          <w:bCs/>
          <w:color w:val="228B22"/>
          <w:sz w:val="24"/>
          <w:szCs w:val="24"/>
        </w:rPr>
        <w:t>Leitfrage 2: Wie sollte ich das Nachhaltigkeitssystem aufsetzen?</w:t>
      </w:r>
    </w:p>
    <w:p w:rsidR="007831CC" w:rsidRDefault="00F827D4" w:rsidP="00027AB3">
      <w:pPr>
        <w:spacing w:before="100" w:beforeAutospacing="1" w:after="100" w:afterAutospacing="1"/>
        <w:jc w:val="left"/>
        <w:outlineLvl w:val="2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Die ESG-Berichterstattung ist schlank und wirksam aufzusetzen. </w:t>
      </w:r>
      <w:r w:rsidR="00EC6EF7">
        <w:rPr>
          <w:bCs/>
          <w:color w:val="000000" w:themeColor="text1"/>
          <w:sz w:val="24"/>
          <w:szCs w:val="24"/>
        </w:rPr>
        <w:t xml:space="preserve">Um Nachhaltigkeit glaubwürdig und effizient im Unternehmen zu verankern, braucht es keine überbordenden Ressourcen – sondern einen </w:t>
      </w:r>
      <w:r w:rsidR="00EC6EF7" w:rsidRPr="007831CC">
        <w:rPr>
          <w:b/>
          <w:bCs/>
          <w:color w:val="000000" w:themeColor="text1"/>
          <w:sz w:val="24"/>
          <w:szCs w:val="24"/>
        </w:rPr>
        <w:t>klar strukturierten Fahrplan</w:t>
      </w:r>
      <w:r w:rsidR="00EC6EF7">
        <w:rPr>
          <w:bCs/>
          <w:color w:val="000000" w:themeColor="text1"/>
          <w:sz w:val="24"/>
          <w:szCs w:val="24"/>
        </w:rPr>
        <w:t>.</w:t>
      </w:r>
      <w:r w:rsidR="007831CC">
        <w:rPr>
          <w:bCs/>
          <w:color w:val="000000" w:themeColor="text1"/>
          <w:sz w:val="24"/>
          <w:szCs w:val="24"/>
        </w:rPr>
        <w:br/>
      </w:r>
      <w:r w:rsidR="00EC6EF7">
        <w:rPr>
          <w:bCs/>
          <w:color w:val="000000" w:themeColor="text1"/>
          <w:sz w:val="24"/>
          <w:szCs w:val="24"/>
        </w:rPr>
        <w:t>Mit einem praxisnahen ESG-Ansatz können KMU</w:t>
      </w:r>
    </w:p>
    <w:p w:rsidR="007831CC" w:rsidRDefault="00EC6EF7" w:rsidP="007831CC">
      <w:pPr>
        <w:pStyle w:val="Listenabsatz"/>
        <w:numPr>
          <w:ilvl w:val="0"/>
          <w:numId w:val="22"/>
        </w:numPr>
        <w:spacing w:before="100" w:beforeAutospacing="1" w:after="100" w:afterAutospacing="1"/>
        <w:jc w:val="left"/>
        <w:outlineLvl w:val="2"/>
        <w:rPr>
          <w:bCs/>
          <w:color w:val="000000" w:themeColor="text1"/>
          <w:sz w:val="24"/>
          <w:szCs w:val="24"/>
        </w:rPr>
      </w:pPr>
      <w:r w:rsidRPr="007831CC">
        <w:rPr>
          <w:bCs/>
          <w:color w:val="000000" w:themeColor="text1"/>
          <w:sz w:val="24"/>
          <w:szCs w:val="24"/>
        </w:rPr>
        <w:t>ihre Wirkung sichtbar machen,</w:t>
      </w:r>
    </w:p>
    <w:p w:rsidR="007831CC" w:rsidRDefault="00EC6EF7" w:rsidP="007831CC">
      <w:pPr>
        <w:pStyle w:val="Listenabsatz"/>
        <w:numPr>
          <w:ilvl w:val="0"/>
          <w:numId w:val="22"/>
        </w:numPr>
        <w:spacing w:before="100" w:beforeAutospacing="1" w:after="100" w:afterAutospacing="1"/>
        <w:jc w:val="left"/>
        <w:outlineLvl w:val="2"/>
        <w:rPr>
          <w:bCs/>
          <w:color w:val="000000" w:themeColor="text1"/>
          <w:sz w:val="24"/>
          <w:szCs w:val="24"/>
        </w:rPr>
      </w:pPr>
      <w:r w:rsidRPr="007831CC">
        <w:rPr>
          <w:bCs/>
          <w:color w:val="000000" w:themeColor="text1"/>
          <w:sz w:val="24"/>
          <w:szCs w:val="24"/>
        </w:rPr>
        <w:t>Vertrauen stärken und</w:t>
      </w:r>
    </w:p>
    <w:p w:rsidR="007831CC" w:rsidRDefault="00EC6EF7" w:rsidP="007831CC">
      <w:pPr>
        <w:pStyle w:val="Listenabsatz"/>
        <w:numPr>
          <w:ilvl w:val="0"/>
          <w:numId w:val="22"/>
        </w:numPr>
        <w:spacing w:before="100" w:beforeAutospacing="1" w:after="100" w:afterAutospacing="1"/>
        <w:jc w:val="left"/>
        <w:outlineLvl w:val="2"/>
        <w:rPr>
          <w:bCs/>
          <w:color w:val="000000" w:themeColor="text1"/>
          <w:sz w:val="24"/>
          <w:szCs w:val="24"/>
        </w:rPr>
      </w:pPr>
      <w:r w:rsidRPr="007831CC">
        <w:rPr>
          <w:bCs/>
          <w:color w:val="000000" w:themeColor="text1"/>
          <w:sz w:val="24"/>
          <w:szCs w:val="24"/>
        </w:rPr>
        <w:t>Anforderungen gezielt erfüllen.</w:t>
      </w:r>
    </w:p>
    <w:p w:rsidR="007831CC" w:rsidRDefault="007831CC" w:rsidP="007831CC">
      <w:pPr>
        <w:pStyle w:val="Standardeinzug"/>
      </w:pPr>
      <w:r>
        <w:br w:type="page"/>
      </w:r>
    </w:p>
    <w:p w:rsidR="00EC6EF7" w:rsidRPr="007831CC" w:rsidRDefault="0028639B" w:rsidP="007831CC">
      <w:pPr>
        <w:spacing w:before="100" w:beforeAutospacing="1" w:after="100" w:afterAutospacing="1"/>
        <w:jc w:val="left"/>
        <w:outlineLvl w:val="2"/>
        <w:rPr>
          <w:bCs/>
          <w:color w:val="000000" w:themeColor="text1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049B57" wp14:editId="17C81EAB">
                <wp:simplePos x="0" y="0"/>
                <wp:positionH relativeFrom="rightMargin">
                  <wp:posOffset>30480</wp:posOffset>
                </wp:positionH>
                <wp:positionV relativeFrom="paragraph">
                  <wp:posOffset>8890</wp:posOffset>
                </wp:positionV>
                <wp:extent cx="333375" cy="304800"/>
                <wp:effectExtent l="0" t="0" r="9525" b="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39B" w:rsidRPr="006A694A" w:rsidRDefault="0028639B" w:rsidP="0028639B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49B57" id="Ellipse 10" o:spid="_x0000_s1035" style="position:absolute;margin-left:2.4pt;margin-top:.7pt;width:26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" fillcolor="#228b22" stroked="f" strokeweight="1pt">
                <v:stroke joinstyle="miter"/>
                <v:textbox inset="0,0,0,0">
                  <w:txbxContent>
                    <w:p w:rsidR="0028639B" w:rsidRPr="006A694A" w:rsidRDefault="0028639B" w:rsidP="0028639B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6EF7" w:rsidRPr="007831CC">
        <w:rPr>
          <w:bCs/>
          <w:color w:val="000000" w:themeColor="text1"/>
          <w:sz w:val="24"/>
          <w:szCs w:val="24"/>
        </w:rPr>
        <w:t xml:space="preserve">So gelingt der Einstieg in die </w:t>
      </w:r>
      <w:r w:rsidR="00EC6EF7" w:rsidRPr="007831CC">
        <w:rPr>
          <w:b/>
          <w:bCs/>
          <w:color w:val="000000" w:themeColor="text1"/>
          <w:sz w:val="24"/>
          <w:szCs w:val="24"/>
        </w:rPr>
        <w:t>Berichterstattung mit Augenmaß</w:t>
      </w:r>
      <w:r w:rsidR="007831CC">
        <w:rPr>
          <w:bCs/>
          <w:color w:val="000000" w:themeColor="text1"/>
          <w:sz w:val="24"/>
          <w:szCs w:val="24"/>
        </w:rPr>
        <w:t>:</w:t>
      </w:r>
    </w:p>
    <w:p w:rsidR="00EC6EF7" w:rsidRPr="00C40FA3" w:rsidRDefault="00EC6EF7" w:rsidP="007831CC">
      <w:pPr>
        <w:numPr>
          <w:ilvl w:val="0"/>
          <w:numId w:val="23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40FA3">
        <w:rPr>
          <w:sz w:val="24"/>
          <w:szCs w:val="24"/>
        </w:rPr>
        <w:t>ESG-Verantwortlichkeiten klären</w:t>
      </w:r>
    </w:p>
    <w:p w:rsidR="00EC6EF7" w:rsidRPr="00C40FA3" w:rsidRDefault="00EC6EF7" w:rsidP="007831CC">
      <w:pPr>
        <w:numPr>
          <w:ilvl w:val="0"/>
          <w:numId w:val="23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D9062C">
        <w:rPr>
          <w:b/>
          <w:bCs/>
          <w:sz w:val="24"/>
          <w:szCs w:val="24"/>
        </w:rPr>
        <w:t>Wesentlichkeitsanalyse</w:t>
      </w:r>
      <w:r w:rsidRPr="00C40FA3">
        <w:rPr>
          <w:sz w:val="24"/>
          <w:szCs w:val="24"/>
        </w:rPr>
        <w:t xml:space="preserve"> auf KMU-Niveau durchführen</w:t>
      </w:r>
    </w:p>
    <w:p w:rsidR="00EC6EF7" w:rsidRPr="00C40FA3" w:rsidRDefault="00EC6EF7" w:rsidP="007831CC">
      <w:pPr>
        <w:numPr>
          <w:ilvl w:val="0"/>
          <w:numId w:val="23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40FA3">
        <w:rPr>
          <w:sz w:val="24"/>
          <w:szCs w:val="24"/>
        </w:rPr>
        <w:t>Ziele &amp; Maßnahmen ableiten (z.</w:t>
      </w:r>
      <w:r w:rsidRPr="00C40FA3">
        <w:rPr>
          <w:rFonts w:ascii="Arial" w:hAnsi="Arial" w:cs="Arial"/>
          <w:sz w:val="24"/>
          <w:szCs w:val="24"/>
        </w:rPr>
        <w:t> </w:t>
      </w:r>
      <w:r w:rsidRPr="00C40FA3">
        <w:rPr>
          <w:sz w:val="24"/>
          <w:szCs w:val="24"/>
        </w:rPr>
        <w:t>B. zu Energie, Emissionen, Arbeitsbedingungen)</w:t>
      </w:r>
    </w:p>
    <w:p w:rsidR="00EC6EF7" w:rsidRPr="00C40FA3" w:rsidRDefault="00EC6EF7" w:rsidP="007831CC">
      <w:pPr>
        <w:numPr>
          <w:ilvl w:val="0"/>
          <w:numId w:val="23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C40FA3">
        <w:rPr>
          <w:sz w:val="24"/>
          <w:szCs w:val="24"/>
        </w:rPr>
        <w:t>ESG-Datenprozesse aufbauen und ggf. mit existierender Buchhaltung verzahnen</w:t>
      </w:r>
    </w:p>
    <w:p w:rsidR="00EC6EF7" w:rsidRPr="00C40FA3" w:rsidRDefault="0028639B" w:rsidP="007831CC">
      <w:pPr>
        <w:numPr>
          <w:ilvl w:val="0"/>
          <w:numId w:val="23"/>
        </w:numPr>
        <w:spacing w:before="100" w:beforeAutospacing="1" w:after="100" w:afterAutospacing="1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CB2175" wp14:editId="48CF60D7">
                <wp:simplePos x="0" y="0"/>
                <wp:positionH relativeFrom="rightMargin">
                  <wp:posOffset>26035</wp:posOffset>
                </wp:positionH>
                <wp:positionV relativeFrom="paragraph">
                  <wp:posOffset>372745</wp:posOffset>
                </wp:positionV>
                <wp:extent cx="333375" cy="304800"/>
                <wp:effectExtent l="0" t="0" r="9525" b="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39B" w:rsidRPr="006A694A" w:rsidRDefault="0028639B" w:rsidP="0028639B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B2175" id="Ellipse 12" o:spid="_x0000_s1036" style="position:absolute;left:0;text-align:left;margin-left:2.05pt;margin-top:29.35pt;width:26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" fillcolor="#228b22" stroked="f" strokeweight="1pt">
                <v:stroke joinstyle="miter"/>
                <v:textbox inset="0,0,0,0">
                  <w:txbxContent>
                    <w:p w:rsidR="0028639B" w:rsidRPr="006A694A" w:rsidRDefault="0028639B" w:rsidP="0028639B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6EF7" w:rsidRPr="00D9062C">
        <w:rPr>
          <w:b/>
          <w:bCs/>
          <w:sz w:val="24"/>
          <w:szCs w:val="24"/>
        </w:rPr>
        <w:t>VSME-Bericht erstellen:</w:t>
      </w:r>
      <w:r w:rsidR="00EC6EF7" w:rsidRPr="00C40FA3">
        <w:rPr>
          <w:sz w:val="24"/>
          <w:szCs w:val="24"/>
        </w:rPr>
        <w:t xml:space="preserve"> standardisiert, transparent, nachvollziehbar</w:t>
      </w:r>
    </w:p>
    <w:p w:rsidR="007831CC" w:rsidRDefault="007831CC" w:rsidP="00EC6EF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Betrachten</w:t>
      </w:r>
      <w:r w:rsidR="00EC6EF7" w:rsidRPr="00C40FA3">
        <w:rPr>
          <w:sz w:val="24"/>
          <w:szCs w:val="24"/>
        </w:rPr>
        <w:t xml:space="preserve"> Sie </w:t>
      </w:r>
      <w:r>
        <w:rPr>
          <w:sz w:val="24"/>
          <w:szCs w:val="24"/>
        </w:rPr>
        <w:t xml:space="preserve">das Thema </w:t>
      </w:r>
      <w:r w:rsidR="00EC6EF7" w:rsidRPr="00C40FA3">
        <w:rPr>
          <w:sz w:val="24"/>
          <w:szCs w:val="24"/>
        </w:rPr>
        <w:t xml:space="preserve">ESG nicht als Last, sondern als </w:t>
      </w:r>
      <w:r w:rsidR="00EC6EF7" w:rsidRPr="00D9062C">
        <w:rPr>
          <w:b/>
          <w:bCs/>
          <w:sz w:val="24"/>
          <w:szCs w:val="24"/>
        </w:rPr>
        <w:t>Chancen-Management</w:t>
      </w:r>
      <w:r w:rsidR="00EC6EF7" w:rsidRPr="00C40FA3">
        <w:rPr>
          <w:sz w:val="24"/>
          <w:szCs w:val="24"/>
        </w:rPr>
        <w:t xml:space="preserve"> – für</w:t>
      </w:r>
    </w:p>
    <w:p w:rsidR="007831CC" w:rsidRDefault="00EC6EF7" w:rsidP="007831CC">
      <w:pPr>
        <w:pStyle w:val="Listenabsatz"/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r w:rsidRPr="007831CC">
        <w:rPr>
          <w:sz w:val="24"/>
          <w:szCs w:val="24"/>
        </w:rPr>
        <w:t>bessere Kreditbedingungen,</w:t>
      </w:r>
    </w:p>
    <w:p w:rsidR="007831CC" w:rsidRDefault="00EC6EF7" w:rsidP="007831CC">
      <w:pPr>
        <w:pStyle w:val="Listenabsatz"/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r w:rsidRPr="007831CC">
        <w:rPr>
          <w:sz w:val="24"/>
          <w:szCs w:val="24"/>
        </w:rPr>
        <w:t>stabilere Kundenbeziehungen und</w:t>
      </w:r>
    </w:p>
    <w:p w:rsidR="00EC6EF7" w:rsidRPr="007831CC" w:rsidRDefault="0028639B" w:rsidP="007831CC">
      <w:pPr>
        <w:pStyle w:val="Listenabsatz"/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CB2175" wp14:editId="48CF60D7">
                <wp:simplePos x="0" y="0"/>
                <wp:positionH relativeFrom="rightMargin">
                  <wp:posOffset>30480</wp:posOffset>
                </wp:positionH>
                <wp:positionV relativeFrom="paragraph">
                  <wp:posOffset>381635</wp:posOffset>
                </wp:positionV>
                <wp:extent cx="333375" cy="304800"/>
                <wp:effectExtent l="0" t="0" r="9525" b="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39B" w:rsidRPr="006A694A" w:rsidRDefault="0028639B" w:rsidP="0028639B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B2175" id="Ellipse 13" o:spid="_x0000_s1037" style="position:absolute;left:0;text-align:left;margin-left:2.4pt;margin-top:30.05pt;width:26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" fillcolor="#228b22" stroked="f" strokeweight="1pt">
                <v:stroke joinstyle="miter"/>
                <v:textbox inset="0,0,0,0">
                  <w:txbxContent>
                    <w:p w:rsidR="0028639B" w:rsidRPr="006A694A" w:rsidRDefault="0028639B" w:rsidP="0028639B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6EF7" w:rsidRPr="007831CC">
        <w:rPr>
          <w:sz w:val="24"/>
          <w:szCs w:val="24"/>
        </w:rPr>
        <w:t>neue Marktzugänge.</w:t>
      </w:r>
    </w:p>
    <w:p w:rsidR="00EC6EF7" w:rsidRPr="00027AB3" w:rsidRDefault="007831CC" w:rsidP="007831CC">
      <w:pPr>
        <w:spacing w:before="0" w:after="160" w:line="259" w:lineRule="auto"/>
        <w:jc w:val="left"/>
        <w:rPr>
          <w:b/>
          <w:bCs/>
          <w:color w:val="228B22"/>
          <w:sz w:val="24"/>
          <w:szCs w:val="24"/>
        </w:rPr>
      </w:pPr>
      <w:r>
        <w:rPr>
          <w:b/>
          <w:bCs/>
          <w:color w:val="228B22"/>
          <w:sz w:val="24"/>
          <w:szCs w:val="24"/>
        </w:rPr>
        <w:t>W</w:t>
      </w:r>
      <w:r w:rsidR="00EC6EF7" w:rsidRPr="00027AB3">
        <w:rPr>
          <w:b/>
          <w:bCs/>
          <w:color w:val="228B22"/>
          <w:sz w:val="24"/>
          <w:szCs w:val="24"/>
        </w:rPr>
        <w:t>ir unterstützen Sie dabei</w:t>
      </w:r>
      <w:r w:rsidR="00F063E3">
        <w:rPr>
          <w:b/>
          <w:bCs/>
          <w:color w:val="228B22"/>
          <w:sz w:val="24"/>
          <w:szCs w:val="24"/>
        </w:rPr>
        <w:t>!</w:t>
      </w:r>
    </w:p>
    <w:p w:rsidR="007831CC" w:rsidRDefault="00EC6EF7" w:rsidP="00EC6EF7">
      <w:pPr>
        <w:spacing w:before="100" w:beforeAutospacing="1" w:after="100" w:afterAutospacing="1"/>
        <w:rPr>
          <w:sz w:val="24"/>
          <w:szCs w:val="24"/>
        </w:rPr>
      </w:pPr>
      <w:r w:rsidRPr="00C40FA3">
        <w:rPr>
          <w:sz w:val="24"/>
          <w:szCs w:val="24"/>
        </w:rPr>
        <w:t>Wir begleiten Sie mit</w:t>
      </w:r>
    </w:p>
    <w:p w:rsidR="007831CC" w:rsidRDefault="00EC6EF7" w:rsidP="007831CC">
      <w:pPr>
        <w:pStyle w:val="Listenabsatz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</w:rPr>
      </w:pPr>
      <w:r w:rsidRPr="007831CC">
        <w:rPr>
          <w:sz w:val="24"/>
          <w:szCs w:val="24"/>
        </w:rPr>
        <w:t>pragmatischem Vorgehen,</w:t>
      </w:r>
    </w:p>
    <w:p w:rsidR="007831CC" w:rsidRDefault="00EC6EF7" w:rsidP="007831CC">
      <w:pPr>
        <w:pStyle w:val="Listenabsatz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</w:rPr>
      </w:pPr>
      <w:r w:rsidRPr="007831CC">
        <w:rPr>
          <w:sz w:val="24"/>
          <w:szCs w:val="24"/>
        </w:rPr>
        <w:t>erprobten Vorlagen und</w:t>
      </w:r>
    </w:p>
    <w:p w:rsidR="007831CC" w:rsidRDefault="00EC6EF7" w:rsidP="007831CC">
      <w:pPr>
        <w:pStyle w:val="Listenabsatz"/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</w:rPr>
      </w:pPr>
      <w:r w:rsidRPr="007831CC">
        <w:rPr>
          <w:sz w:val="24"/>
          <w:szCs w:val="24"/>
        </w:rPr>
        <w:t>praxisnaher Beratung</w:t>
      </w:r>
      <w:r w:rsidR="00684339">
        <w:rPr>
          <w:sz w:val="24"/>
          <w:szCs w:val="24"/>
        </w:rPr>
        <w:t>,</w:t>
      </w:r>
    </w:p>
    <w:p w:rsidR="007831CC" w:rsidRDefault="0028639B" w:rsidP="007831CC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E8B7F9" wp14:editId="03E686A8">
                <wp:simplePos x="0" y="0"/>
                <wp:positionH relativeFrom="rightMargin">
                  <wp:posOffset>11430</wp:posOffset>
                </wp:positionH>
                <wp:positionV relativeFrom="paragraph">
                  <wp:posOffset>368300</wp:posOffset>
                </wp:positionV>
                <wp:extent cx="333375" cy="304800"/>
                <wp:effectExtent l="0" t="0" r="9525" b="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228B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39B" w:rsidRPr="006A694A" w:rsidRDefault="0028639B" w:rsidP="0028639B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E8B7F9" id="Ellipse 14" o:spid="_x0000_s1038" style="position:absolute;left:0;text-align:left;margin-left:.9pt;margin-top:29pt;width:26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" fillcolor="#228b22" stroked="f" strokeweight="1pt">
                <v:stroke joinstyle="miter"/>
                <v:textbox inset="0,0,0,0">
                  <w:txbxContent>
                    <w:p w:rsidR="0028639B" w:rsidRPr="006A694A" w:rsidRDefault="0028639B" w:rsidP="0028639B">
                      <w:pPr>
                        <w:spacing w:before="0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6EF7" w:rsidRPr="007831CC">
        <w:rPr>
          <w:sz w:val="24"/>
          <w:szCs w:val="24"/>
        </w:rPr>
        <w:t>auf Wunsch auch mit einem freiwilligen Prüfungsvermerk.</w:t>
      </w:r>
    </w:p>
    <w:p w:rsidR="00EC6EF7" w:rsidRPr="007831CC" w:rsidRDefault="00F063E3" w:rsidP="007831CC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Es gilt: </w:t>
      </w:r>
      <w:r w:rsidR="00EC6EF7" w:rsidRPr="007831CC">
        <w:rPr>
          <w:b/>
          <w:bCs/>
          <w:sz w:val="24"/>
          <w:szCs w:val="24"/>
        </w:rPr>
        <w:t>Jetzt freiwillig handeln – um später vorbereitet zu sein.</w:t>
      </w:r>
    </w:p>
    <w:p w:rsidR="00EC6EF7" w:rsidRPr="00C40FA3" w:rsidRDefault="00EC6EF7" w:rsidP="00EC6EF7">
      <w:pPr>
        <w:spacing w:before="100" w:beforeAutospacing="1" w:after="100" w:afterAutospacing="1"/>
        <w:rPr>
          <w:sz w:val="24"/>
          <w:szCs w:val="24"/>
        </w:rPr>
      </w:pPr>
      <w:r w:rsidRPr="00C40FA3">
        <w:rPr>
          <w:sz w:val="24"/>
          <w:szCs w:val="24"/>
        </w:rPr>
        <w:t>Sprechen Sie uns an – wir helfen Ihnen, d</w:t>
      </w:r>
      <w:r w:rsidR="00F063E3">
        <w:rPr>
          <w:sz w:val="24"/>
          <w:szCs w:val="24"/>
        </w:rPr>
        <w:t xml:space="preserve">ie weitere </w:t>
      </w:r>
      <w:r w:rsidRPr="00C40FA3">
        <w:rPr>
          <w:sz w:val="24"/>
          <w:szCs w:val="24"/>
        </w:rPr>
        <w:t>ESG-</w:t>
      </w:r>
      <w:r w:rsidR="00F063E3">
        <w:rPr>
          <w:sz w:val="24"/>
          <w:szCs w:val="24"/>
        </w:rPr>
        <w:t>System-Umsetzung</w:t>
      </w:r>
      <w:r w:rsidRPr="00C40FA3">
        <w:rPr>
          <w:sz w:val="24"/>
          <w:szCs w:val="24"/>
        </w:rPr>
        <w:t xml:space="preserve"> effektiv zu gestalten.</w:t>
      </w:r>
    </w:p>
    <w:p w:rsidR="00EC6EF7" w:rsidRPr="00C40FA3" w:rsidRDefault="00EC6EF7" w:rsidP="00EC6EF7">
      <w:pPr>
        <w:spacing w:before="100" w:beforeAutospacing="1" w:after="100" w:afterAutospacing="1"/>
        <w:jc w:val="left"/>
        <w:rPr>
          <w:sz w:val="24"/>
          <w:szCs w:val="24"/>
        </w:rPr>
      </w:pPr>
      <w:r w:rsidRPr="00C40FA3">
        <w:rPr>
          <w:sz w:val="24"/>
          <w:szCs w:val="24"/>
        </w:rPr>
        <w:t>Mit freundlichen Grüßen</w:t>
      </w:r>
      <w:r w:rsidR="00373DB7">
        <w:rPr>
          <w:sz w:val="24"/>
          <w:szCs w:val="24"/>
        </w:rPr>
        <w:t>“</w:t>
      </w:r>
      <w:r w:rsidRPr="00C40FA3">
        <w:rPr>
          <w:sz w:val="24"/>
          <w:szCs w:val="24"/>
        </w:rPr>
        <w:br/>
      </w:r>
      <w:r>
        <w:rPr>
          <w:i/>
          <w:iCs/>
          <w:sz w:val="24"/>
          <w:szCs w:val="24"/>
        </w:rPr>
        <w:t>[Wirtschaftsprüfer]</w:t>
      </w:r>
    </w:p>
    <w:p w:rsidR="00EC6EF7" w:rsidRPr="005716FF" w:rsidRDefault="00EC6EF7" w:rsidP="00EC6EF7">
      <w:pPr>
        <w:spacing w:before="0"/>
        <w:contextualSpacing/>
        <w:jc w:val="left"/>
        <w:rPr>
          <w:b/>
          <w:sz w:val="24"/>
          <w:szCs w:val="24"/>
        </w:rPr>
      </w:pPr>
    </w:p>
    <w:p w:rsidR="00EC6EF7" w:rsidRPr="00EC6EF7" w:rsidRDefault="00EC6EF7" w:rsidP="00EC6EF7">
      <w:pPr>
        <w:spacing w:before="100" w:beforeAutospacing="1" w:after="240"/>
        <w:rPr>
          <w:sz w:val="24"/>
          <w:szCs w:val="24"/>
        </w:rPr>
      </w:pPr>
    </w:p>
    <w:sectPr w:rsidR="00EC6EF7" w:rsidRPr="00EC6EF7" w:rsidSect="00C77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12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D4B" w:rsidRDefault="00454D4B" w:rsidP="00454D4B">
      <w:pPr>
        <w:spacing w:before="0"/>
      </w:pPr>
      <w:r>
        <w:separator/>
      </w:r>
    </w:p>
  </w:endnote>
  <w:endnote w:type="continuationSeparator" w:id="0">
    <w:p w:rsidR="00454D4B" w:rsidRDefault="00454D4B" w:rsidP="00454D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9ED" w:rsidRDefault="008829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F5" w:rsidRPr="007F082E" w:rsidRDefault="00C77DE0" w:rsidP="008829ED">
    <w:pPr>
      <w:tabs>
        <w:tab w:val="center" w:pos="4536"/>
        <w:tab w:val="right" w:pos="9072"/>
        <w:tab w:val="left" w:pos="9781"/>
      </w:tabs>
      <w:spacing w:before="4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877616359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/>
            <w:sz w:val="20"/>
            <w:lang w:eastAsia="en-US"/>
          </w:rPr>
          <w:t>4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bookmarkStart w:id="0" w:name="_GoBack"/>
    <w:r w:rsidR="008829ED">
      <w:rPr>
        <w:noProof/>
      </w:rPr>
      <w:drawing>
        <wp:inline distT="0" distB="0" distL="0" distR="0" wp14:anchorId="7AC1378B" wp14:editId="617CD158">
          <wp:extent cx="2620010" cy="517525"/>
          <wp:effectExtent l="0" t="0" r="8890" b="0"/>
          <wp:docPr id="17" name="Grafik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1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Pr="00E211D2">
      <w:rPr>
        <w:rFonts w:eastAsiaTheme="minorHAnsi" w:cstheme="minorBidi"/>
        <w:sz w:val="20"/>
        <w:lang w:eastAsia="en-US"/>
      </w:rPr>
      <w:tab/>
    </w:r>
    <w:r w:rsidR="00A225F5" w:rsidRPr="007302A7">
      <w:rPr>
        <w:rFonts w:eastAsiaTheme="minorHAnsi" w:cstheme="minorBidi"/>
        <w:b/>
        <w:color w:val="228B22"/>
        <w:sz w:val="20"/>
        <w:lang w:eastAsia="en-US"/>
      </w:rPr>
      <w:t>AUDfIT</w:t>
    </w:r>
    <w:r w:rsidR="00A225F5" w:rsidRPr="007302A7">
      <w:rPr>
        <w:rFonts w:eastAsiaTheme="minorHAnsi" w:cstheme="minorBidi"/>
        <w:b/>
        <w:color w:val="228B22"/>
        <w:sz w:val="20"/>
        <w:vertAlign w:val="superscript"/>
        <w:lang w:eastAsia="en-US"/>
      </w:rPr>
      <w:t>®</w:t>
    </w:r>
    <w:r w:rsidR="00A225F5" w:rsidRPr="007302A7">
      <w:rPr>
        <w:rFonts w:eastAsiaTheme="minorHAnsi" w:cstheme="minorBidi"/>
        <w:b/>
        <w:color w:val="228B22"/>
        <w:sz w:val="20"/>
        <w:lang w:eastAsia="en-US"/>
      </w:rPr>
      <w:t xml:space="preserve">-Praxishilfe </w:t>
    </w:r>
    <w:r w:rsidR="00C037FC">
      <w:rPr>
        <w:rFonts w:eastAsiaTheme="minorHAnsi" w:cstheme="minorBidi"/>
        <w:b/>
        <w:color w:val="228B22"/>
        <w:sz w:val="20"/>
        <w:lang w:eastAsia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82E" w:rsidRPr="007F082E" w:rsidRDefault="007F082E" w:rsidP="008829ED">
    <w:pPr>
      <w:tabs>
        <w:tab w:val="center" w:pos="4536"/>
        <w:tab w:val="right" w:pos="9072"/>
        <w:tab w:val="left" w:pos="9781"/>
      </w:tabs>
      <w:spacing w:before="4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 w:cstheme="minorBidi"/>
        <w:sz w:val="20"/>
        <w:lang w:eastAsia="en-US"/>
      </w:rPr>
      <w:t>2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634907890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 w:cstheme="minorBidi"/>
            <w:sz w:val="20"/>
            <w:lang w:eastAsia="en-US"/>
          </w:rPr>
          <w:t>8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="008829ED">
      <w:rPr>
        <w:noProof/>
      </w:rPr>
      <w:drawing>
        <wp:inline distT="0" distB="0" distL="0" distR="0" wp14:anchorId="0BD78F03" wp14:editId="6796113F">
          <wp:extent cx="2620010" cy="517525"/>
          <wp:effectExtent l="0" t="0" r="8890" b="0"/>
          <wp:docPr id="15" name="Grafi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1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11D2">
      <w:rPr>
        <w:rFonts w:eastAsiaTheme="minorHAnsi" w:cstheme="minorBidi"/>
        <w:sz w:val="20"/>
        <w:lang w:eastAsia="en-US"/>
      </w:rPr>
      <w:tab/>
    </w:r>
    <w:r w:rsidRPr="00C139A1">
      <w:rPr>
        <w:rFonts w:eastAsiaTheme="minorHAnsi" w:cstheme="minorBidi"/>
        <w:b/>
        <w:color w:val="228B22"/>
        <w:sz w:val="20"/>
        <w:lang w:eastAsia="en-US"/>
      </w:rPr>
      <w:t>AUDfIT</w:t>
    </w:r>
    <w:r w:rsidRPr="00C139A1">
      <w:rPr>
        <w:rFonts w:eastAsiaTheme="minorHAnsi" w:cstheme="minorBidi"/>
        <w:b/>
        <w:color w:val="228B22"/>
        <w:sz w:val="20"/>
        <w:vertAlign w:val="superscript"/>
        <w:lang w:eastAsia="en-US"/>
      </w:rPr>
      <w:t>®</w:t>
    </w:r>
    <w:r w:rsidRPr="00C139A1">
      <w:rPr>
        <w:rFonts w:eastAsiaTheme="minorHAnsi" w:cstheme="minorBidi"/>
        <w:b/>
        <w:color w:val="228B22"/>
        <w:sz w:val="20"/>
        <w:lang w:eastAsia="en-US"/>
      </w:rPr>
      <w:t>-</w:t>
    </w:r>
    <w:r w:rsidR="00A225F5" w:rsidRPr="00C139A1">
      <w:rPr>
        <w:rFonts w:eastAsiaTheme="minorHAnsi" w:cstheme="minorBidi"/>
        <w:b/>
        <w:color w:val="228B22"/>
        <w:sz w:val="20"/>
        <w:lang w:eastAsia="en-US"/>
      </w:rPr>
      <w:t xml:space="preserve">Praxishilfe </w:t>
    </w:r>
    <w:r w:rsidR="00EC6EF7">
      <w:rPr>
        <w:rFonts w:eastAsiaTheme="minorHAnsi" w:cstheme="minorBidi"/>
        <w:b/>
        <w:color w:val="228B22"/>
        <w:sz w:val="20"/>
        <w:lang w:eastAsia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D4B" w:rsidRDefault="00454D4B" w:rsidP="00454D4B">
      <w:pPr>
        <w:spacing w:before="0"/>
      </w:pPr>
      <w:r>
        <w:separator/>
      </w:r>
    </w:p>
  </w:footnote>
  <w:footnote w:type="continuationSeparator" w:id="0">
    <w:p w:rsidR="00454D4B" w:rsidRDefault="00454D4B" w:rsidP="00454D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9ED" w:rsidRDefault="008829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8075"/>
      <w:gridCol w:w="987"/>
    </w:tblGrid>
    <w:tr w:rsidR="00C77DE0" w:rsidRPr="00C77DE0" w:rsidTr="00187500">
      <w:tc>
        <w:tcPr>
          <w:tcW w:w="8075" w:type="dxa"/>
        </w:tcPr>
        <w:p w:rsidR="00C77DE0" w:rsidRDefault="00C77DE0" w:rsidP="00C77DE0">
          <w:pPr>
            <w:spacing w:before="0"/>
            <w:contextualSpacing/>
            <w:rPr>
              <w:b/>
            </w:rPr>
          </w:pPr>
        </w:p>
      </w:tc>
      <w:tc>
        <w:tcPr>
          <w:tcW w:w="987" w:type="dxa"/>
          <w:shd w:val="clear" w:color="auto" w:fill="auto"/>
        </w:tcPr>
        <w:p w:rsidR="00C77DE0" w:rsidRPr="00C77DE0" w:rsidRDefault="00C77DE0" w:rsidP="00C77DE0">
          <w:pPr>
            <w:spacing w:before="0"/>
            <w:contextualSpacing/>
            <w:jc w:val="center"/>
            <w:rPr>
              <w:b/>
            </w:rPr>
          </w:pPr>
        </w:p>
      </w:tc>
    </w:tr>
  </w:tbl>
  <w:p w:rsidR="00C77DE0" w:rsidRPr="00C77DE0" w:rsidRDefault="00C77DE0">
    <w:pPr>
      <w:pStyle w:val="Kopfzeile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9ED" w:rsidRDefault="008829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136B3033"/>
    <w:multiLevelType w:val="hybridMultilevel"/>
    <w:tmpl w:val="4C780676"/>
    <w:lvl w:ilvl="0" w:tplc="9140AF8E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1C4E"/>
    <w:multiLevelType w:val="hybridMultilevel"/>
    <w:tmpl w:val="37FABD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9EAE92">
      <w:numFmt w:val="bullet"/>
      <w:lvlText w:val="•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046220"/>
    <w:multiLevelType w:val="hybridMultilevel"/>
    <w:tmpl w:val="83FA7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B7E0A"/>
    <w:multiLevelType w:val="hybridMultilevel"/>
    <w:tmpl w:val="21EA8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31DE8"/>
    <w:multiLevelType w:val="hybridMultilevel"/>
    <w:tmpl w:val="F4B08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5786"/>
    <w:multiLevelType w:val="multilevel"/>
    <w:tmpl w:val="04DE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86768"/>
    <w:multiLevelType w:val="hybridMultilevel"/>
    <w:tmpl w:val="9EAA4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90F98"/>
    <w:multiLevelType w:val="hybridMultilevel"/>
    <w:tmpl w:val="41941E42"/>
    <w:lvl w:ilvl="0" w:tplc="DB48DFB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209EAE92">
      <w:numFmt w:val="bullet"/>
      <w:lvlText w:val="•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F8611A"/>
    <w:multiLevelType w:val="hybridMultilevel"/>
    <w:tmpl w:val="E0A4A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169AE"/>
    <w:multiLevelType w:val="hybridMultilevel"/>
    <w:tmpl w:val="1E062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153C4"/>
    <w:multiLevelType w:val="multilevel"/>
    <w:tmpl w:val="9854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74085"/>
    <w:multiLevelType w:val="hybridMultilevel"/>
    <w:tmpl w:val="0016CB76"/>
    <w:lvl w:ilvl="0" w:tplc="7660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3021"/>
    <w:multiLevelType w:val="multilevel"/>
    <w:tmpl w:val="4C3A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D0704"/>
    <w:multiLevelType w:val="hybridMultilevel"/>
    <w:tmpl w:val="8DCE8A3E"/>
    <w:lvl w:ilvl="0" w:tplc="9140AF8E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D04D6"/>
    <w:multiLevelType w:val="hybridMultilevel"/>
    <w:tmpl w:val="88A25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C119F"/>
    <w:multiLevelType w:val="multilevel"/>
    <w:tmpl w:val="79FC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1171D"/>
    <w:multiLevelType w:val="hybridMultilevel"/>
    <w:tmpl w:val="B274B27A"/>
    <w:lvl w:ilvl="0" w:tplc="9140AF8E">
      <w:numFmt w:val="bullet"/>
      <w:lvlText w:val="•"/>
      <w:lvlJc w:val="left"/>
      <w:pPr>
        <w:ind w:left="4108" w:hanging="705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9" w15:restartNumberingAfterBreak="0">
    <w:nsid w:val="4E305FEC"/>
    <w:multiLevelType w:val="hybridMultilevel"/>
    <w:tmpl w:val="63506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80BFE"/>
    <w:multiLevelType w:val="hybridMultilevel"/>
    <w:tmpl w:val="79CAA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5940BE"/>
    <w:multiLevelType w:val="hybridMultilevel"/>
    <w:tmpl w:val="158AB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90B4D"/>
    <w:multiLevelType w:val="multilevel"/>
    <w:tmpl w:val="5EE8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720433"/>
    <w:multiLevelType w:val="multilevel"/>
    <w:tmpl w:val="6D0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8A6FE6"/>
    <w:multiLevelType w:val="multilevel"/>
    <w:tmpl w:val="96EC771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6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28B2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389"/>
        </w:tabs>
        <w:ind w:left="1389" w:hanging="680"/>
      </w:pPr>
      <w:rPr>
        <w:rFonts w:ascii="Century Gothic" w:hAnsi="Century Gothic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B0F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761"/>
        </w:tabs>
        <w:ind w:left="8761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9"/>
        </w:tabs>
        <w:ind w:left="2293" w:hanging="1584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9"/>
  </w:num>
  <w:num w:numId="5">
    <w:abstractNumId w:val="0"/>
  </w:num>
  <w:num w:numId="6">
    <w:abstractNumId w:val="13"/>
  </w:num>
  <w:num w:numId="7">
    <w:abstractNumId w:val="2"/>
  </w:num>
  <w:num w:numId="8">
    <w:abstractNumId w:val="18"/>
  </w:num>
  <w:num w:numId="9">
    <w:abstractNumId w:val="15"/>
  </w:num>
  <w:num w:numId="10">
    <w:abstractNumId w:val="3"/>
  </w:num>
  <w:num w:numId="11">
    <w:abstractNumId w:val="17"/>
  </w:num>
  <w:num w:numId="12">
    <w:abstractNumId w:val="12"/>
  </w:num>
  <w:num w:numId="13">
    <w:abstractNumId w:val="23"/>
  </w:num>
  <w:num w:numId="14">
    <w:abstractNumId w:val="10"/>
  </w:num>
  <w:num w:numId="15">
    <w:abstractNumId w:val="8"/>
  </w:num>
  <w:num w:numId="16">
    <w:abstractNumId w:val="19"/>
  </w:num>
  <w:num w:numId="17">
    <w:abstractNumId w:val="4"/>
  </w:num>
  <w:num w:numId="18">
    <w:abstractNumId w:val="22"/>
  </w:num>
  <w:num w:numId="19">
    <w:abstractNumId w:val="14"/>
  </w:num>
  <w:num w:numId="20">
    <w:abstractNumId w:val="11"/>
  </w:num>
  <w:num w:numId="21">
    <w:abstractNumId w:val="21"/>
  </w:num>
  <w:num w:numId="22">
    <w:abstractNumId w:val="6"/>
  </w:num>
  <w:num w:numId="23">
    <w:abstractNumId w:val="7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87"/>
    <w:rsid w:val="00022D3B"/>
    <w:rsid w:val="00025CC2"/>
    <w:rsid w:val="00027AB3"/>
    <w:rsid w:val="00070633"/>
    <w:rsid w:val="000A06AE"/>
    <w:rsid w:val="000D1784"/>
    <w:rsid w:val="000D1AF8"/>
    <w:rsid w:val="000E37B5"/>
    <w:rsid w:val="000E690B"/>
    <w:rsid w:val="00102163"/>
    <w:rsid w:val="0010263D"/>
    <w:rsid w:val="00112431"/>
    <w:rsid w:val="0011623C"/>
    <w:rsid w:val="001709B3"/>
    <w:rsid w:val="00183E2F"/>
    <w:rsid w:val="001A43C4"/>
    <w:rsid w:val="001A5151"/>
    <w:rsid w:val="001B3668"/>
    <w:rsid w:val="001D324F"/>
    <w:rsid w:val="00211833"/>
    <w:rsid w:val="0025516C"/>
    <w:rsid w:val="00256BD0"/>
    <w:rsid w:val="0026742D"/>
    <w:rsid w:val="0028639B"/>
    <w:rsid w:val="002B1AB9"/>
    <w:rsid w:val="002B5A86"/>
    <w:rsid w:val="002D3182"/>
    <w:rsid w:val="002D52CF"/>
    <w:rsid w:val="002E41ED"/>
    <w:rsid w:val="002E79E4"/>
    <w:rsid w:val="003109F7"/>
    <w:rsid w:val="00340AEF"/>
    <w:rsid w:val="00373DB7"/>
    <w:rsid w:val="00390219"/>
    <w:rsid w:val="003E07D4"/>
    <w:rsid w:val="00420428"/>
    <w:rsid w:val="00433943"/>
    <w:rsid w:val="00454D4B"/>
    <w:rsid w:val="00473E18"/>
    <w:rsid w:val="0047744D"/>
    <w:rsid w:val="00487437"/>
    <w:rsid w:val="004B48FA"/>
    <w:rsid w:val="004C1787"/>
    <w:rsid w:val="004C47DD"/>
    <w:rsid w:val="005716FF"/>
    <w:rsid w:val="005B1D83"/>
    <w:rsid w:val="005D63E3"/>
    <w:rsid w:val="005F21E9"/>
    <w:rsid w:val="00622E37"/>
    <w:rsid w:val="00627213"/>
    <w:rsid w:val="00665B35"/>
    <w:rsid w:val="00666382"/>
    <w:rsid w:val="006750FA"/>
    <w:rsid w:val="00684339"/>
    <w:rsid w:val="006A694A"/>
    <w:rsid w:val="006B17C6"/>
    <w:rsid w:val="006D1042"/>
    <w:rsid w:val="006F0518"/>
    <w:rsid w:val="007278EA"/>
    <w:rsid w:val="007302A7"/>
    <w:rsid w:val="00746F11"/>
    <w:rsid w:val="00761688"/>
    <w:rsid w:val="007831CC"/>
    <w:rsid w:val="007D2FC7"/>
    <w:rsid w:val="007D5EA9"/>
    <w:rsid w:val="007F082E"/>
    <w:rsid w:val="008132D1"/>
    <w:rsid w:val="008517DD"/>
    <w:rsid w:val="00864623"/>
    <w:rsid w:val="008829ED"/>
    <w:rsid w:val="008D50D0"/>
    <w:rsid w:val="008E117B"/>
    <w:rsid w:val="008F7399"/>
    <w:rsid w:val="00916D30"/>
    <w:rsid w:val="00971059"/>
    <w:rsid w:val="0098459C"/>
    <w:rsid w:val="00994D79"/>
    <w:rsid w:val="009D1151"/>
    <w:rsid w:val="009E35E8"/>
    <w:rsid w:val="009F50BF"/>
    <w:rsid w:val="00A05C7A"/>
    <w:rsid w:val="00A06A8C"/>
    <w:rsid w:val="00A15694"/>
    <w:rsid w:val="00A225F5"/>
    <w:rsid w:val="00A25E17"/>
    <w:rsid w:val="00A628ED"/>
    <w:rsid w:val="00B00D1F"/>
    <w:rsid w:val="00B33B5F"/>
    <w:rsid w:val="00B52EEE"/>
    <w:rsid w:val="00B97E15"/>
    <w:rsid w:val="00BA4D34"/>
    <w:rsid w:val="00BB15B8"/>
    <w:rsid w:val="00BE3EE2"/>
    <w:rsid w:val="00BF0DA0"/>
    <w:rsid w:val="00C037FC"/>
    <w:rsid w:val="00C139A1"/>
    <w:rsid w:val="00C23FAA"/>
    <w:rsid w:val="00C323E4"/>
    <w:rsid w:val="00C374B5"/>
    <w:rsid w:val="00C7343A"/>
    <w:rsid w:val="00C77DE0"/>
    <w:rsid w:val="00C84B27"/>
    <w:rsid w:val="00DC2E09"/>
    <w:rsid w:val="00DD1A33"/>
    <w:rsid w:val="00E804DC"/>
    <w:rsid w:val="00EC6EF7"/>
    <w:rsid w:val="00ED1226"/>
    <w:rsid w:val="00EE2D22"/>
    <w:rsid w:val="00F063E3"/>
    <w:rsid w:val="00F153B2"/>
    <w:rsid w:val="00F31161"/>
    <w:rsid w:val="00F827D4"/>
    <w:rsid w:val="00F94539"/>
    <w:rsid w:val="00FE0D16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299CB7-6953-4A5F-9540-084EEFBE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1787"/>
    <w:pPr>
      <w:spacing w:before="120" w:after="0" w:line="240" w:lineRule="auto"/>
      <w:jc w:val="both"/>
    </w:pPr>
    <w:rPr>
      <w:rFonts w:ascii="Century Gothic" w:eastAsia="Times New Roman" w:hAnsi="Century Gothic" w:cs="Times New Roman"/>
      <w:szCs w:val="20"/>
      <w:lang w:eastAsia="de-DE"/>
    </w:rPr>
  </w:style>
  <w:style w:type="paragraph" w:styleId="berschrift1">
    <w:name w:val="heading 1"/>
    <w:basedOn w:val="Standard"/>
    <w:next w:val="Standardeinzug"/>
    <w:link w:val="berschrift1Zchn"/>
    <w:qFormat/>
    <w:rsid w:val="004C1787"/>
    <w:pPr>
      <w:keepNext/>
      <w:pageBreakBefore/>
      <w:tabs>
        <w:tab w:val="num" w:pos="709"/>
        <w:tab w:val="num" w:pos="1105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23E4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berschrift2"/>
    <w:next w:val="Standardeinzug"/>
    <w:link w:val="berschrift3Zchn"/>
    <w:uiPriority w:val="9"/>
    <w:qFormat/>
    <w:rsid w:val="00C323E4"/>
    <w:pPr>
      <w:keepLines w:val="0"/>
      <w:numPr>
        <w:ilvl w:val="2"/>
      </w:numPr>
      <w:spacing w:before="240"/>
      <w:ind w:left="680"/>
      <w:outlineLvl w:val="2"/>
    </w:pPr>
    <w:rPr>
      <w:rFonts w:ascii="Century Gothic" w:eastAsiaTheme="minorHAnsi" w:hAnsi="Century Gothic" w:cstheme="minorBidi"/>
      <w:b/>
      <w:color w:val="00B0F0"/>
      <w:kern w:val="28"/>
      <w:sz w:val="24"/>
      <w:szCs w:val="22"/>
    </w:rPr>
  </w:style>
  <w:style w:type="paragraph" w:styleId="berschrift4">
    <w:name w:val="heading 4"/>
    <w:basedOn w:val="berschrift3"/>
    <w:next w:val="Standardeinzug"/>
    <w:link w:val="berschrift4Zchn"/>
    <w:qFormat/>
    <w:rsid w:val="004C1787"/>
    <w:pPr>
      <w:numPr>
        <w:ilvl w:val="0"/>
        <w:numId w:val="0"/>
      </w:numPr>
      <w:tabs>
        <w:tab w:val="left" w:pos="720"/>
        <w:tab w:val="num" w:pos="1289"/>
      </w:tabs>
      <w:ind w:left="720" w:hanging="720"/>
      <w:outlineLvl w:val="3"/>
    </w:pPr>
    <w:rPr>
      <w:rFonts w:ascii="Futura Md BT" w:eastAsia="Times New Roman" w:hAnsi="Futura Md BT" w:cs="Times New Roman"/>
      <w:b w:val="0"/>
      <w:color w:val="00A7DE"/>
      <w:szCs w:val="20"/>
    </w:rPr>
  </w:style>
  <w:style w:type="paragraph" w:styleId="berschrift5">
    <w:name w:val="heading 5"/>
    <w:basedOn w:val="berschrift4"/>
    <w:next w:val="Standard"/>
    <w:link w:val="berschrift5Zchn"/>
    <w:rsid w:val="004C1787"/>
    <w:pPr>
      <w:tabs>
        <w:tab w:val="clear" w:pos="1289"/>
        <w:tab w:val="num" w:pos="1433"/>
      </w:tabs>
      <w:outlineLvl w:val="4"/>
    </w:pPr>
  </w:style>
  <w:style w:type="paragraph" w:styleId="berschrift6">
    <w:name w:val="heading 6"/>
    <w:basedOn w:val="berschrift5"/>
    <w:next w:val="Standard"/>
    <w:link w:val="berschrift6Zchn"/>
    <w:rsid w:val="004C1787"/>
    <w:pPr>
      <w:tabs>
        <w:tab w:val="clear" w:pos="1433"/>
        <w:tab w:val="num" w:pos="1577"/>
      </w:tabs>
      <w:outlineLvl w:val="5"/>
    </w:pPr>
  </w:style>
  <w:style w:type="paragraph" w:styleId="berschrift7">
    <w:name w:val="heading 7"/>
    <w:basedOn w:val="berschrift6"/>
    <w:next w:val="Standard"/>
    <w:link w:val="berschrift7Zchn"/>
    <w:rsid w:val="004C1787"/>
    <w:pPr>
      <w:tabs>
        <w:tab w:val="clear" w:pos="1577"/>
        <w:tab w:val="num" w:pos="1721"/>
      </w:tabs>
      <w:outlineLvl w:val="6"/>
    </w:pPr>
  </w:style>
  <w:style w:type="paragraph" w:styleId="berschrift8">
    <w:name w:val="heading 8"/>
    <w:basedOn w:val="berschrift7"/>
    <w:next w:val="Standard"/>
    <w:link w:val="berschrift8Zchn"/>
    <w:rsid w:val="004C1787"/>
    <w:pPr>
      <w:tabs>
        <w:tab w:val="clear" w:pos="1721"/>
        <w:tab w:val="num" w:pos="1865"/>
      </w:tabs>
      <w:outlineLvl w:val="7"/>
    </w:pPr>
  </w:style>
  <w:style w:type="paragraph" w:styleId="berschrift9">
    <w:name w:val="heading 9"/>
    <w:basedOn w:val="berschrift8"/>
    <w:next w:val="Standard"/>
    <w:link w:val="berschrift9Zchn"/>
    <w:rsid w:val="004C1787"/>
    <w:pPr>
      <w:tabs>
        <w:tab w:val="clear" w:pos="1865"/>
        <w:tab w:val="num" w:pos="2585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C323E4"/>
    <w:rPr>
      <w:rFonts w:ascii="Century Gothic" w:hAnsi="Century Gothic"/>
      <w:b/>
      <w:color w:val="00B0F0"/>
      <w:kern w:val="28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23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einzug">
    <w:name w:val="Normal Indent"/>
    <w:basedOn w:val="Standard"/>
    <w:uiPriority w:val="99"/>
    <w:unhideWhenUsed/>
    <w:rsid w:val="00C323E4"/>
    <w:pPr>
      <w:ind w:left="708"/>
    </w:pPr>
  </w:style>
  <w:style w:type="paragraph" w:styleId="Funotentext">
    <w:name w:val="footnote text"/>
    <w:basedOn w:val="Standard"/>
    <w:link w:val="FunotentextZchn"/>
    <w:semiHidden/>
    <w:qFormat/>
    <w:rsid w:val="004C1787"/>
    <w:pPr>
      <w:tabs>
        <w:tab w:val="left" w:pos="142"/>
      </w:tabs>
      <w:spacing w:before="0"/>
      <w:ind w:left="108" w:hanging="108"/>
      <w:jc w:val="left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semiHidden/>
    <w:rsid w:val="004C1787"/>
    <w:rPr>
      <w:rFonts w:ascii="Century Gothic" w:eastAsia="Times New Roman" w:hAnsi="Century Gothic" w:cs="Times New Roman"/>
      <w:sz w:val="1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4C1787"/>
    <w:rPr>
      <w:rFonts w:ascii="Futura Md BT" w:eastAsia="Times New Roman" w:hAnsi="Futura Md BT" w:cs="Times New Roman"/>
      <w:b/>
      <w:color w:val="00A7DE"/>
      <w:kern w:val="28"/>
      <w:sz w:val="32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4C1787"/>
    <w:rPr>
      <w:rFonts w:ascii="Futura Md BT" w:eastAsia="Times New Roman" w:hAnsi="Futura Md BT" w:cs="Times New Roman"/>
      <w:color w:val="00A7DE"/>
      <w:kern w:val="28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4C1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4C1787"/>
    <w:pPr>
      <w:ind w:left="720"/>
      <w:contextualSpacing/>
    </w:pPr>
  </w:style>
  <w:style w:type="paragraph" w:styleId="Aufzhlungszeichen3">
    <w:name w:val="List Bullet 3"/>
    <w:basedOn w:val="Standard"/>
    <w:semiHidden/>
    <w:qFormat/>
    <w:rsid w:val="004C1787"/>
    <w:pPr>
      <w:numPr>
        <w:numId w:val="3"/>
      </w:numPr>
      <w:tabs>
        <w:tab w:val="clear" w:pos="926"/>
        <w:tab w:val="left" w:pos="1077"/>
      </w:tabs>
      <w:ind w:left="1077" w:hanging="357"/>
    </w:pPr>
  </w:style>
  <w:style w:type="paragraph" w:styleId="Aufzhlungszeichen5">
    <w:name w:val="List Bullet 5"/>
    <w:basedOn w:val="Standard"/>
    <w:semiHidden/>
    <w:rsid w:val="004C1787"/>
    <w:pPr>
      <w:numPr>
        <w:numId w:val="5"/>
      </w:numPr>
      <w:tabs>
        <w:tab w:val="clear" w:pos="1492"/>
        <w:tab w:val="num" w:pos="1786"/>
      </w:tabs>
      <w:ind w:left="1797" w:hanging="35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D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D4B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54D4B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D4B"/>
    <w:rPr>
      <w:rFonts w:ascii="Century Gothic" w:eastAsia="Times New Roman" w:hAnsi="Century Gothic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54D4B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454D4B"/>
    <w:rPr>
      <w:rFonts w:ascii="Century Gothic" w:eastAsia="Times New Roman" w:hAnsi="Century Gothic" w:cs="Times New Roman"/>
      <w:szCs w:val="20"/>
      <w:lang w:eastAsia="de-DE"/>
    </w:rPr>
  </w:style>
  <w:style w:type="paragraph" w:styleId="berarbeitung">
    <w:name w:val="Revision"/>
    <w:hidden/>
    <w:uiPriority w:val="99"/>
    <w:semiHidden/>
    <w:rsid w:val="00622E37"/>
    <w:pPr>
      <w:spacing w:after="0" w:line="240" w:lineRule="auto"/>
    </w:pPr>
    <w:rPr>
      <w:rFonts w:ascii="Century Gothic" w:eastAsia="Times New Roman" w:hAnsi="Century Gothic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2d0b90c3-9c9c-4e05-892e-3ea769c3a583</BSO999929>
</file>

<file path=customXml/itemProps1.xml><?xml version="1.0" encoding="utf-8"?>
<ds:datastoreItem xmlns:ds="http://schemas.openxmlformats.org/officeDocument/2006/customXml" ds:itemID="{56C80A3A-3F99-4C4C-B8F5-43C0AA766F72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Henrich, Cornelia - AUDfIT</dc:creator>
  <cp:keywords/>
  <dc:description/>
  <cp:lastModifiedBy>Koch, Anja - AUDfIT</cp:lastModifiedBy>
  <cp:revision>75</cp:revision>
  <cp:lastPrinted>2025-04-29T06:47:00Z</cp:lastPrinted>
  <dcterms:created xsi:type="dcterms:W3CDTF">2025-04-24T07:18:00Z</dcterms:created>
  <dcterms:modified xsi:type="dcterms:W3CDTF">2025-04-29T08:36:00Z</dcterms:modified>
</cp:coreProperties>
</file>