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6B57" w:rsidRDefault="00C96B57" w:rsidP="00C96B57">
      <w:pPr>
        <w:pStyle w:val="berschrift1"/>
        <w:numPr>
          <w:ilvl w:val="0"/>
          <w:numId w:val="18"/>
        </w:numPr>
        <w:shd w:val="clear" w:color="auto" w:fill="CCECFF"/>
        <w:tabs>
          <w:tab w:val="clear" w:pos="964"/>
          <w:tab w:val="num" w:pos="2807"/>
        </w:tabs>
        <w:ind w:left="851" w:hanging="851"/>
      </w:pPr>
      <w:bookmarkStart w:id="0" w:name="_Toc492905481"/>
      <w:bookmarkStart w:id="1" w:name="_Toc510621508"/>
      <w:r>
        <w:t xml:space="preserve">Aktivierung von Entwicklungskosten – </w:t>
      </w:r>
      <w:r>
        <w:br/>
        <w:t>Grenzen der Bilanzpolitik</w:t>
      </w:r>
      <w:bookmarkEnd w:id="0"/>
    </w:p>
    <w:p w:rsidR="00C96B57" w:rsidRDefault="00C96B57" w:rsidP="00C96B57">
      <w:pPr>
        <w:pStyle w:val="berschrift2"/>
        <w:numPr>
          <w:ilvl w:val="1"/>
          <w:numId w:val="18"/>
        </w:numPr>
        <w:tabs>
          <w:tab w:val="clear" w:pos="1389"/>
          <w:tab w:val="num" w:pos="3232"/>
        </w:tabs>
        <w:ind w:left="851" w:hanging="851"/>
      </w:pPr>
      <w:bookmarkStart w:id="2" w:name="_Toc492905482"/>
      <w:bookmarkStart w:id="3" w:name="_Toc478473560"/>
      <w:bookmarkEnd w:id="1"/>
      <w:r>
        <w:t>Einleitung</w:t>
      </w:r>
      <w:bookmarkEnd w:id="2"/>
      <w:bookmarkEnd w:id="3"/>
    </w:p>
    <w:p w:rsidR="00C96B57" w:rsidRDefault="00C96B57" w:rsidP="00C96B57">
      <w:pPr>
        <w:pStyle w:val="Standardeinzug"/>
      </w:pPr>
      <w:r>
        <w:t xml:space="preserve">Mit dem Bilanzrechtsmodernisierungsgesetz (BilMoG) wurde das </w:t>
      </w:r>
      <w:r>
        <w:rPr>
          <w:rStyle w:val="HervorhebungBLAU"/>
        </w:rPr>
        <w:t>Wahlrecht zur Aktivierung von selbst geschaffenen immateriellen Vermögensgegenständen</w:t>
      </w:r>
      <w:r>
        <w:t xml:space="preserve"> eingeführt. Dieses Wahlrecht sollte die Vergleichbarkeit von nationalen Jahres- und Konzernabschlüssen untereinander sowie in der Gegenüberstellung mit internationalen Abschlüssen erhöhen. </w:t>
      </w:r>
    </w:p>
    <w:p w:rsidR="00C96B57" w:rsidRDefault="00C96B57" w:rsidP="00C96B57">
      <w:pPr>
        <w:pStyle w:val="Standardeinzug"/>
      </w:pPr>
      <w:r>
        <w:t xml:space="preserve">Dieses </w:t>
      </w:r>
      <w:r>
        <w:rPr>
          <w:rStyle w:val="HervorhebenSCHWARZ"/>
        </w:rPr>
        <w:t xml:space="preserve">Ziel </w:t>
      </w:r>
      <w:r>
        <w:t xml:space="preserve">kann durch </w:t>
      </w:r>
    </w:p>
    <w:p w:rsidR="00C96B57" w:rsidRDefault="00C96B57" w:rsidP="00C96B57">
      <w:pPr>
        <w:pStyle w:val="Aufzhlungszeichen"/>
        <w:numPr>
          <w:ilvl w:val="0"/>
          <w:numId w:val="19"/>
        </w:numPr>
        <w:tabs>
          <w:tab w:val="left" w:pos="708"/>
        </w:tabs>
        <w:ind w:left="1276" w:hanging="425"/>
      </w:pPr>
      <w:r>
        <w:t xml:space="preserve">die Ausgestaltung als </w:t>
      </w:r>
      <w:r>
        <w:rPr>
          <w:rStyle w:val="HervorhebungROT"/>
        </w:rPr>
        <w:t>Wahlrecht</w:t>
      </w:r>
      <w:r>
        <w:t xml:space="preserve"> verbunden mit den </w:t>
      </w:r>
      <w:r>
        <w:rPr>
          <w:rStyle w:val="HervorhebenSCHWARZ"/>
        </w:rPr>
        <w:t>Dokumentationsanforderungen</w:t>
      </w:r>
      <w:r>
        <w:t>,</w:t>
      </w:r>
    </w:p>
    <w:p w:rsidR="00C96B57" w:rsidRDefault="00C96B57" w:rsidP="00C96B57">
      <w:pPr>
        <w:pStyle w:val="Aufzhlungszeichen"/>
        <w:numPr>
          <w:ilvl w:val="0"/>
          <w:numId w:val="19"/>
        </w:numPr>
        <w:tabs>
          <w:tab w:val="left" w:pos="708"/>
        </w:tabs>
        <w:ind w:left="1276" w:hanging="425"/>
      </w:pPr>
      <w:r>
        <w:t xml:space="preserve">den bei der Ausübung des Wahlrechtes vorhandenen </w:t>
      </w:r>
      <w:r>
        <w:rPr>
          <w:rStyle w:val="HervorhebungROT"/>
        </w:rPr>
        <w:t>Ermessensspielräumen</w:t>
      </w:r>
    </w:p>
    <w:p w:rsidR="00C96B57" w:rsidRDefault="00C96B57" w:rsidP="00C96B57">
      <w:pPr>
        <w:pStyle w:val="Aufzhlungszeichen"/>
        <w:numPr>
          <w:ilvl w:val="0"/>
          <w:numId w:val="19"/>
        </w:numPr>
        <w:tabs>
          <w:tab w:val="left" w:pos="708"/>
        </w:tabs>
        <w:ind w:left="1276" w:hanging="425"/>
      </w:pPr>
      <w:r>
        <w:t xml:space="preserve"> sowie dem gegenüber internationalen Rechnungslegungsvorschriften </w:t>
      </w:r>
      <w:r>
        <w:rPr>
          <w:rStyle w:val="HervorhebungROT"/>
        </w:rPr>
        <w:t>eingeschränkten</w:t>
      </w:r>
      <w:r>
        <w:rPr>
          <w:rStyle w:val="HervorhebenSCHWARZ"/>
        </w:rPr>
        <w:t xml:space="preserve"> </w:t>
      </w:r>
      <w:r>
        <w:rPr>
          <w:rStyle w:val="HervorhebungROT"/>
        </w:rPr>
        <w:t>Anwendungsbereich</w:t>
      </w:r>
    </w:p>
    <w:p w:rsidR="00C96B57" w:rsidRDefault="00C96B57" w:rsidP="00C96B57">
      <w:pPr>
        <w:pStyle w:val="Standardeinzug"/>
      </w:pPr>
      <w:r>
        <w:rPr>
          <w:rStyle w:val="HervorhebenSCHWARZ"/>
        </w:rPr>
        <w:t>nur bedingt erreicht</w:t>
      </w:r>
      <w:r>
        <w:t xml:space="preserve"> werden. </w:t>
      </w:r>
    </w:p>
    <w:p w:rsidR="00C96B57" w:rsidRDefault="00C96B57" w:rsidP="00C96B57">
      <w:pPr>
        <w:pStyle w:val="Standardeinzug"/>
      </w:pPr>
      <w:r>
        <w:t xml:space="preserve">Dennoch ermöglicht die Regelung des </w:t>
      </w:r>
      <w:r>
        <w:rPr>
          <w:rStyle w:val="HervorhebungBLAU"/>
        </w:rPr>
        <w:t>§ 248 Abs. 2 HGB</w:t>
      </w:r>
      <w:r>
        <w:t xml:space="preserve"> den Unternehmen, </w:t>
      </w:r>
      <w:r>
        <w:rPr>
          <w:rStyle w:val="HervorhebungBLAU"/>
        </w:rPr>
        <w:t>Bilanzpolitik</w:t>
      </w:r>
      <w:r>
        <w:t xml:space="preserve"> zu betreiben und die wirtschaftliche Leistungsfähigkeit genauer darzustellen. Es macht somit als Berater durchaus Sinn, sich mit dem Thema fachlich zu befassen, um hier ggf. proaktiv beraten zu können.</w:t>
      </w:r>
    </w:p>
    <w:p w:rsidR="00C96B57" w:rsidRDefault="00C96B57" w:rsidP="00C96B57">
      <w:pPr>
        <w:pStyle w:val="Standardeinzug"/>
      </w:pPr>
      <w:r>
        <w:t xml:space="preserve">Da der </w:t>
      </w:r>
      <w:r>
        <w:rPr>
          <w:rStyle w:val="HervorhebenSCHWARZ"/>
        </w:rPr>
        <w:t>Innovationsdruck</w:t>
      </w:r>
      <w:r>
        <w:t xml:space="preserve"> in vielen Branchen </w:t>
      </w:r>
      <w:r>
        <w:rPr>
          <w:rStyle w:val="HervorhebenSCHWARZ"/>
        </w:rPr>
        <w:t>zunimmt</w:t>
      </w:r>
      <w:r>
        <w:t xml:space="preserve">, wird auch die </w:t>
      </w:r>
      <w:r>
        <w:rPr>
          <w:rStyle w:val="HervorhebenSCHWARZ"/>
        </w:rPr>
        <w:t>Bedeutung dieses Wahlrechts in Industrie, Entwicklung und Praxis wachsen</w:t>
      </w:r>
      <w:r>
        <w:t>.</w:t>
      </w:r>
    </w:p>
    <w:p w:rsidR="00C96B57" w:rsidRDefault="00C96B57" w:rsidP="00C96B57">
      <w:pPr>
        <w:pStyle w:val="Standardeinzug"/>
      </w:pPr>
      <w:r>
        <w:t xml:space="preserve">Die Inanspruchnahme des Wahlrechtes kommt zum Beispiel in Betracht für </w:t>
      </w:r>
    </w:p>
    <w:p w:rsidR="00C96B57" w:rsidRDefault="00C96B57" w:rsidP="00C96B57">
      <w:pPr>
        <w:pStyle w:val="Aufzhlungszeichen"/>
        <w:numPr>
          <w:ilvl w:val="0"/>
          <w:numId w:val="19"/>
        </w:numPr>
        <w:tabs>
          <w:tab w:val="left" w:pos="708"/>
        </w:tabs>
        <w:ind w:left="1276" w:hanging="425"/>
      </w:pPr>
      <w:r>
        <w:t xml:space="preserve">Rezepturen von chemischen Weiterentwicklungen, </w:t>
      </w:r>
    </w:p>
    <w:p w:rsidR="00C96B57" w:rsidRDefault="00C96B57" w:rsidP="00C96B57">
      <w:pPr>
        <w:pStyle w:val="Aufzhlungszeichen"/>
        <w:numPr>
          <w:ilvl w:val="0"/>
          <w:numId w:val="19"/>
        </w:numPr>
        <w:tabs>
          <w:tab w:val="left" w:pos="708"/>
        </w:tabs>
        <w:ind w:left="1276" w:hanging="425"/>
      </w:pPr>
      <w:r>
        <w:t xml:space="preserve">technische Erfindungen, </w:t>
      </w:r>
    </w:p>
    <w:p w:rsidR="00C96B57" w:rsidRDefault="00C96B57" w:rsidP="00C96B57">
      <w:pPr>
        <w:pStyle w:val="Aufzhlungszeichen"/>
        <w:numPr>
          <w:ilvl w:val="0"/>
          <w:numId w:val="19"/>
        </w:numPr>
        <w:tabs>
          <w:tab w:val="left" w:pos="708"/>
        </w:tabs>
        <w:ind w:left="1276" w:hanging="425"/>
      </w:pPr>
      <w:r>
        <w:t xml:space="preserve">selbst programmierte Software, </w:t>
      </w:r>
    </w:p>
    <w:p w:rsidR="00C96B57" w:rsidRDefault="00C96B57" w:rsidP="00C96B57">
      <w:pPr>
        <w:pStyle w:val="Aufzhlungszeichen"/>
        <w:numPr>
          <w:ilvl w:val="0"/>
          <w:numId w:val="19"/>
        </w:numPr>
        <w:tabs>
          <w:tab w:val="left" w:pos="708"/>
        </w:tabs>
        <w:ind w:left="1276" w:hanging="425"/>
      </w:pPr>
      <w:r>
        <w:t>Saatgutentwicklungen.</w:t>
      </w:r>
      <w:bookmarkStart w:id="4" w:name="_Toc408582359"/>
    </w:p>
    <w:p w:rsidR="00C96B57" w:rsidRDefault="00C96B57" w:rsidP="00C96B57">
      <w:pPr>
        <w:pStyle w:val="berschrift2"/>
        <w:numPr>
          <w:ilvl w:val="1"/>
          <w:numId w:val="18"/>
        </w:numPr>
        <w:tabs>
          <w:tab w:val="clear" w:pos="1389"/>
          <w:tab w:val="num" w:pos="3232"/>
        </w:tabs>
        <w:ind w:left="851" w:hanging="851"/>
      </w:pPr>
      <w:bookmarkStart w:id="5" w:name="_Toc492905483"/>
      <w:bookmarkStart w:id="6" w:name="_Toc478473561"/>
      <w:bookmarkEnd w:id="4"/>
      <w:r>
        <w:t>Bilanzierungswahlrecht in Praxis noch nicht angekommen?</w:t>
      </w:r>
      <w:bookmarkEnd w:id="5"/>
      <w:bookmarkEnd w:id="6"/>
    </w:p>
    <w:p w:rsidR="00C96B57" w:rsidRDefault="00C96B57" w:rsidP="00C96B57">
      <w:pPr>
        <w:pStyle w:val="Standardeinzug"/>
      </w:pPr>
      <w:r>
        <w:t xml:space="preserve">Viele Unternehmen, insbesondere der Mittelstand, befassen sich </w:t>
      </w:r>
      <w:r>
        <w:rPr>
          <w:rStyle w:val="HervorhebenSCHWARZ"/>
        </w:rPr>
        <w:t>erstmals in dem Jahr der Krise</w:t>
      </w:r>
      <w:r>
        <w:t xml:space="preserve"> mit dem Thema. Dadurch werden die Effekte jedoch gegebenenfalls nicht vollständig </w:t>
      </w:r>
      <w:r>
        <w:lastRenderedPageBreak/>
        <w:t xml:space="preserve">genutzt werden können, weil eine </w:t>
      </w:r>
      <w:r>
        <w:rPr>
          <w:rStyle w:val="HervorhebungROT"/>
        </w:rPr>
        <w:t>Aktivierung der in Vorjahren</w:t>
      </w:r>
      <w:r>
        <w:rPr>
          <w:rStyle w:val="HervorhebenSCHWARZ"/>
        </w:rPr>
        <w:t xml:space="preserve"> angefallenen Kosten unter keinen Umständen zulässig</w:t>
      </w:r>
      <w:r>
        <w:t xml:space="preserve"> ist.</w:t>
      </w:r>
    </w:p>
    <w:p w:rsidR="00C96B57" w:rsidRDefault="00C96B57" w:rsidP="00C96B57">
      <w:pPr>
        <w:pStyle w:val="Standardeinzug"/>
      </w:pPr>
      <w:r>
        <w:t>Das Wahlrecht wird zudem im Wesentlichen nur in Konzernabschlüssen ausgeübt. In Jahresabschlüssen wird das bilanzpolitische Potenzial des Wahlrechtes bisher in der Praxis selten genutzt.</w:t>
      </w:r>
      <w:r>
        <w:rPr>
          <w:rStyle w:val="Funotenzeichen"/>
        </w:rPr>
        <w:footnoteReference w:id="1"/>
      </w:r>
    </w:p>
    <w:p w:rsidR="00C96B57" w:rsidRDefault="00C96B57" w:rsidP="00C96B57">
      <w:pPr>
        <w:pStyle w:val="Standardeinzug"/>
      </w:pPr>
      <w:r>
        <w:t xml:space="preserve">Festzustellen ist, dass es bei den Bilanzierenden </w:t>
      </w:r>
      <w:r>
        <w:rPr>
          <w:rStyle w:val="HervorhebenSCHWARZ"/>
        </w:rPr>
        <w:t>nicht hinreichend bekannt</w:t>
      </w:r>
      <w:r>
        <w:t xml:space="preserve"> gemacht worden ist. </w:t>
      </w:r>
    </w:p>
    <w:p w:rsidR="00C96B57" w:rsidRDefault="00C96B57" w:rsidP="00C96B57">
      <w:pPr>
        <w:pStyle w:val="Standardeinzug"/>
      </w:pPr>
      <w:r>
        <w:t xml:space="preserve">Je nach Umfang der Eigenentwicklungen kann die Aktivierung von selbst geschaffenen Immateriellen Vermögensgegenständen </w:t>
      </w:r>
      <w:r>
        <w:rPr>
          <w:rStyle w:val="HervorhebungBLAU"/>
        </w:rPr>
        <w:t>erhebliche Auswirkungen auf das Jahresergebnis</w:t>
      </w:r>
      <w:r>
        <w:t xml:space="preserve"> haben. Eine Aktivierung von Entwicklungskosten wird das Ergebnis im Jahr der Aktivierung von den entsprechenden Aufwendungen entlasten und diese folglich ab dem Jahr des Abschreibungsbeginns auf die Abschreibungsdauer verteilen.</w:t>
      </w:r>
    </w:p>
    <w:p w:rsidR="00C96B57" w:rsidRDefault="00C96B57" w:rsidP="00C96B57">
      <w:pPr>
        <w:pStyle w:val="Standardeinzug"/>
      </w:pPr>
      <w:r>
        <w:t>Im Folgenden wird dargestellt, unter welchen Bedingungen die Aktivierung von selbst geschaffenen Immateriellen Vermögensgegenständen erfolgen kann und welche Ermessenspielräume dabei bestehen.</w:t>
      </w:r>
    </w:p>
    <w:p w:rsidR="00C96B57" w:rsidRDefault="00C96B57" w:rsidP="00C96B57">
      <w:pPr>
        <w:pStyle w:val="berschrift2"/>
        <w:numPr>
          <w:ilvl w:val="1"/>
          <w:numId w:val="18"/>
        </w:numPr>
        <w:tabs>
          <w:tab w:val="clear" w:pos="1389"/>
          <w:tab w:val="num" w:pos="3232"/>
        </w:tabs>
        <w:ind w:left="851" w:hanging="851"/>
      </w:pPr>
      <w:bookmarkStart w:id="7" w:name="_Toc492905484"/>
      <w:bookmarkStart w:id="8" w:name="_Toc478473562"/>
      <w:r>
        <w:t>Voraussetzungen für die Aktivierung</w:t>
      </w:r>
      <w:bookmarkEnd w:id="7"/>
      <w:bookmarkEnd w:id="8"/>
      <w:r>
        <w:t xml:space="preserve"> </w:t>
      </w:r>
    </w:p>
    <w:p w:rsidR="00C96B57" w:rsidRDefault="00C96B57" w:rsidP="00C96B57">
      <w:pPr>
        <w:pStyle w:val="Standardeinzug"/>
      </w:pPr>
      <w:r>
        <w:t xml:space="preserve">§ 248 Abs. 2 HGB sieht das folgende Wahlrecht vor: </w:t>
      </w:r>
    </w:p>
    <w:p w:rsidR="00C96B57" w:rsidRDefault="00C96B57" w:rsidP="00C96B57">
      <w:pPr>
        <w:pStyle w:val="Zitat"/>
      </w:pPr>
      <w:r>
        <w:t xml:space="preserve">„Selbst geschaffene immaterielle Vermögensgegenstände des Anlagevermögens </w:t>
      </w:r>
      <w:r>
        <w:rPr>
          <w:rStyle w:val="HervorhebenSCHWARZ"/>
        </w:rPr>
        <w:t>können als Aktivposten</w:t>
      </w:r>
      <w:r>
        <w:t xml:space="preserve"> in die Bilanz aufgenommen werden. </w:t>
      </w:r>
      <w:r>
        <w:rPr>
          <w:rStyle w:val="HervorhebenSCHWARZ"/>
        </w:rPr>
        <w:t>Nicht aufgenommen</w:t>
      </w:r>
      <w:r>
        <w:t xml:space="preserve"> </w:t>
      </w:r>
      <w:r>
        <w:rPr>
          <w:rStyle w:val="HervorhebenSCHWARZ"/>
        </w:rPr>
        <w:t>werden dürfen</w:t>
      </w:r>
      <w:r>
        <w:t xml:space="preserve"> selbst geschaffene </w:t>
      </w:r>
      <w:r>
        <w:rPr>
          <w:rStyle w:val="HervorhebenSCHWARZ"/>
        </w:rPr>
        <w:t>Marken, Drucktitel, Verlagsrechte, Kundenlisten oder vergleichbare immaterielle Vermögensgegenstände des Anlagevermögens.</w:t>
      </w:r>
      <w:r>
        <w:t>“</w:t>
      </w:r>
    </w:p>
    <w:p w:rsidR="00C96B57" w:rsidRDefault="00C96B57" w:rsidP="00C96B57">
      <w:pPr>
        <w:pStyle w:val="Standardeinzug"/>
      </w:pPr>
      <w:r>
        <w:t>Das Wahlrecht wird also von vorneherein für bestimmte Vermögensgegenstände ausgeklammert.</w:t>
      </w:r>
    </w:p>
    <w:p w:rsidR="00C96B57" w:rsidRDefault="00C96B57" w:rsidP="00C96B57">
      <w:pPr>
        <w:pStyle w:val="Standardeinzug"/>
      </w:pPr>
      <w:r>
        <w:t>Hier sind wir Steuerberater und Wirtschaftsprüfer gefragt!</w:t>
      </w:r>
    </w:p>
    <w:p w:rsidR="00C96B57" w:rsidRDefault="00262D49" w:rsidP="009F30B8">
      <w:pPr>
        <w:pStyle w:val="Abbildung"/>
      </w:pPr>
      <w:r w:rsidRPr="009F30B8">
        <w:object w:dxaOrig="7075" w:dyaOrig="53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4pt;height:265.5pt" o:ole="" o:bordertopcolor="this" o:borderleftcolor="this" o:borderbottomcolor="this" o:borderrightcolor="this">
            <v:imagedata r:id="rId9" o:title=""/>
            <w10:bordertop type="single" width="8"/>
            <w10:borderleft type="single" width="8"/>
            <w10:borderbottom type="single" width="8"/>
            <w10:borderright type="single" width="8"/>
          </v:shape>
          <o:OLEObject Type="Embed" ProgID="PowerPoint.Slide.12" ShapeID="_x0000_i1025" DrawAspect="Content" ObjectID="_1821447443" r:id="rId10"/>
        </w:object>
      </w:r>
    </w:p>
    <w:p w:rsidR="00C96B57" w:rsidRDefault="00C96B57" w:rsidP="00C96B57">
      <w:pPr>
        <w:pStyle w:val="Beschriftung"/>
        <w:tabs>
          <w:tab w:val="left" w:pos="2127"/>
        </w:tabs>
        <w:ind w:left="2144" w:hanging="1293"/>
      </w:pPr>
      <w:r>
        <w:t>Abbildung 1: Voraussetzungen für die Ausübung des Wahlrechtes zur Aktivierung selbst erstellter immaterieller Vermögensgegenstände des Anlagevermögens</w:t>
      </w:r>
    </w:p>
    <w:p w:rsidR="00C96B57" w:rsidRDefault="00C96B57" w:rsidP="00C96B57">
      <w:pPr>
        <w:pStyle w:val="berschrift3"/>
        <w:numPr>
          <w:ilvl w:val="2"/>
          <w:numId w:val="18"/>
        </w:numPr>
        <w:tabs>
          <w:tab w:val="clear" w:pos="1389"/>
          <w:tab w:val="num" w:pos="3232"/>
        </w:tabs>
        <w:ind w:left="851" w:hanging="851"/>
      </w:pPr>
      <w:bookmarkStart w:id="9" w:name="_Toc492905485"/>
      <w:r>
        <w:t>Abgrenzung: Selbstgeschaffene immaterielle Vermögensgegenstände des Anlagevermögens</w:t>
      </w:r>
      <w:bookmarkEnd w:id="9"/>
    </w:p>
    <w:p w:rsidR="00C96B57" w:rsidRDefault="00C96B57" w:rsidP="00C96B57">
      <w:pPr>
        <w:pStyle w:val="Standardeinzug"/>
      </w:pPr>
      <w:r>
        <w:t xml:space="preserve">Unter </w:t>
      </w:r>
      <w:r>
        <w:rPr>
          <w:rStyle w:val="HervorhebenSCHWARZ"/>
        </w:rPr>
        <w:t>immateriellen Vermögensgegenständen</w:t>
      </w:r>
      <w:r>
        <w:t xml:space="preserve"> versteht man Vermögensgegenstände, die</w:t>
      </w:r>
    </w:p>
    <w:p w:rsidR="00C96B57" w:rsidRDefault="00C96B57" w:rsidP="00C96B57">
      <w:pPr>
        <w:pStyle w:val="Aufzhlungszeichen"/>
        <w:numPr>
          <w:ilvl w:val="0"/>
          <w:numId w:val="19"/>
        </w:numPr>
        <w:tabs>
          <w:tab w:val="left" w:pos="708"/>
        </w:tabs>
        <w:ind w:left="1276" w:hanging="425"/>
      </w:pPr>
      <w:r>
        <w:rPr>
          <w:rStyle w:val="HervorhebenSCHWARZ"/>
        </w:rPr>
        <w:t>keine physische Substanz</w:t>
      </w:r>
      <w:r>
        <w:t xml:space="preserve"> besitzen und auch</w:t>
      </w:r>
    </w:p>
    <w:p w:rsidR="00C96B57" w:rsidRDefault="00C96B57" w:rsidP="00C96B57">
      <w:pPr>
        <w:pStyle w:val="Aufzhlungszeichen"/>
        <w:numPr>
          <w:ilvl w:val="0"/>
          <w:numId w:val="19"/>
        </w:numPr>
        <w:tabs>
          <w:tab w:val="left" w:pos="708"/>
        </w:tabs>
        <w:ind w:left="1276" w:hanging="425"/>
      </w:pPr>
      <w:r>
        <w:rPr>
          <w:rStyle w:val="HervorhebenSCHWARZ"/>
        </w:rPr>
        <w:t>keinen monetären Anspruch</w:t>
      </w:r>
    </w:p>
    <w:p w:rsidR="00C96B57" w:rsidRDefault="00C96B57" w:rsidP="00C96B57">
      <w:pPr>
        <w:pStyle w:val="Standardeinzug"/>
      </w:pPr>
      <w:r>
        <w:t>darstellen.</w:t>
      </w:r>
      <w:r>
        <w:rPr>
          <w:rStyle w:val="Funotenzeichen"/>
        </w:rPr>
        <w:footnoteReference w:id="2"/>
      </w:r>
    </w:p>
    <w:p w:rsidR="00C96B57" w:rsidRDefault="00C96B57" w:rsidP="00C96B57">
      <w:pPr>
        <w:pStyle w:val="Standardeinzug"/>
      </w:pPr>
      <w:r>
        <w:t xml:space="preserve">Nach </w:t>
      </w:r>
      <w:r>
        <w:rPr>
          <w:rStyle w:val="HervorhebenSCHWARZ"/>
        </w:rPr>
        <w:t>§ 266 Abs. 2 Buchst. A.I.1. HGB</w:t>
      </w:r>
      <w:r>
        <w:t xml:space="preserve"> sind als </w:t>
      </w:r>
      <w:r>
        <w:rPr>
          <w:rStyle w:val="HervorhebenSCHWARZ"/>
        </w:rPr>
        <w:t>selbst geschaffene immaterielle Vermögensgegenstände</w:t>
      </w:r>
      <w:r>
        <w:t xml:space="preserve"> im Anlagevermögen auszuweisen: </w:t>
      </w:r>
    </w:p>
    <w:p w:rsidR="00C96B57" w:rsidRDefault="00C96B57" w:rsidP="00C96B57">
      <w:pPr>
        <w:pStyle w:val="Aufzhlungszeichen"/>
        <w:numPr>
          <w:ilvl w:val="0"/>
          <w:numId w:val="19"/>
        </w:numPr>
        <w:tabs>
          <w:tab w:val="left" w:pos="708"/>
        </w:tabs>
        <w:ind w:left="1276" w:hanging="425"/>
      </w:pPr>
      <w:r>
        <w:t xml:space="preserve">selbst geschaffene </w:t>
      </w:r>
      <w:r>
        <w:rPr>
          <w:rStyle w:val="HervorhebenSCHWARZ"/>
        </w:rPr>
        <w:t>gewerbliche Schutzrechte</w:t>
      </w:r>
      <w:r>
        <w:t xml:space="preserve"> und</w:t>
      </w:r>
    </w:p>
    <w:p w:rsidR="00C96B57" w:rsidRDefault="00C96B57" w:rsidP="00C96B57">
      <w:pPr>
        <w:pStyle w:val="Aufzhlungszeichen"/>
        <w:numPr>
          <w:ilvl w:val="0"/>
          <w:numId w:val="19"/>
        </w:numPr>
        <w:tabs>
          <w:tab w:val="left" w:pos="708"/>
        </w:tabs>
        <w:ind w:left="1276" w:hanging="425"/>
      </w:pPr>
      <w:r>
        <w:t xml:space="preserve">selbst geschaffene </w:t>
      </w:r>
      <w:r>
        <w:rPr>
          <w:rStyle w:val="HervorhebenSCHWARZ"/>
        </w:rPr>
        <w:t>ähnliche Rechte</w:t>
      </w:r>
    </w:p>
    <w:p w:rsidR="00C96B57" w:rsidRDefault="00C96B57" w:rsidP="00C96B57">
      <w:pPr>
        <w:pStyle w:val="Standardeinzug"/>
      </w:pPr>
      <w:r>
        <w:t xml:space="preserve">Mit dem zweiten Punkt wird die </w:t>
      </w:r>
      <w:r>
        <w:rPr>
          <w:rStyle w:val="HervorhebenSCHWARZ"/>
        </w:rPr>
        <w:t>Definition</w:t>
      </w:r>
      <w:r>
        <w:t xml:space="preserve"> des immateriellen Vermögensgegenstandes sehr </w:t>
      </w:r>
      <w:r>
        <w:rPr>
          <w:rStyle w:val="HervorhebenSCHWARZ"/>
        </w:rPr>
        <w:t>weit gefasst</w:t>
      </w:r>
      <w:r>
        <w:t xml:space="preserve">. </w:t>
      </w:r>
    </w:p>
    <w:p w:rsidR="00C96B57" w:rsidRDefault="00C96B57" w:rsidP="00C96B57">
      <w:pPr>
        <w:pStyle w:val="Standardeinzug"/>
      </w:pPr>
      <w:r>
        <w:t xml:space="preserve">Als </w:t>
      </w:r>
      <w:r>
        <w:rPr>
          <w:rStyle w:val="HervorhebungROT"/>
        </w:rPr>
        <w:t>selbst geschaffen</w:t>
      </w:r>
      <w:r>
        <w:t xml:space="preserve"> gilt ein Vermögensgegenstand, wenn er </w:t>
      </w:r>
      <w:r>
        <w:rPr>
          <w:rStyle w:val="HervorhebenSCHWARZ"/>
        </w:rPr>
        <w:t>nicht entgeltlich erworben</w:t>
      </w:r>
      <w:r>
        <w:t xml:space="preserve"> wurde. Dies wird teilweise sehr weit </w:t>
      </w:r>
      <w:r>
        <w:lastRenderedPageBreak/>
        <w:t xml:space="preserve">ausgelegt. Demnach besteht das Wahlrecht auch für </w:t>
      </w:r>
      <w:r>
        <w:rPr>
          <w:rStyle w:val="HervorhebenSCHWARZ"/>
        </w:rPr>
        <w:t>unentgeltlich erworbene immaterielle Vermögensgegenstände</w:t>
      </w:r>
      <w:r>
        <w:t>.</w:t>
      </w:r>
      <w:r>
        <w:rPr>
          <w:rStyle w:val="Funotenzeichen"/>
        </w:rPr>
        <w:footnoteReference w:id="3"/>
      </w:r>
    </w:p>
    <w:p w:rsidR="00C96B57" w:rsidRDefault="00C96B57" w:rsidP="00C96B57">
      <w:pPr>
        <w:pStyle w:val="Standardeinzug"/>
      </w:pPr>
      <w:r>
        <w:t xml:space="preserve">Weiterhin besteht darin Einigkeit, dass für die unter das Aktivierungswahlrecht fallenden Vermögensgegenstände die </w:t>
      </w:r>
      <w:r>
        <w:rPr>
          <w:rStyle w:val="HervorhebenSCHWARZ"/>
        </w:rPr>
        <w:t>allgemeinen Merkmale eines Vermögensgegenstandes</w:t>
      </w:r>
      <w:r>
        <w:t xml:space="preserve"> erfüllt sein müssen. </w:t>
      </w:r>
    </w:p>
    <w:p w:rsidR="00C96B57" w:rsidRDefault="00C96B57" w:rsidP="00C96B57">
      <w:pPr>
        <w:pStyle w:val="Standardeinzug"/>
      </w:pPr>
      <w:r>
        <w:t xml:space="preserve">Diese sind </w:t>
      </w:r>
    </w:p>
    <w:p w:rsidR="00C96B57" w:rsidRDefault="00C96B57" w:rsidP="00C96B57">
      <w:pPr>
        <w:pStyle w:val="Aufzhlungszeichen"/>
        <w:numPr>
          <w:ilvl w:val="0"/>
          <w:numId w:val="19"/>
        </w:numPr>
        <w:tabs>
          <w:tab w:val="left" w:pos="708"/>
        </w:tabs>
        <w:ind w:left="1208" w:hanging="357"/>
      </w:pPr>
      <w:r>
        <w:t xml:space="preserve">die selbständige </w:t>
      </w:r>
      <w:r>
        <w:rPr>
          <w:rStyle w:val="HervorhebungBLAU"/>
        </w:rPr>
        <w:t xml:space="preserve">Verwertbarkeit </w:t>
      </w:r>
    </w:p>
    <w:p w:rsidR="00C96B57" w:rsidRDefault="00C96B57" w:rsidP="00C96B57">
      <w:pPr>
        <w:pStyle w:val="Aufzhlungszeichen"/>
        <w:numPr>
          <w:ilvl w:val="0"/>
          <w:numId w:val="19"/>
        </w:numPr>
        <w:tabs>
          <w:tab w:val="left" w:pos="708"/>
        </w:tabs>
        <w:ind w:left="1208" w:hanging="357"/>
        <w:rPr>
          <w:rStyle w:val="HervorhebungBLAU"/>
        </w:rPr>
      </w:pPr>
      <w:r>
        <w:t xml:space="preserve">sowie die selbständige </w:t>
      </w:r>
      <w:r>
        <w:rPr>
          <w:rStyle w:val="HervorhebungBLAU"/>
        </w:rPr>
        <w:t>Bewertbarkeit</w:t>
      </w:r>
    </w:p>
    <w:p w:rsidR="00C96B57" w:rsidRDefault="00C96B57" w:rsidP="00C96B57">
      <w:pPr>
        <w:pStyle w:val="Standardeinzug"/>
      </w:pPr>
      <w:r>
        <w:t>des Vermögensgegenstandes.</w:t>
      </w:r>
      <w:r>
        <w:rPr>
          <w:rStyle w:val="Funotenzeichen"/>
        </w:rPr>
        <w:footnoteReference w:id="4"/>
      </w:r>
    </w:p>
    <w:p w:rsidR="00C96B57" w:rsidRDefault="00C96B57" w:rsidP="00C96B57">
      <w:pPr>
        <w:pStyle w:val="Standardeinzug"/>
      </w:pPr>
      <w:r>
        <w:rPr>
          <w:rStyle w:val="HervorhebungBLAU"/>
        </w:rPr>
        <w:t>Selbständige abstrakte Verwertbarkeit</w:t>
      </w:r>
      <w:r>
        <w:t xml:space="preserve"> ist gegeben, wenn der Vermögensgegenstand </w:t>
      </w:r>
      <w:r>
        <w:rPr>
          <w:rStyle w:val="HervorhebenSCHWARZ"/>
        </w:rPr>
        <w:t>außerhalb des Unternehmens auch von Dritten monetär verwertet</w:t>
      </w:r>
      <w:r>
        <w:t xml:space="preserve"> werden könnte.</w:t>
      </w:r>
    </w:p>
    <w:p w:rsidR="00C96B57" w:rsidRDefault="00C96B57" w:rsidP="00C96B57">
      <w:pPr>
        <w:pStyle w:val="Standardeinzug"/>
      </w:pPr>
      <w:r>
        <w:t xml:space="preserve">Neben der möglichen </w:t>
      </w:r>
      <w:r>
        <w:rPr>
          <w:rStyle w:val="HervorhebenSCHWARZ"/>
        </w:rPr>
        <w:t>Einzelveräußerbarkeit</w:t>
      </w:r>
      <w:r>
        <w:t xml:space="preserve"> ist dies gegeben, wenn der Gegenstand außerhalb des Unternehmens </w:t>
      </w:r>
      <w:r>
        <w:rPr>
          <w:rStyle w:val="HervorhebenSCHWARZ"/>
        </w:rPr>
        <w:t>verarbeitet, verbraucht, oder zur Nutzung überlassen</w:t>
      </w:r>
      <w:r>
        <w:t xml:space="preserve"> werden kann. </w:t>
      </w:r>
    </w:p>
    <w:p w:rsidR="00C96B57" w:rsidRDefault="00C96B57" w:rsidP="00C96B57">
      <w:pPr>
        <w:pStyle w:val="Standardeinzug"/>
      </w:pPr>
      <w:r>
        <w:t>DRS 24 fasst den Begriff der abstrakten Verwertbarkeit noch weiter.</w:t>
      </w:r>
      <w:r>
        <w:rPr>
          <w:rStyle w:val="Funotenzeichen"/>
        </w:rPr>
        <w:footnoteReference w:id="5"/>
      </w:r>
      <w:r>
        <w:t xml:space="preserve"> Demnach ist das Kriterium auch erfüllt, wenn</w:t>
      </w:r>
    </w:p>
    <w:p w:rsidR="00C96B57" w:rsidRDefault="00C96B57" w:rsidP="00C96B57">
      <w:pPr>
        <w:pStyle w:val="Aufzhlungszeichen2"/>
        <w:numPr>
          <w:ilvl w:val="0"/>
          <w:numId w:val="21"/>
        </w:numPr>
        <w:tabs>
          <w:tab w:val="left" w:pos="708"/>
        </w:tabs>
        <w:ind w:left="1276" w:hanging="425"/>
      </w:pPr>
      <w:r>
        <w:t xml:space="preserve">die Verwertbarkeit nur für </w:t>
      </w:r>
      <w:r>
        <w:rPr>
          <w:rStyle w:val="HervorhebenSCHWARZ"/>
        </w:rPr>
        <w:t>ein nicht vollkonsolidiertes Tochterunternehmen, Gemeinschaftsunternehmen oder assoziiertes Unternehmen</w:t>
      </w:r>
      <w:r>
        <w:t xml:space="preserve"> besteht</w:t>
      </w:r>
    </w:p>
    <w:p w:rsidR="00C96B57" w:rsidRDefault="00C96B57" w:rsidP="00C96B57">
      <w:pPr>
        <w:pStyle w:val="Aufzhlungszeichen2"/>
        <w:numPr>
          <w:ilvl w:val="0"/>
          <w:numId w:val="21"/>
        </w:numPr>
        <w:tabs>
          <w:tab w:val="left" w:pos="708"/>
        </w:tabs>
        <w:ind w:left="1276" w:hanging="425"/>
      </w:pPr>
      <w:r>
        <w:t xml:space="preserve">die </w:t>
      </w:r>
      <w:r>
        <w:rPr>
          <w:rStyle w:val="HervorhebenSCHWARZ"/>
        </w:rPr>
        <w:t>Verwertung</w:t>
      </w:r>
      <w:r>
        <w:t xml:space="preserve"> des Gutes gesetzlich, vertraglich oder faktisch </w:t>
      </w:r>
      <w:r>
        <w:rPr>
          <w:rStyle w:val="HervorhebenSCHWARZ"/>
        </w:rPr>
        <w:t>beschränkt</w:t>
      </w:r>
      <w:r>
        <w:t xml:space="preserve"> ist (Beispiel: Lizenz, deren Veräußerung gesetzlich ausgeschlossen ist) </w:t>
      </w:r>
    </w:p>
    <w:p w:rsidR="00C96B57" w:rsidRDefault="00C96B57" w:rsidP="00C96B57">
      <w:pPr>
        <w:pStyle w:val="Aufzhlungszeichen2"/>
        <w:numPr>
          <w:ilvl w:val="0"/>
          <w:numId w:val="21"/>
        </w:numPr>
        <w:tabs>
          <w:tab w:val="left" w:pos="708"/>
        </w:tabs>
        <w:ind w:left="1276" w:hanging="425"/>
      </w:pPr>
      <w:r>
        <w:t xml:space="preserve">eine </w:t>
      </w:r>
      <w:r>
        <w:rPr>
          <w:rStyle w:val="HervorhebenSCHWARZ"/>
        </w:rPr>
        <w:t>wirtschaftlich sinnvolle Verwertung</w:t>
      </w:r>
      <w:r>
        <w:t xml:space="preserve"> nur zusammen </w:t>
      </w:r>
      <w:r>
        <w:rPr>
          <w:rStyle w:val="HervorhebenSCHWARZ"/>
        </w:rPr>
        <w:t>mit anderen Vermögensgegenständen</w:t>
      </w:r>
      <w:r>
        <w:t xml:space="preserve"> sinnvoll ist (Beispiel: Produktmarke zusammen mit Rezeptur)</w:t>
      </w:r>
    </w:p>
    <w:p w:rsidR="00C96B57" w:rsidRPr="00C96B57" w:rsidRDefault="00C96B57" w:rsidP="00C96B57">
      <w:pPr>
        <w:pStyle w:val="berschrift3"/>
        <w:numPr>
          <w:ilvl w:val="2"/>
          <w:numId w:val="18"/>
        </w:numPr>
        <w:tabs>
          <w:tab w:val="clear" w:pos="1389"/>
          <w:tab w:val="num" w:pos="3232"/>
        </w:tabs>
        <w:ind w:left="851" w:hanging="851"/>
        <w:rPr>
          <w:rStyle w:val="HervorhebungBLAU"/>
          <w:b/>
        </w:rPr>
      </w:pPr>
      <w:bookmarkStart w:id="10" w:name="_Toc492905486"/>
      <w:bookmarkStart w:id="11" w:name="_Toc478473564"/>
      <w:r w:rsidRPr="00C96B57">
        <w:rPr>
          <w:rStyle w:val="HervorhebungBLAU"/>
          <w:b/>
        </w:rPr>
        <w:t>Beispiel „Krankenhausbett“</w:t>
      </w:r>
      <w:bookmarkEnd w:id="10"/>
      <w:bookmarkEnd w:id="11"/>
    </w:p>
    <w:p w:rsidR="00C96B57" w:rsidRDefault="00C96B57" w:rsidP="00C96B57">
      <w:pPr>
        <w:pStyle w:val="Standardeinzug"/>
        <w:rPr>
          <w:rStyle w:val="HervorhebungBLAU"/>
          <w:b w:val="0"/>
        </w:rPr>
      </w:pPr>
      <w:r w:rsidRPr="00C96B57">
        <w:rPr>
          <w:rStyle w:val="HervorhebungBLAU"/>
          <w:b w:val="0"/>
          <w:color w:val="000000" w:themeColor="text1"/>
        </w:rPr>
        <w:t>Ein Unternehmen, das</w:t>
      </w:r>
      <w:r>
        <w:rPr>
          <w:rStyle w:val="HervorhebungBLAU"/>
        </w:rPr>
        <w:t xml:space="preserve"> </w:t>
      </w:r>
      <w:r>
        <w:rPr>
          <w:rStyle w:val="HervorhebenSCHWARZ"/>
        </w:rPr>
        <w:t>Krankenhausbetten</w:t>
      </w:r>
      <w:r>
        <w:rPr>
          <w:rStyle w:val="HervorhebungBLAU"/>
        </w:rPr>
        <w:t xml:space="preserve"> </w:t>
      </w:r>
      <w:r w:rsidRPr="00C96B57">
        <w:rPr>
          <w:rStyle w:val="HervorhebungBLAU"/>
          <w:b w:val="0"/>
          <w:color w:val="000000" w:themeColor="text1"/>
        </w:rPr>
        <w:t xml:space="preserve">herstellt, entwickelt ein </w:t>
      </w:r>
      <w:r w:rsidRPr="00C96B57">
        <w:rPr>
          <w:rStyle w:val="HervorhebenSCHWARZ"/>
          <w:color w:val="000000" w:themeColor="text1"/>
        </w:rPr>
        <w:t>Tablet</w:t>
      </w:r>
      <w:r w:rsidRPr="00C96B57">
        <w:rPr>
          <w:rStyle w:val="HervorhebungBLAU"/>
          <w:b w:val="0"/>
          <w:color w:val="000000" w:themeColor="text1"/>
        </w:rPr>
        <w:t>, das am Bett installiert wird. Dieses Tablet bietet dem Patienten diverse</w:t>
      </w:r>
      <w:r>
        <w:rPr>
          <w:rStyle w:val="HervorhebungBLAU"/>
        </w:rPr>
        <w:t xml:space="preserve"> </w:t>
      </w:r>
      <w:r>
        <w:rPr>
          <w:rStyle w:val="HervorhebenSCHWARZ"/>
        </w:rPr>
        <w:t>Informationsmöglichkeiten</w:t>
      </w:r>
      <w:r>
        <w:rPr>
          <w:rStyle w:val="HervorhebungBLAU"/>
        </w:rPr>
        <w:t xml:space="preserve">. </w:t>
      </w:r>
      <w:r w:rsidRPr="00C96B57">
        <w:rPr>
          <w:rStyle w:val="HervorhebungBLAU"/>
          <w:b w:val="0"/>
          <w:color w:val="000000" w:themeColor="text1"/>
        </w:rPr>
        <w:t>Unter anderem kann darüber der Fernseher bedient sowie die Jalousien und das Bett verstellt werden. Für das Tablet wird ein</w:t>
      </w:r>
      <w:r>
        <w:rPr>
          <w:rStyle w:val="HervorhebungBLAU"/>
        </w:rPr>
        <w:t xml:space="preserve"> </w:t>
      </w:r>
      <w:r>
        <w:rPr>
          <w:rStyle w:val="HervorhebenSCHWARZ"/>
        </w:rPr>
        <w:t>Softwareprogramm</w:t>
      </w:r>
      <w:r>
        <w:rPr>
          <w:rStyle w:val="HervorhebungBLAU"/>
        </w:rPr>
        <w:t xml:space="preserve"> </w:t>
      </w:r>
      <w:r w:rsidRPr="00C96B57">
        <w:rPr>
          <w:rStyle w:val="HervorhebungBLAU"/>
          <w:b w:val="0"/>
          <w:color w:val="000000" w:themeColor="text1"/>
        </w:rPr>
        <w:t>entwickelt. Dazu wird ein</w:t>
      </w:r>
      <w:r>
        <w:rPr>
          <w:rStyle w:val="HervorhebungBLAU"/>
        </w:rPr>
        <w:t xml:space="preserve"> </w:t>
      </w:r>
      <w:r>
        <w:rPr>
          <w:rStyle w:val="HervorhebenSCHWARZ"/>
        </w:rPr>
        <w:t>externer Entwickler</w:t>
      </w:r>
      <w:r>
        <w:rPr>
          <w:rStyle w:val="HervorhebungBLAU"/>
        </w:rPr>
        <w:t xml:space="preserve"> </w:t>
      </w:r>
      <w:r w:rsidRPr="00C96B57">
        <w:rPr>
          <w:rStyle w:val="HervorhebungBLAU"/>
          <w:b w:val="0"/>
          <w:color w:val="000000" w:themeColor="text1"/>
        </w:rPr>
        <w:t xml:space="preserve">beschäftigt, der selbst </w:t>
      </w:r>
      <w:r>
        <w:rPr>
          <w:rStyle w:val="HervorhebenSCHWARZ"/>
        </w:rPr>
        <w:t>nur seine Arbeitszeit schuldet</w:t>
      </w:r>
      <w:r w:rsidRPr="005A15BE">
        <w:rPr>
          <w:rStyle w:val="HervorhebungBLAU"/>
          <w:color w:val="000000" w:themeColor="text1"/>
        </w:rPr>
        <w:t>.</w:t>
      </w:r>
    </w:p>
    <w:p w:rsidR="00C96B57" w:rsidRPr="00C96B57" w:rsidRDefault="00C96B57" w:rsidP="00C96B57">
      <w:pPr>
        <w:pStyle w:val="Aufzhlungszeichen"/>
        <w:numPr>
          <w:ilvl w:val="1"/>
          <w:numId w:val="22"/>
        </w:numPr>
        <w:tabs>
          <w:tab w:val="left" w:pos="708"/>
        </w:tabs>
        <w:ind w:left="1276" w:hanging="425"/>
        <w:rPr>
          <w:rStyle w:val="HervorhebungBLAU"/>
          <w:b w:val="0"/>
          <w:color w:val="000000" w:themeColor="text1"/>
        </w:rPr>
      </w:pPr>
      <w:r>
        <w:rPr>
          <w:rStyle w:val="HervorhebenSCHWARZ"/>
        </w:rPr>
        <w:lastRenderedPageBreak/>
        <w:t>Jahr 1:</w:t>
      </w:r>
      <w:r>
        <w:rPr>
          <w:rStyle w:val="HervorhebungBLAU"/>
        </w:rPr>
        <w:t xml:space="preserve"> </w:t>
      </w:r>
      <w:r>
        <w:rPr>
          <w:rStyle w:val="HervorhebenSCHWARZ"/>
        </w:rPr>
        <w:t>Unternehmensinterne Machbarkeitsstudien</w:t>
      </w:r>
      <w:r>
        <w:rPr>
          <w:rStyle w:val="HervorhebungBLAU"/>
        </w:rPr>
        <w:t xml:space="preserve"> </w:t>
      </w:r>
      <w:r w:rsidRPr="00C96B57">
        <w:rPr>
          <w:rStyle w:val="HervorhebungBLAU"/>
          <w:b w:val="0"/>
          <w:color w:val="000000" w:themeColor="text1"/>
        </w:rPr>
        <w:t>mit positivem Ergebnis beendet.</w:t>
      </w:r>
    </w:p>
    <w:p w:rsidR="00C96B57" w:rsidRDefault="00C96B57" w:rsidP="00C96B57">
      <w:pPr>
        <w:pStyle w:val="Aufzhlungszeichen"/>
        <w:numPr>
          <w:ilvl w:val="1"/>
          <w:numId w:val="22"/>
        </w:numPr>
        <w:tabs>
          <w:tab w:val="left" w:pos="708"/>
        </w:tabs>
        <w:ind w:left="1276" w:hanging="425"/>
        <w:rPr>
          <w:rStyle w:val="HervorhebungBLAU"/>
          <w:b w:val="0"/>
        </w:rPr>
      </w:pPr>
      <w:r>
        <w:rPr>
          <w:rStyle w:val="HervorhebenSCHWARZ"/>
        </w:rPr>
        <w:t>Jahr 2:</w:t>
      </w:r>
      <w:r>
        <w:rPr>
          <w:rStyle w:val="HervorhebungBLAU"/>
        </w:rPr>
        <w:t xml:space="preserve"> </w:t>
      </w:r>
      <w:r w:rsidRPr="00C96B57">
        <w:rPr>
          <w:rStyle w:val="HervorhebungBLAU"/>
          <w:b w:val="0"/>
          <w:color w:val="000000" w:themeColor="text1"/>
        </w:rPr>
        <w:t>Projekt kann</w:t>
      </w:r>
      <w:r>
        <w:rPr>
          <w:rStyle w:val="HervorhebungBLAU"/>
        </w:rPr>
        <w:t xml:space="preserve"> </w:t>
      </w:r>
      <w:r>
        <w:rPr>
          <w:rStyle w:val="HervorhebenSCHWARZ"/>
        </w:rPr>
        <w:t>positiv zum Abschluss gebracht</w:t>
      </w:r>
      <w:r>
        <w:rPr>
          <w:rStyle w:val="HervorhebungBLAU"/>
        </w:rPr>
        <w:t xml:space="preserve"> </w:t>
      </w:r>
      <w:r>
        <w:rPr>
          <w:rStyle w:val="HervorhebenSCHWARZ"/>
        </w:rPr>
        <w:t>werden</w:t>
      </w:r>
      <w:r w:rsidRPr="005A15BE">
        <w:rPr>
          <w:rStyle w:val="HervorhebungBLAU"/>
          <w:color w:val="000000" w:themeColor="text1"/>
        </w:rPr>
        <w:t>.</w:t>
      </w:r>
    </w:p>
    <w:p w:rsidR="00C96B57" w:rsidRPr="00C96B57" w:rsidRDefault="00C96B57" w:rsidP="00C96B57">
      <w:pPr>
        <w:pStyle w:val="Standardeinzug"/>
        <w:rPr>
          <w:rStyle w:val="HervorhebungBLAU"/>
          <w:b w:val="0"/>
          <w:color w:val="000000" w:themeColor="text1"/>
        </w:rPr>
      </w:pPr>
      <w:r w:rsidRPr="00C96B57">
        <w:rPr>
          <w:rStyle w:val="HervorhebungBLAU"/>
          <w:b w:val="0"/>
          <w:color w:val="000000" w:themeColor="text1"/>
        </w:rPr>
        <w:t xml:space="preserve">Daher werden erstmals im Jahr 2 die Kosten für den externen Entwickler aktiviert. </w:t>
      </w:r>
    </w:p>
    <w:p w:rsidR="00C96B57" w:rsidRPr="00C96B57" w:rsidRDefault="00C96B57" w:rsidP="00C96B57">
      <w:pPr>
        <w:pStyle w:val="Aufzhlungszeichen"/>
        <w:numPr>
          <w:ilvl w:val="0"/>
          <w:numId w:val="19"/>
        </w:numPr>
        <w:tabs>
          <w:tab w:val="left" w:pos="708"/>
        </w:tabs>
        <w:ind w:left="1276" w:hanging="425"/>
        <w:rPr>
          <w:rStyle w:val="HervorhebungBLAU"/>
          <w:b w:val="0"/>
          <w:color w:val="000000" w:themeColor="text1"/>
        </w:rPr>
      </w:pPr>
      <w:r w:rsidRPr="00C96B57">
        <w:rPr>
          <w:rStyle w:val="HervorhebungBLAU"/>
          <w:b w:val="0"/>
          <w:color w:val="000000" w:themeColor="text1"/>
        </w:rPr>
        <w:t>Das Tablet sowie die Software sind Marktneuheiten,</w:t>
      </w:r>
    </w:p>
    <w:p w:rsidR="00C96B57" w:rsidRPr="00C96B57" w:rsidRDefault="00C96B57" w:rsidP="00C96B57">
      <w:pPr>
        <w:pStyle w:val="Aufzhlungszeichen"/>
        <w:numPr>
          <w:ilvl w:val="0"/>
          <w:numId w:val="19"/>
        </w:numPr>
        <w:tabs>
          <w:tab w:val="left" w:pos="708"/>
        </w:tabs>
        <w:ind w:left="1276" w:hanging="425"/>
        <w:rPr>
          <w:rStyle w:val="HervorhebungBLAU"/>
          <w:b w:val="0"/>
          <w:color w:val="000000" w:themeColor="text1"/>
        </w:rPr>
      </w:pPr>
      <w:r w:rsidRPr="00C96B57">
        <w:rPr>
          <w:rStyle w:val="HervorhebungBLAU"/>
          <w:b w:val="0"/>
          <w:color w:val="000000" w:themeColor="text1"/>
        </w:rPr>
        <w:t>die einen</w:t>
      </w:r>
      <w:r>
        <w:rPr>
          <w:rStyle w:val="HervorhebungBLAU"/>
        </w:rPr>
        <w:t xml:space="preserve"> </w:t>
      </w:r>
      <w:r>
        <w:rPr>
          <w:rStyle w:val="HervorhebenSCHWARZ"/>
        </w:rPr>
        <w:t>Wettbewerbsvorteil</w:t>
      </w:r>
      <w:r w:rsidRPr="00C96B57">
        <w:rPr>
          <w:rStyle w:val="HervorhebenSCHWARZ"/>
          <w:b w:val="0"/>
          <w:color w:val="000000" w:themeColor="text1"/>
        </w:rPr>
        <w:t xml:space="preserve"> </w:t>
      </w:r>
      <w:r w:rsidRPr="00C96B57">
        <w:rPr>
          <w:rStyle w:val="HervorhebungBLAU"/>
          <w:b w:val="0"/>
          <w:color w:val="000000" w:themeColor="text1"/>
        </w:rPr>
        <w:t>bedeuten werden.</w:t>
      </w:r>
    </w:p>
    <w:p w:rsidR="00C96B57" w:rsidRDefault="00C96B57" w:rsidP="00C96B57">
      <w:pPr>
        <w:pStyle w:val="Aufzhlungszeichen"/>
        <w:numPr>
          <w:ilvl w:val="0"/>
          <w:numId w:val="19"/>
        </w:numPr>
        <w:tabs>
          <w:tab w:val="left" w:pos="708"/>
        </w:tabs>
        <w:ind w:left="1276" w:hanging="425"/>
        <w:rPr>
          <w:rStyle w:val="HervorhebungBLAU"/>
          <w:b w:val="0"/>
        </w:rPr>
      </w:pPr>
      <w:r w:rsidRPr="00C96B57">
        <w:rPr>
          <w:rStyle w:val="HervorhebungBLAU"/>
          <w:b w:val="0"/>
          <w:color w:val="000000" w:themeColor="text1"/>
        </w:rPr>
        <w:t xml:space="preserve">Das Programm ist </w:t>
      </w:r>
      <w:r>
        <w:rPr>
          <w:rStyle w:val="HervorhebenSCHWARZ"/>
        </w:rPr>
        <w:t>einzeln verwertbar</w:t>
      </w:r>
      <w:r>
        <w:rPr>
          <w:rStyle w:val="HervorhebungBLAU"/>
        </w:rPr>
        <w:t xml:space="preserve"> </w:t>
      </w:r>
      <w:r w:rsidRPr="00C96B57">
        <w:rPr>
          <w:rStyle w:val="HervorhebungBLAU"/>
          <w:b w:val="0"/>
          <w:color w:val="000000" w:themeColor="text1"/>
        </w:rPr>
        <w:t>und</w:t>
      </w:r>
    </w:p>
    <w:p w:rsidR="00C96B57" w:rsidRPr="00C96B57" w:rsidRDefault="00C96B57" w:rsidP="00C96B57">
      <w:pPr>
        <w:pStyle w:val="Aufzhlungszeichen"/>
        <w:numPr>
          <w:ilvl w:val="0"/>
          <w:numId w:val="19"/>
        </w:numPr>
        <w:tabs>
          <w:tab w:val="left" w:pos="708"/>
        </w:tabs>
        <w:ind w:left="1276" w:hanging="425"/>
        <w:rPr>
          <w:rStyle w:val="HervorhebungBLAU"/>
          <w:b w:val="0"/>
          <w:color w:val="000000" w:themeColor="text1"/>
        </w:rPr>
      </w:pPr>
      <w:r w:rsidRPr="00C96B57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5937250</wp:posOffset>
                </wp:positionH>
                <wp:positionV relativeFrom="paragraph">
                  <wp:posOffset>290830</wp:posOffset>
                </wp:positionV>
                <wp:extent cx="691515" cy="800100"/>
                <wp:effectExtent l="0" t="0" r="13335" b="0"/>
                <wp:wrapNone/>
                <wp:docPr id="921" name="Gruppieren 9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515" cy="800100"/>
                          <a:chOff x="0" y="0"/>
                          <a:chExt cx="691515" cy="800483"/>
                        </a:xfrm>
                      </wpg:grpSpPr>
                      <wps:wsp>
                        <wps:cNvPr id="12" name="Textfeld 922"/>
                        <wps:cNvSpPr txBox="1"/>
                        <wps:spPr>
                          <a:xfrm>
                            <a:off x="0" y="345056"/>
                            <a:ext cx="691515" cy="45542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C96B57" w:rsidRDefault="00C96B57" w:rsidP="00C96B57">
                              <w:pPr>
                                <w:spacing w:before="60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</w:p>
                            <w:p w:rsidR="00C96B57" w:rsidRDefault="00C96B57" w:rsidP="00C96B57">
                              <w:pPr>
                                <w:spacing w:before="60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0" tIns="3600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Grafik 13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804" cy="32780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ieren 921" o:spid="_x0000_s1026" style="position:absolute;left:0;text-align:left;margin-left:467.5pt;margin-top:22.9pt;width:54.45pt;height:63pt;z-index:251660288" coordsize="6915,8004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922" o:spid="_x0000_s1027" type="#_x0000_t202" style="position:absolute;top:3450;width:6915;height:4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" filled="f" stroked="f" strokeweight=".5pt">
                  <v:textbox inset="0,1mm,0,0">
                    <w:txbxContent>
                      <w:p w:rsidR="00C96B57" w:rsidRDefault="00C96B57" w:rsidP="00C96B57">
                        <w:pPr>
                          <w:spacing w:before="6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</w:p>
                      <w:p w:rsidR="00C96B57" w:rsidRDefault="00C96B57" w:rsidP="00C96B57">
                        <w:pPr>
                          <w:spacing w:before="6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Grafik 13" o:spid="_x0000_s1028" type="#_x0000_t75" style="position:absolute;width:3278;height:3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">
                  <v:imagedata r:id="rId12" o:title=""/>
                </v:shape>
              </v:group>
            </w:pict>
          </mc:Fallback>
        </mc:AlternateContent>
      </w:r>
      <w:r w:rsidRPr="00C96B57">
        <w:rPr>
          <w:rStyle w:val="HervorhebungBLAU"/>
          <w:color w:val="000000" w:themeColor="text1"/>
        </w:rPr>
        <w:t>kann auch mit den Entwicklungskosten</w:t>
      </w:r>
      <w:r>
        <w:rPr>
          <w:rStyle w:val="HervorhebungBLAU"/>
        </w:rPr>
        <w:t xml:space="preserve"> </w:t>
      </w:r>
      <w:r>
        <w:rPr>
          <w:rStyle w:val="HervorhebenSCHWARZ"/>
        </w:rPr>
        <w:t>bewertet</w:t>
      </w:r>
      <w:r>
        <w:rPr>
          <w:rStyle w:val="HervorhebungBLAU"/>
        </w:rPr>
        <w:t xml:space="preserve"> </w:t>
      </w:r>
      <w:r w:rsidRPr="00C96B57">
        <w:rPr>
          <w:rStyle w:val="HervorhebungBLAU"/>
          <w:b w:val="0"/>
          <w:color w:val="000000" w:themeColor="text1"/>
        </w:rPr>
        <w:t xml:space="preserve">werden. </w:t>
      </w:r>
    </w:p>
    <w:p w:rsidR="00C96B57" w:rsidRDefault="00C96B57" w:rsidP="00C96B57">
      <w:pPr>
        <w:pStyle w:val="Standardeinzug"/>
      </w:pPr>
      <w:r>
        <w:t xml:space="preserve">Die </w:t>
      </w:r>
      <w:r>
        <w:rPr>
          <w:rStyle w:val="HervorhebungBLAU"/>
        </w:rPr>
        <w:t>selbständige Bewertbarkeit</w:t>
      </w:r>
      <w:r>
        <w:t xml:space="preserve"> dient der </w:t>
      </w:r>
      <w:r>
        <w:rPr>
          <w:rStyle w:val="HervorhebenSCHWARZ"/>
        </w:rPr>
        <w:t>Abgrenzung der unselbständig geschäftsbildenden Faktoren</w:t>
      </w:r>
      <w:r>
        <w:t xml:space="preserve">, die </w:t>
      </w:r>
      <w:r>
        <w:rPr>
          <w:rStyle w:val="HervorhebungROT"/>
        </w:rPr>
        <w:t>regelmäßig dem Geschäfts- und Firmenwert</w:t>
      </w:r>
      <w:r>
        <w:rPr>
          <w:rStyle w:val="HervorhebenSCHWARZ"/>
        </w:rPr>
        <w:t xml:space="preserve"> </w:t>
      </w:r>
      <w:r>
        <w:t>zuzuordnen sind und daher nicht selbständig bewertbar sind.</w:t>
      </w:r>
    </w:p>
    <w:p w:rsidR="00C96B57" w:rsidRDefault="00C96B57" w:rsidP="00C96B57">
      <w:pPr>
        <w:pStyle w:val="Standardeinzug"/>
      </w:pPr>
      <w:r>
        <w:rPr>
          <w:rStyle w:val="HervorhebenSCHWARZ"/>
        </w:rPr>
        <w:t>Kein selbständiger Vermögenswert</w:t>
      </w:r>
      <w:r>
        <w:t xml:space="preserve"> dagegen wäre zum Beispiel der </w:t>
      </w:r>
      <w:r>
        <w:rPr>
          <w:rStyle w:val="HervorhebenSCHWARZ"/>
        </w:rPr>
        <w:t>Kundenstamm</w:t>
      </w:r>
      <w:r>
        <w:t>, weil es am Kriterium der einzelnen Bewertbarkeit fehlt.</w:t>
      </w:r>
    </w:p>
    <w:p w:rsidR="00C96B57" w:rsidRDefault="00C96B57" w:rsidP="00C96B57">
      <w:pPr>
        <w:pStyle w:val="Standardeinzug"/>
        <w:rPr>
          <w:rStyle w:val="HervorhebenSCHWARZ"/>
        </w:rPr>
      </w:pPr>
      <w:r>
        <w:t xml:space="preserve">Mit diesem Kriterium wurde das </w:t>
      </w:r>
      <w:r>
        <w:rPr>
          <w:rStyle w:val="HervorhebenSCHWARZ"/>
        </w:rPr>
        <w:t xml:space="preserve">Aktivierungsverbot für Marken, Drucktitel, Verlagsrechte, Kundenlisten oder vergleichbare immaterielle Vermögensgegenstände des Anlagevermögens </w:t>
      </w:r>
      <w:r>
        <w:t>begründet.</w:t>
      </w:r>
      <w:r>
        <w:rPr>
          <w:rStyle w:val="HervorhebenSCHWARZ"/>
        </w:rPr>
        <w:t xml:space="preserve"> </w:t>
      </w:r>
    </w:p>
    <w:p w:rsidR="00C96B57" w:rsidRDefault="00C96B57" w:rsidP="00C96B57">
      <w:pPr>
        <w:pStyle w:val="berschrift3"/>
        <w:numPr>
          <w:ilvl w:val="2"/>
          <w:numId w:val="18"/>
        </w:numPr>
        <w:tabs>
          <w:tab w:val="clear" w:pos="1389"/>
          <w:tab w:val="num" w:pos="3232"/>
        </w:tabs>
        <w:ind w:left="851" w:hanging="851"/>
      </w:pPr>
      <w:bookmarkStart w:id="12" w:name="_Toc492905487"/>
      <w:bookmarkStart w:id="13" w:name="_Toc478473565"/>
      <w:r>
        <w:t>Umfang und Zeitpunkt der aktivierbaren Kosten</w:t>
      </w:r>
      <w:bookmarkEnd w:id="12"/>
      <w:bookmarkEnd w:id="13"/>
    </w:p>
    <w:p w:rsidR="00C96B57" w:rsidRDefault="00C96B57" w:rsidP="00C96B57">
      <w:pPr>
        <w:pStyle w:val="Standardeinzug"/>
      </w:pPr>
      <w:r>
        <w:t xml:space="preserve">Als Herstellungskosten des selbst geschaffenen immateriellen Vermögensgegenstandes dürfen nur die Kosten aktiviert werden, die bei </w:t>
      </w:r>
      <w:r>
        <w:rPr>
          <w:rStyle w:val="HervorhebungBLAU"/>
        </w:rPr>
        <w:t>dessen Entwicklung</w:t>
      </w:r>
      <w:r>
        <w:t xml:space="preserve"> angefallen sind.</w:t>
      </w:r>
      <w:r>
        <w:rPr>
          <w:rStyle w:val="Funotenzeichen"/>
        </w:rPr>
        <w:footnoteReference w:id="6"/>
      </w:r>
      <w:r>
        <w:t xml:space="preserve"> </w:t>
      </w:r>
    </w:p>
    <w:p w:rsidR="00C96B57" w:rsidRDefault="00C96B57" w:rsidP="00C96B57">
      <w:pPr>
        <w:pStyle w:val="Standardeinzug"/>
      </w:pPr>
      <w:r>
        <w:t>Als Entwicklung wird definiert:</w:t>
      </w:r>
      <w:r>
        <w:rPr>
          <w:rStyle w:val="Funotenzeichen"/>
        </w:rPr>
        <w:footnoteReference w:id="7"/>
      </w:r>
      <w:r>
        <w:t xml:space="preserve"> </w:t>
      </w:r>
    </w:p>
    <w:p w:rsidR="00C96B57" w:rsidRDefault="00C96B57" w:rsidP="00C96B57">
      <w:pPr>
        <w:pStyle w:val="Aufzhlungszeichen"/>
        <w:numPr>
          <w:ilvl w:val="0"/>
          <w:numId w:val="0"/>
        </w:numPr>
        <w:tabs>
          <w:tab w:val="left" w:pos="708"/>
        </w:tabs>
        <w:ind w:left="1208" w:hanging="357"/>
      </w:pPr>
      <w:r>
        <w:t xml:space="preserve">Die </w:t>
      </w:r>
      <w:r>
        <w:rPr>
          <w:rStyle w:val="HervorhebenSCHWARZ"/>
        </w:rPr>
        <w:t>Anwendung</w:t>
      </w:r>
      <w:r>
        <w:t xml:space="preserve"> von </w:t>
      </w:r>
    </w:p>
    <w:p w:rsidR="00C96B57" w:rsidRDefault="00C96B57" w:rsidP="00C96B57">
      <w:pPr>
        <w:pStyle w:val="Aufzhlungszeichen"/>
        <w:numPr>
          <w:ilvl w:val="1"/>
          <w:numId w:val="23"/>
        </w:numPr>
        <w:tabs>
          <w:tab w:val="left" w:pos="708"/>
        </w:tabs>
        <w:ind w:left="1276" w:hanging="425"/>
      </w:pPr>
      <w:r>
        <w:t xml:space="preserve">Forschungsergebnissen oder </w:t>
      </w:r>
    </w:p>
    <w:p w:rsidR="00C96B57" w:rsidRDefault="00C96B57" w:rsidP="00C96B57">
      <w:pPr>
        <w:pStyle w:val="Aufzhlungszeichen"/>
        <w:numPr>
          <w:ilvl w:val="1"/>
          <w:numId w:val="23"/>
        </w:numPr>
        <w:tabs>
          <w:tab w:val="left" w:pos="708"/>
        </w:tabs>
        <w:ind w:left="1276" w:hanging="425"/>
      </w:pPr>
      <w:r>
        <w:t>anderem Wissen</w:t>
      </w:r>
    </w:p>
    <w:p w:rsidR="00C96B57" w:rsidRDefault="00C96B57" w:rsidP="00C96B57">
      <w:pPr>
        <w:pStyle w:val="Aufzhlungszeichen"/>
        <w:numPr>
          <w:ilvl w:val="0"/>
          <w:numId w:val="0"/>
        </w:numPr>
        <w:tabs>
          <w:tab w:val="left" w:pos="708"/>
        </w:tabs>
        <w:ind w:left="851"/>
        <w:rPr>
          <w:rStyle w:val="HervorhebenSCHWARZ"/>
        </w:rPr>
      </w:pPr>
      <w:r>
        <w:t xml:space="preserve">für die </w:t>
      </w:r>
      <w:r>
        <w:rPr>
          <w:rStyle w:val="HervorhebenSCHWARZ"/>
        </w:rPr>
        <w:t>Neuentwicklung</w:t>
      </w:r>
      <w:r>
        <w:t xml:space="preserve"> von Gütern oder Verfahren </w:t>
      </w:r>
      <w:r>
        <w:rPr>
          <w:rStyle w:val="HervorhebenSCHWARZ"/>
        </w:rPr>
        <w:t>mittels wesentlicher Änderungen.</w:t>
      </w:r>
    </w:p>
    <w:p w:rsidR="00C96B57" w:rsidRDefault="00C96B57" w:rsidP="00C96B57">
      <w:pPr>
        <w:pStyle w:val="Standardeinzug"/>
      </w:pPr>
      <w:r>
        <w:rPr>
          <w:rStyle w:val="HervorhebenSCHWARZ"/>
        </w:rPr>
        <w:t>Nicht aktiviert</w:t>
      </w:r>
      <w:r>
        <w:t xml:space="preserve"> werden dürfen </w:t>
      </w:r>
      <w:r>
        <w:rPr>
          <w:rStyle w:val="HervorhebenSCHWARZ"/>
        </w:rPr>
        <w:t>Forschungskosten</w:t>
      </w:r>
      <w:r>
        <w:t xml:space="preserve">. Diese definiert § 255 Abs. 2a S. 3 HGB als Kosten, die anfallen in Zusammenhang mit: </w:t>
      </w:r>
    </w:p>
    <w:p w:rsidR="00C96B57" w:rsidRDefault="00C96B57" w:rsidP="00C96B57">
      <w:pPr>
        <w:pStyle w:val="Aufzhlungszeichen"/>
        <w:numPr>
          <w:ilvl w:val="0"/>
          <w:numId w:val="19"/>
        </w:numPr>
        <w:tabs>
          <w:tab w:val="left" w:pos="708"/>
        </w:tabs>
        <w:ind w:left="1276" w:hanging="425"/>
      </w:pPr>
      <w:r>
        <w:lastRenderedPageBreak/>
        <w:t xml:space="preserve">der </w:t>
      </w:r>
      <w:r>
        <w:rPr>
          <w:rStyle w:val="HervorhebungBLAU"/>
        </w:rPr>
        <w:t>eigenständigen und planmäßigen Suche nach neuen wissenschaftlichen oder technischen Erkenntnissen</w:t>
      </w:r>
      <w:r>
        <w:rPr>
          <w:rStyle w:val="HervorhebenSCHWARZ"/>
        </w:rPr>
        <w:t xml:space="preserve"> oder Erfahrungen</w:t>
      </w:r>
      <w:r>
        <w:t xml:space="preserve"> allgemeiner Art, </w:t>
      </w:r>
    </w:p>
    <w:p w:rsidR="00C96B57" w:rsidRDefault="00C96B57" w:rsidP="00C96B57">
      <w:pPr>
        <w:pStyle w:val="Aufzhlungszeichen"/>
        <w:numPr>
          <w:ilvl w:val="0"/>
          <w:numId w:val="19"/>
        </w:numPr>
        <w:tabs>
          <w:tab w:val="left" w:pos="708"/>
        </w:tabs>
        <w:ind w:left="1276" w:hanging="425"/>
        <w:rPr>
          <w:rStyle w:val="HervorhebenSCHWARZ"/>
        </w:rPr>
      </w:pPr>
      <w:r>
        <w:t xml:space="preserve">deren tatsächliche </w:t>
      </w:r>
      <w:r>
        <w:rPr>
          <w:rStyle w:val="HervorhebenSCHWARZ"/>
        </w:rPr>
        <w:t>technische Verwertbarkeit</w:t>
      </w:r>
      <w:r>
        <w:t xml:space="preserve"> </w:t>
      </w:r>
      <w:r>
        <w:rPr>
          <w:rStyle w:val="HervorhebenSCHWARZ"/>
        </w:rPr>
        <w:t xml:space="preserve">und wirtschaftliche Erfolgsaussichten unsicher sind. </w:t>
      </w:r>
    </w:p>
    <w:p w:rsidR="00C96B57" w:rsidRDefault="00C96B57" w:rsidP="00C96B57">
      <w:pPr>
        <w:pStyle w:val="Aufzhlungszeichen"/>
        <w:numPr>
          <w:ilvl w:val="0"/>
          <w:numId w:val="19"/>
        </w:numPr>
        <w:tabs>
          <w:tab w:val="left" w:pos="708"/>
        </w:tabs>
        <w:ind w:left="1276" w:hanging="425"/>
      </w:pPr>
      <w:r>
        <w:rPr>
          <w:rStyle w:val="HervorhebenSCHWARZ"/>
        </w:rPr>
        <w:t>Hilfreich</w:t>
      </w:r>
      <w:r>
        <w:t xml:space="preserve"> bei der Abgrenzung können Merkmale sein, die in </w:t>
      </w:r>
      <w:r>
        <w:rPr>
          <w:rStyle w:val="HervorhebenSCHWARZ"/>
        </w:rPr>
        <w:t>DRS 24.17 ff.</w:t>
      </w:r>
      <w:r>
        <w:t xml:space="preserve"> für den Konzernabschluss definiert wurden. Gemäß DRS 24.6 wird die </w:t>
      </w:r>
      <w:r>
        <w:rPr>
          <w:rStyle w:val="HervorhebenSCHWARZ"/>
        </w:rPr>
        <w:t>Anwendung auch für den Jahresabschluss</w:t>
      </w:r>
      <w:r>
        <w:t xml:space="preserve"> empfohlen.</w:t>
      </w:r>
      <w:r>
        <w:rPr>
          <w:rStyle w:val="Funotenzeichen"/>
        </w:rPr>
        <w:footnoteReference w:id="8"/>
      </w:r>
    </w:p>
    <w:p w:rsidR="00C96B57" w:rsidRDefault="00C96B57" w:rsidP="00C96B57">
      <w:pPr>
        <w:pStyle w:val="Standardeinzug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5925185</wp:posOffset>
                </wp:positionH>
                <wp:positionV relativeFrom="paragraph">
                  <wp:posOffset>306070</wp:posOffset>
                </wp:positionV>
                <wp:extent cx="691515" cy="800100"/>
                <wp:effectExtent l="0" t="0" r="13335" b="0"/>
                <wp:wrapNone/>
                <wp:docPr id="924" name="Gruppieren 9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515" cy="800100"/>
                          <a:chOff x="0" y="0"/>
                          <a:chExt cx="691515" cy="800483"/>
                        </a:xfrm>
                      </wpg:grpSpPr>
                      <wps:wsp>
                        <wps:cNvPr id="9" name="Textfeld 925"/>
                        <wps:cNvSpPr txBox="1"/>
                        <wps:spPr>
                          <a:xfrm>
                            <a:off x="0" y="345056"/>
                            <a:ext cx="691515" cy="45542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C96B57" w:rsidRDefault="00C96B57" w:rsidP="00C96B57">
                              <w:pPr>
                                <w:spacing w:before="60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</w:p>
                            <w:p w:rsidR="00C96B57" w:rsidRDefault="00C96B57" w:rsidP="00C96B57">
                              <w:pPr>
                                <w:spacing w:before="60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0" tIns="3600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Grafik 10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804" cy="32780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ieren 924" o:spid="_x0000_s1029" style="position:absolute;left:0;text-align:left;margin-left:466.55pt;margin-top:24.1pt;width:54.45pt;height:63pt;z-index:251662336" coordsize="6915,8004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">
                <v:shape id="Textfeld 925" o:spid="_x0000_s1030" type="#_x0000_t202" style="position:absolute;top:3450;width:6915;height:4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" filled="f" stroked="f" strokeweight=".5pt">
                  <v:textbox inset="0,1mm,0,0">
                    <w:txbxContent>
                      <w:p w:rsidR="00C96B57" w:rsidRDefault="00C96B57" w:rsidP="00C96B57">
                        <w:pPr>
                          <w:spacing w:before="6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</w:p>
                      <w:p w:rsidR="00C96B57" w:rsidRDefault="00C96B57" w:rsidP="00C96B57">
                        <w:pPr>
                          <w:spacing w:before="6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Grafik 10" o:spid="_x0000_s1031" type="#_x0000_t75" style="position:absolute;width:3278;height:3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">
                  <v:imagedata r:id="rId12" o:title=""/>
                </v:shape>
              </v:group>
            </w:pict>
          </mc:Fallback>
        </mc:AlternateContent>
      </w:r>
      <w:r>
        <w:t>Somit können nur die Kosten aktiviert werden, die ab dem Beginn der Entwicklungsphase anfallen.</w:t>
      </w:r>
    </w:p>
    <w:p w:rsidR="00C96B57" w:rsidRDefault="00C96B57" w:rsidP="00C96B57">
      <w:pPr>
        <w:pStyle w:val="Standardeinzug"/>
      </w:pPr>
      <w:r>
        <w:t xml:space="preserve">Weitere Voraussetzung ist, dass mit </w:t>
      </w:r>
      <w:r>
        <w:rPr>
          <w:rStyle w:val="HervorhebungBLAU"/>
        </w:rPr>
        <w:t>hinreichender Wahrscheinlichkeit</w:t>
      </w:r>
      <w:r>
        <w:t xml:space="preserve"> von der </w:t>
      </w:r>
      <w:r>
        <w:rPr>
          <w:rStyle w:val="HervorhebungBLAU"/>
        </w:rPr>
        <w:t xml:space="preserve">Entstehung </w:t>
      </w:r>
      <w:r>
        <w:t>eines Vermögensgegenstandes ausgegangen werden kann.</w:t>
      </w:r>
      <w:r>
        <w:rPr>
          <w:rStyle w:val="Funotenzeichen"/>
        </w:rPr>
        <w:footnoteReference w:id="9"/>
      </w:r>
      <w:r>
        <w:t xml:space="preserve"> Dazu sind in DRS 24.50 die folgenden Kriterien konkretisierend genannt: </w:t>
      </w:r>
    </w:p>
    <w:p w:rsidR="00C96B57" w:rsidRDefault="00C96B57" w:rsidP="00C96B57">
      <w:pPr>
        <w:pStyle w:val="Aufzhlungszeichen"/>
        <w:numPr>
          <w:ilvl w:val="0"/>
          <w:numId w:val="19"/>
        </w:numPr>
        <w:tabs>
          <w:tab w:val="left" w:pos="708"/>
        </w:tabs>
        <w:ind w:left="1276" w:hanging="425"/>
      </w:pPr>
      <w:r>
        <w:t>Technische Realisierbarkeit,</w:t>
      </w:r>
    </w:p>
    <w:p w:rsidR="00C96B57" w:rsidRDefault="00C96B57" w:rsidP="00C96B57">
      <w:pPr>
        <w:pStyle w:val="Aufzhlungszeichen"/>
        <w:numPr>
          <w:ilvl w:val="0"/>
          <w:numId w:val="19"/>
        </w:numPr>
        <w:tabs>
          <w:tab w:val="left" w:pos="708"/>
        </w:tabs>
        <w:ind w:left="1276" w:hanging="425"/>
      </w:pPr>
      <w:r>
        <w:t>Verfügbarkeit der für die Fertigstellung erforderlichen Ressourcen (Finanzielle Mittel, Technische Ressourcen etc.),</w:t>
      </w:r>
    </w:p>
    <w:p w:rsidR="00C96B57" w:rsidRDefault="00C96B57" w:rsidP="00C96B57">
      <w:pPr>
        <w:pStyle w:val="Aufzhlungszeichen"/>
        <w:numPr>
          <w:ilvl w:val="0"/>
          <w:numId w:val="19"/>
        </w:numPr>
        <w:tabs>
          <w:tab w:val="left" w:pos="708"/>
        </w:tabs>
        <w:ind w:left="1276" w:hanging="42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5944235</wp:posOffset>
                </wp:positionH>
                <wp:positionV relativeFrom="paragraph">
                  <wp:posOffset>68580</wp:posOffset>
                </wp:positionV>
                <wp:extent cx="691515" cy="800100"/>
                <wp:effectExtent l="0" t="0" r="13335" b="0"/>
                <wp:wrapNone/>
                <wp:docPr id="927" name="Gruppieren 9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515" cy="800100"/>
                          <a:chOff x="0" y="0"/>
                          <a:chExt cx="691515" cy="800483"/>
                        </a:xfrm>
                      </wpg:grpSpPr>
                      <wps:wsp>
                        <wps:cNvPr id="6" name="Textfeld 928"/>
                        <wps:cNvSpPr txBox="1"/>
                        <wps:spPr>
                          <a:xfrm>
                            <a:off x="0" y="345056"/>
                            <a:ext cx="691515" cy="45542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C96B57" w:rsidRDefault="00C96B57" w:rsidP="00C96B57">
                              <w:pPr>
                                <w:spacing w:before="60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</w:p>
                            <w:p w:rsidR="00C96B57" w:rsidRDefault="00C96B57" w:rsidP="00C96B57">
                              <w:pPr>
                                <w:spacing w:before="60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0" tIns="3600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Grafik 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804" cy="32780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ieren 927" o:spid="_x0000_s1032" style="position:absolute;left:0;text-align:left;margin-left:468.05pt;margin-top:5.4pt;width:54.45pt;height:63pt;z-index:251663360" coordsize="6915,8004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">
                <v:shape id="Textfeld 928" o:spid="_x0000_s1033" type="#_x0000_t202" style="position:absolute;top:3450;width:6915;height:4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" filled="f" stroked="f" strokeweight=".5pt">
                  <v:textbox inset="0,1mm,0,0">
                    <w:txbxContent>
                      <w:p w:rsidR="00C96B57" w:rsidRDefault="00C96B57" w:rsidP="00C96B57">
                        <w:pPr>
                          <w:spacing w:before="6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</w:p>
                      <w:p w:rsidR="00C96B57" w:rsidRDefault="00C96B57" w:rsidP="00C96B57">
                        <w:pPr>
                          <w:spacing w:before="6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Grafik 7" o:spid="_x0000_s1034" type="#_x0000_t75" style="position:absolute;width:3278;height:3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">
                  <v:imagedata r:id="rId12" o:title=""/>
                </v:shape>
              </v:group>
            </w:pict>
          </mc:Fallback>
        </mc:AlternateContent>
      </w:r>
      <w:r>
        <w:t>Fertigstellung ist beabsichtigt.</w:t>
      </w:r>
    </w:p>
    <w:p w:rsidR="00C96B57" w:rsidRDefault="009F30B8" w:rsidP="00C96B57">
      <w:pPr>
        <w:pStyle w:val="Abbildung"/>
      </w:pPr>
      <w:r>
        <w:rPr>
          <w:sz w:val="24"/>
        </w:rPr>
        <w:object w:dxaOrig="7075" w:dyaOrig="5304">
          <v:shape id="_x0000_i1026" type="#_x0000_t75" style="width:354pt;height:265.5pt" o:ole="" o:bordertopcolor="this" o:borderleftcolor="this" o:borderbottomcolor="this" o:borderrightcolor="this">
            <v:imagedata r:id="rId13" o:title=""/>
            <w10:bordertop type="single" width="8"/>
            <w10:borderleft type="single" width="8"/>
            <w10:borderbottom type="single" width="8"/>
            <w10:borderright type="single" width="8"/>
          </v:shape>
          <o:OLEObject Type="Embed" ProgID="PowerPoint.Slide.12" ShapeID="_x0000_i1026" DrawAspect="Content" ObjectID="_1821447444" r:id="rId14"/>
        </w:object>
      </w:r>
    </w:p>
    <w:p w:rsidR="00C96B57" w:rsidRDefault="00C96B57" w:rsidP="00C96B57">
      <w:pPr>
        <w:pStyle w:val="Beschriftung"/>
      </w:pPr>
      <w:r>
        <w:t>Abbildung 2: Abgrenzung Forschungs- und Entwicklungsphase</w:t>
      </w:r>
    </w:p>
    <w:p w:rsidR="00C96B57" w:rsidRDefault="00C96B57" w:rsidP="00C96B57">
      <w:pPr>
        <w:pStyle w:val="Standardeinzug"/>
      </w:pPr>
      <w:r>
        <w:lastRenderedPageBreak/>
        <w:t xml:space="preserve">Die Abgrenzung zwischen Forschung und Entwicklung ist nicht eindeutig im Gesetz geregelt. Daher ergeben sich hier </w:t>
      </w:r>
      <w:r>
        <w:rPr>
          <w:rStyle w:val="HervorhebungBLAU"/>
        </w:rPr>
        <w:t>Gestaltungsspielräume</w:t>
      </w:r>
      <w:r>
        <w:t xml:space="preserve"> in der Praxis. Die gilt insbesondere hinsichtlich der Frage, </w:t>
      </w:r>
      <w:r>
        <w:rPr>
          <w:rStyle w:val="HervorhebungROT"/>
        </w:rPr>
        <w:t>ab welchem Zeitpunkt</w:t>
      </w:r>
      <w:r>
        <w:t xml:space="preserve"> davon ausgegangen werden kann, dass </w:t>
      </w:r>
      <w:r>
        <w:rPr>
          <w:rStyle w:val="HervorhebenSCHWARZ"/>
        </w:rPr>
        <w:t>mit hoher Wahrscheinlichkeit</w:t>
      </w:r>
      <w:r>
        <w:t xml:space="preserve"> ein </w:t>
      </w:r>
      <w:r>
        <w:rPr>
          <w:rStyle w:val="HervorhebenSCHWARZ"/>
        </w:rPr>
        <w:t>Vermögensgegenstand</w:t>
      </w:r>
      <w:r>
        <w:t xml:space="preserve"> entsteht.</w:t>
      </w:r>
    </w:p>
    <w:p w:rsidR="00C96B57" w:rsidRDefault="00C96B57" w:rsidP="00C96B57">
      <w:pPr>
        <w:pStyle w:val="Standardeinzug"/>
      </w:pPr>
      <w:r>
        <w:t xml:space="preserve">Die Ausübung des Wahlrechtes erfordert ein sachgerechtes </w:t>
      </w:r>
      <w:r>
        <w:rPr>
          <w:rStyle w:val="HervorhebenSCHWARZ"/>
        </w:rPr>
        <w:t>Controlling</w:t>
      </w:r>
      <w:r>
        <w:t xml:space="preserve">, anhand dessen eine nachvollziehbare </w:t>
      </w:r>
      <w:r>
        <w:rPr>
          <w:rStyle w:val="HervorhebenSCHWARZ"/>
        </w:rPr>
        <w:t>Aufteilung der Kosten auf die Forschungs- und Entwicklungsphase</w:t>
      </w:r>
      <w:r>
        <w:t xml:space="preserve"> ermöglicht wird.</w:t>
      </w:r>
      <w:r>
        <w:rPr>
          <w:rStyle w:val="Funotenzeichen"/>
        </w:rPr>
        <w:footnoteReference w:id="10"/>
      </w:r>
    </w:p>
    <w:p w:rsidR="00C96B57" w:rsidRDefault="00C96B57" w:rsidP="00C96B57">
      <w:pPr>
        <w:pStyle w:val="berschrift3"/>
        <w:numPr>
          <w:ilvl w:val="2"/>
          <w:numId w:val="18"/>
        </w:numPr>
        <w:tabs>
          <w:tab w:val="clear" w:pos="1389"/>
          <w:tab w:val="num" w:pos="3232"/>
        </w:tabs>
        <w:ind w:left="851" w:hanging="851"/>
      </w:pPr>
      <w:bookmarkStart w:id="14" w:name="_Toc492905488"/>
      <w:r>
        <w:t>Unterjähriger Beginn der Entwicklungsphase</w:t>
      </w:r>
      <w:bookmarkEnd w:id="14"/>
    </w:p>
    <w:p w:rsidR="00C96B57" w:rsidRDefault="00C96B57" w:rsidP="00C96B57">
      <w:pPr>
        <w:pStyle w:val="Standardeinzug"/>
      </w:pPr>
      <w:r>
        <w:t xml:space="preserve">Werden die </w:t>
      </w:r>
      <w:r>
        <w:rPr>
          <w:rStyle w:val="HervorhebenSCHWARZ"/>
        </w:rPr>
        <w:t>Voraussetzungen</w:t>
      </w:r>
      <w:r>
        <w:t xml:space="preserve"> für die Aktivierung </w:t>
      </w:r>
      <w:r>
        <w:rPr>
          <w:rStyle w:val="HervorhebenSCHWARZ"/>
        </w:rPr>
        <w:t>unterjährig erfüllt</w:t>
      </w:r>
      <w:r>
        <w:t xml:space="preserve">, spricht nichts dagegen, die </w:t>
      </w:r>
      <w:r>
        <w:rPr>
          <w:rStyle w:val="HervorhebenSCHWARZ"/>
        </w:rPr>
        <w:t>Entwicklungskosten des gesamten Jahres zu aktivieren</w:t>
      </w:r>
      <w:r>
        <w:t>.</w:t>
      </w:r>
    </w:p>
    <w:p w:rsidR="00C96B57" w:rsidRDefault="00C96B57" w:rsidP="00C96B57">
      <w:pPr>
        <w:pStyle w:val="Standardeinzug"/>
      </w:pPr>
      <w:r>
        <w:t xml:space="preserve">Aber auch hier ergeben sich </w:t>
      </w:r>
      <w:r>
        <w:rPr>
          <w:rStyle w:val="HervorhebungBLAU"/>
        </w:rPr>
        <w:t>Ermessensspielräume</w:t>
      </w:r>
      <w:r>
        <w:t xml:space="preserve">; im Schrifttum wird auch die Meinung vertreten, dass </w:t>
      </w:r>
      <w:r>
        <w:rPr>
          <w:rStyle w:val="HervorhebenSCHWARZ"/>
        </w:rPr>
        <w:t>erst ab Vorliegen aller Voraussetzungen</w:t>
      </w:r>
      <w:r>
        <w:t xml:space="preserve"> eine Aktivierung zukünftiger Entwicklungskosten möglich ist. Beide Vorgehensweisen erscheinen daher vertretbar.</w:t>
      </w:r>
      <w:r>
        <w:rPr>
          <w:rStyle w:val="Funotenzeichen"/>
        </w:rPr>
        <w:footnoteReference w:id="11"/>
      </w:r>
      <w:r>
        <w:t xml:space="preserve"> </w:t>
      </w:r>
    </w:p>
    <w:p w:rsidR="00C96B57" w:rsidRDefault="00C96B57" w:rsidP="00C96B57">
      <w:pPr>
        <w:pStyle w:val="Standardeinzug"/>
      </w:pPr>
      <w:r>
        <w:t xml:space="preserve">Es besteht auch die Möglichkeit, Entwicklungskosten </w:t>
      </w:r>
      <w:r>
        <w:rPr>
          <w:rStyle w:val="HervorhebenSCHWARZ"/>
        </w:rPr>
        <w:t>erstmals</w:t>
      </w:r>
      <w:r>
        <w:t xml:space="preserve"> in dem Jahr zu aktivieren, </w:t>
      </w:r>
      <w:r>
        <w:rPr>
          <w:rStyle w:val="HervorhebenSCHWARZ"/>
        </w:rPr>
        <w:t>das auf das Jahr des Beginns der Entwicklungsphase folgt</w:t>
      </w:r>
      <w:r>
        <w:t xml:space="preserve">. </w:t>
      </w:r>
    </w:p>
    <w:p w:rsidR="00C96B57" w:rsidRDefault="00C96B57" w:rsidP="00C96B57">
      <w:pPr>
        <w:pStyle w:val="Standardeinzug"/>
      </w:pPr>
      <w:r>
        <w:t xml:space="preserve">Ist eine verlässliche Unterscheidung von Forschungs- und Entwicklungskosten nicht möglich, ist eine Aktivierung </w:t>
      </w:r>
      <w:r>
        <w:rPr>
          <w:b/>
          <w:color w:val="FF0000"/>
        </w:rPr>
        <w:t>ausgeschlossen</w:t>
      </w:r>
      <w:r>
        <w:rPr>
          <w:color w:val="000000" w:themeColor="text1"/>
        </w:rPr>
        <w:t>!</w:t>
      </w:r>
      <w:r>
        <w:rPr>
          <w:rStyle w:val="Funotenzeichen"/>
        </w:rPr>
        <w:footnoteReference w:id="12"/>
      </w:r>
      <w:r>
        <w:t xml:space="preserve"> </w:t>
      </w:r>
    </w:p>
    <w:p w:rsidR="00C96B57" w:rsidRDefault="00C96B57" w:rsidP="00C96B57">
      <w:pPr>
        <w:pStyle w:val="berschrift2"/>
        <w:numPr>
          <w:ilvl w:val="1"/>
          <w:numId w:val="18"/>
        </w:numPr>
        <w:tabs>
          <w:tab w:val="clear" w:pos="1389"/>
          <w:tab w:val="num" w:pos="3232"/>
        </w:tabs>
        <w:ind w:left="851" w:hanging="851"/>
        <w:rPr>
          <w:szCs w:val="28"/>
        </w:rPr>
      </w:pPr>
      <w:bookmarkStart w:id="15" w:name="_Toc492905489"/>
      <w:bookmarkStart w:id="16" w:name="_Toc478473567"/>
      <w:r>
        <w:rPr>
          <w:szCs w:val="28"/>
        </w:rPr>
        <w:t>Fazit</w:t>
      </w:r>
      <w:bookmarkEnd w:id="15"/>
      <w:bookmarkEnd w:id="16"/>
    </w:p>
    <w:p w:rsidR="00C96B57" w:rsidRDefault="00C96B57" w:rsidP="00C96B57">
      <w:pPr>
        <w:pStyle w:val="Standardeinzug"/>
        <w:numPr>
          <w:ilvl w:val="0"/>
          <w:numId w:val="24"/>
        </w:numPr>
        <w:ind w:left="1276" w:hanging="425"/>
      </w:pPr>
      <w:r>
        <w:t xml:space="preserve">Unternehmen sind gut beraten, sich mit der Möglichkeit auseinanderzusetzten, Entwicklungskosten zu aktivieren. Der Anwendungsbereich ist nicht auf die </w:t>
      </w:r>
      <w:r>
        <w:rPr>
          <w:rStyle w:val="HervorhebungBLAU"/>
        </w:rPr>
        <w:t>Pharmaindustrie</w:t>
      </w:r>
      <w:r>
        <w:t xml:space="preserve"> begrenzt. </w:t>
      </w:r>
    </w:p>
    <w:p w:rsidR="00C96B57" w:rsidRDefault="00C96B57" w:rsidP="00C96B57">
      <w:pPr>
        <w:pStyle w:val="Standardeinzug"/>
        <w:numPr>
          <w:ilvl w:val="0"/>
          <w:numId w:val="24"/>
        </w:numPr>
        <w:ind w:left="1276" w:hanging="425"/>
      </w:pPr>
      <w:r>
        <w:rPr>
          <w:rStyle w:val="HervorhebenSCHWARZ"/>
        </w:rPr>
        <w:t>Auch mittelständische Unternehmen</w:t>
      </w:r>
      <w:r>
        <w:t xml:space="preserve"> entwickeln eine Vielzahl selbst erstellter Vermögensgegenstände, die die </w:t>
      </w:r>
      <w:r>
        <w:rPr>
          <w:rStyle w:val="HervorhebenSCHWARZ"/>
        </w:rPr>
        <w:t>Voraussetzungen für die Anwendung des Wahlrechtes erfüllen</w:t>
      </w:r>
      <w:r>
        <w:t xml:space="preserve">. Neben </w:t>
      </w:r>
      <w:r>
        <w:rPr>
          <w:rStyle w:val="HervorhebungBLAU"/>
        </w:rPr>
        <w:t>Softwareprogrammen</w:t>
      </w:r>
      <w:r>
        <w:t xml:space="preserve"> können dies zum Beispiel </w:t>
      </w:r>
      <w:r>
        <w:rPr>
          <w:rStyle w:val="HervorhebungBLAU"/>
        </w:rPr>
        <w:t>Konstruktionspläne</w:t>
      </w:r>
      <w:r>
        <w:rPr>
          <w:rStyle w:val="HervorhebenSCHWARZ"/>
        </w:rPr>
        <w:t xml:space="preserve"> </w:t>
      </w:r>
      <w:r>
        <w:rPr>
          <w:rStyle w:val="HervorhebungBLAU"/>
        </w:rPr>
        <w:t>oder</w:t>
      </w:r>
      <w:r>
        <w:rPr>
          <w:rStyle w:val="HervorhebenSCHWARZ"/>
        </w:rPr>
        <w:t xml:space="preserve"> </w:t>
      </w:r>
      <w:r>
        <w:rPr>
          <w:rStyle w:val="HervorhebungBLAU"/>
        </w:rPr>
        <w:t>chemische</w:t>
      </w:r>
      <w:r>
        <w:rPr>
          <w:rStyle w:val="HervorhebenSCHWARZ"/>
        </w:rPr>
        <w:t xml:space="preserve"> </w:t>
      </w:r>
      <w:r>
        <w:rPr>
          <w:rStyle w:val="HervorhebungBLAU"/>
        </w:rPr>
        <w:t>Rezepturen</w:t>
      </w:r>
      <w:r>
        <w:t xml:space="preserve"> sein.</w:t>
      </w:r>
    </w:p>
    <w:p w:rsidR="00C96B57" w:rsidRDefault="00C96B57" w:rsidP="00C96B57">
      <w:pPr>
        <w:pStyle w:val="Standardeinzug"/>
        <w:numPr>
          <w:ilvl w:val="0"/>
          <w:numId w:val="24"/>
        </w:numPr>
        <w:ind w:left="1276" w:hanging="425"/>
      </w:pPr>
      <w:r>
        <w:lastRenderedPageBreak/>
        <w:t xml:space="preserve">Um die </w:t>
      </w:r>
      <w:r>
        <w:rPr>
          <w:rStyle w:val="HervorhebenSCHWARZ"/>
        </w:rPr>
        <w:t xml:space="preserve">Vorteile </w:t>
      </w:r>
      <w:r>
        <w:t xml:space="preserve">der Aktivierung optimal </w:t>
      </w:r>
      <w:r>
        <w:rPr>
          <w:rStyle w:val="HervorhebenSCHWARZ"/>
        </w:rPr>
        <w:t>nutzen zu können</w:t>
      </w:r>
      <w:r>
        <w:t xml:space="preserve">, muss </w:t>
      </w:r>
      <w:r>
        <w:rPr>
          <w:rStyle w:val="HervorhebenSCHWARZ"/>
        </w:rPr>
        <w:t>frühzeitig</w:t>
      </w:r>
      <w:r>
        <w:t xml:space="preserve"> analysiert werden, welche Aktivierungsmöglichkeiten (= Bündelung der aufgelaufenen Kosten zu abgrenzbaren Vermögensgegenständen) zu bestimmten Zeitpunkten (unterjährig bzw. zum Jahresende) bestehen. </w:t>
      </w:r>
    </w:p>
    <w:p w:rsidR="00C96B57" w:rsidRDefault="00C96B57" w:rsidP="00C96B57">
      <w:pPr>
        <w:pStyle w:val="Standardeinzug"/>
        <w:numPr>
          <w:ilvl w:val="0"/>
          <w:numId w:val="24"/>
        </w:numPr>
        <w:ind w:left="1276" w:hanging="425"/>
      </w:pPr>
      <w:r>
        <w:t xml:space="preserve">Die Aktivierung ermöglicht es, die </w:t>
      </w:r>
      <w:r>
        <w:rPr>
          <w:rStyle w:val="HervorhebenSCHWARZ"/>
        </w:rPr>
        <w:t>Entwicklungskosten auf spätere Perioden zu verteilen</w:t>
      </w:r>
      <w:r>
        <w:t xml:space="preserve">, in denen gegebenenfalls die </w:t>
      </w:r>
      <w:r>
        <w:rPr>
          <w:rStyle w:val="HervorhebenSCHWARZ"/>
        </w:rPr>
        <w:t>entsprechenden Erträge vereinnahmt</w:t>
      </w:r>
      <w:r>
        <w:t xml:space="preserve"> werden, was zu einer verbesserten Darstellung der Ertragslage führen kann. </w:t>
      </w:r>
    </w:p>
    <w:p w:rsidR="00C96B57" w:rsidRDefault="00C96B57" w:rsidP="00C96B57">
      <w:pPr>
        <w:pStyle w:val="Standardeinzug"/>
        <w:numPr>
          <w:ilvl w:val="0"/>
          <w:numId w:val="25"/>
        </w:numPr>
        <w:ind w:left="1276" w:hanging="425"/>
      </w:pPr>
      <w:r>
        <w:t xml:space="preserve">Zu berücksichtigen ist jedoch, dass das Wahlrecht sowie die bestehenden Ermessensspielräume dem </w:t>
      </w:r>
      <w:r>
        <w:rPr>
          <w:rStyle w:val="HervorhebungBLAU"/>
        </w:rPr>
        <w:t>Stetigkeitsgebot</w:t>
      </w:r>
      <w:r>
        <w:t xml:space="preserve"> unterliegen (einmal aktivieren bedeutet immer aktivieren bei vergleichbarem Sachverhalt). </w:t>
      </w:r>
    </w:p>
    <w:p w:rsidR="00C96B57" w:rsidRDefault="00C96B57" w:rsidP="00C96B57">
      <w:pPr>
        <w:pStyle w:val="Standardeinzug"/>
        <w:numPr>
          <w:ilvl w:val="0"/>
          <w:numId w:val="25"/>
        </w:numPr>
        <w:ind w:left="1276" w:hanging="425"/>
      </w:pPr>
      <w:r>
        <w:t xml:space="preserve">Für Kapitalgesellschaften besteht bei der Aktivierung von selbst geschaffenen immateriellen Vermögensgegenständen eine </w:t>
      </w:r>
      <w:r>
        <w:rPr>
          <w:rStyle w:val="HervorhebungBLAU"/>
        </w:rPr>
        <w:t>Ausschüttungs- und Abführungssperre</w:t>
      </w:r>
      <w:r>
        <w:t xml:space="preserve"> in entsprechender Höhe.</w:t>
      </w:r>
      <w:r>
        <w:rPr>
          <w:rStyle w:val="Funotenzeichen"/>
        </w:rPr>
        <w:footnoteReference w:id="13"/>
      </w:r>
    </w:p>
    <w:p w:rsidR="00AD5243" w:rsidRPr="009E4F04" w:rsidRDefault="00AD5243" w:rsidP="00AD5243">
      <w:pPr>
        <w:pStyle w:val="Standardeinzug"/>
      </w:pPr>
      <w:r>
        <w:t xml:space="preserve"> </w:t>
      </w:r>
    </w:p>
    <w:p w:rsidR="006845FF" w:rsidRPr="006845FF" w:rsidRDefault="006845FF" w:rsidP="006845FF">
      <w:pPr>
        <w:pStyle w:val="Standardeinzug"/>
      </w:pPr>
    </w:p>
    <w:sectPr w:rsidR="006845FF" w:rsidRPr="006845FF" w:rsidSect="00D2476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7" w:h="16839" w:code="9"/>
      <w:pgMar w:top="1418" w:right="2551" w:bottom="1134" w:left="1134" w:header="680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5243" w:rsidRDefault="00AD5243">
      <w:pPr>
        <w:spacing w:before="0"/>
      </w:pPr>
      <w:r>
        <w:separator/>
      </w:r>
    </w:p>
  </w:endnote>
  <w:endnote w:type="continuationSeparator" w:id="0">
    <w:p w:rsidR="00AD5243" w:rsidRDefault="00AD524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-Book">
    <w:altName w:val="Vrinda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71FB" w:rsidRDefault="00F271F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264"/>
      <w:gridCol w:w="3816"/>
      <w:gridCol w:w="2358"/>
    </w:tblGrid>
    <w:tr w:rsidR="00F271FB" w:rsidRPr="0009625D" w:rsidTr="00F271FB">
      <w:trPr>
        <w:trHeight w:hRule="exact" w:val="1333"/>
      </w:trPr>
      <w:tc>
        <w:tcPr>
          <w:tcW w:w="2331" w:type="dxa"/>
          <w:vAlign w:val="bottom"/>
        </w:tcPr>
        <w:p w:rsidR="00F271FB" w:rsidRPr="005F3383" w:rsidRDefault="00F271FB" w:rsidP="00F271FB">
          <w:pPr>
            <w:tabs>
              <w:tab w:val="left" w:pos="2100"/>
            </w:tabs>
            <w:spacing w:before="0"/>
            <w:jc w:val="left"/>
            <w:rPr>
              <w:rFonts w:eastAsiaTheme="minorHAnsi" w:cstheme="minorBidi"/>
              <w:sz w:val="20"/>
              <w:lang w:eastAsia="en-US"/>
            </w:rPr>
          </w:pPr>
          <w:r w:rsidRPr="005F3383">
            <w:rPr>
              <w:sz w:val="20"/>
            </w:rPr>
            <w:t xml:space="preserve">Seite </w:t>
          </w:r>
          <w:r w:rsidRPr="005F3383">
            <w:rPr>
              <w:rFonts w:eastAsiaTheme="minorHAnsi" w:cstheme="minorBidi"/>
              <w:sz w:val="20"/>
              <w:lang w:eastAsia="en-US"/>
            </w:rPr>
            <w:fldChar w:fldCharType="begin"/>
          </w:r>
          <w:r w:rsidRPr="005F3383">
            <w:rPr>
              <w:rFonts w:eastAsiaTheme="minorHAnsi" w:cstheme="minorBidi"/>
              <w:sz w:val="20"/>
              <w:lang w:eastAsia="en-US"/>
            </w:rPr>
            <w:instrText>PAGE   \* MERGEFORMAT</w:instrText>
          </w:r>
          <w:r w:rsidRPr="005F3383">
            <w:rPr>
              <w:rFonts w:eastAsiaTheme="minorHAnsi" w:cstheme="minorBidi"/>
              <w:sz w:val="20"/>
              <w:lang w:eastAsia="en-US"/>
            </w:rPr>
            <w:fldChar w:fldCharType="separate"/>
          </w:r>
          <w:r w:rsidRPr="005F3383">
            <w:rPr>
              <w:rFonts w:eastAsiaTheme="minorHAnsi" w:cstheme="minorBidi"/>
              <w:sz w:val="20"/>
              <w:lang w:eastAsia="en-US"/>
            </w:rPr>
            <w:t>1</w:t>
          </w:r>
          <w:r w:rsidRPr="005F3383">
            <w:rPr>
              <w:rFonts w:eastAsiaTheme="minorHAnsi" w:cstheme="minorBidi"/>
              <w:sz w:val="20"/>
              <w:lang w:eastAsia="en-US"/>
            </w:rPr>
            <w:fldChar w:fldCharType="end"/>
          </w:r>
          <w:r w:rsidRPr="005F3383">
            <w:rPr>
              <w:rFonts w:eastAsiaTheme="minorHAnsi" w:cstheme="minorBidi"/>
              <w:sz w:val="20"/>
              <w:lang w:eastAsia="en-US"/>
            </w:rPr>
            <w:t xml:space="preserve"> </w:t>
          </w:r>
          <w:sdt>
            <w:sdtPr>
              <w:rPr>
                <w:rFonts w:eastAsiaTheme="minorHAnsi" w:cstheme="minorBidi"/>
                <w:sz w:val="20"/>
                <w:lang w:eastAsia="en-US"/>
              </w:rPr>
              <w:id w:val="-2146730466"/>
              <w:docPartObj>
                <w:docPartGallery w:val="Page Numbers (Top of Page)"/>
                <w:docPartUnique/>
              </w:docPartObj>
            </w:sdtPr>
            <w:sdtContent>
              <w:r w:rsidRPr="005F3383">
                <w:rPr>
                  <w:rFonts w:eastAsiaTheme="minorHAnsi" w:cstheme="minorBidi"/>
                  <w:sz w:val="20"/>
                  <w:lang w:eastAsia="en-US"/>
                </w:rPr>
                <w:t>v</w:t>
              </w:r>
              <w:bookmarkStart w:id="17" w:name="_GoBack"/>
              <w:bookmarkEnd w:id="17"/>
              <w:r w:rsidRPr="005F3383">
                <w:rPr>
                  <w:rFonts w:eastAsiaTheme="minorHAnsi" w:cstheme="minorBidi"/>
                  <w:sz w:val="20"/>
                  <w:lang w:eastAsia="en-US"/>
                </w:rPr>
                <w:t xml:space="preserve">on </w:t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fldChar w:fldCharType="begin"/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instrText xml:space="preserve"> NUMPAGES  \* Arabic  \* MERGEFORMAT </w:instrText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fldChar w:fldCharType="separate"/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t>26</w:t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fldChar w:fldCharType="end"/>
              </w:r>
            </w:sdtContent>
          </w:sdt>
        </w:p>
        <w:p w:rsidR="00F271FB" w:rsidRPr="005F3383" w:rsidRDefault="00F271FB" w:rsidP="00F271FB">
          <w:pPr>
            <w:tabs>
              <w:tab w:val="left" w:pos="2100"/>
            </w:tabs>
            <w:spacing w:before="0"/>
            <w:jc w:val="left"/>
            <w:rPr>
              <w:sz w:val="18"/>
              <w:szCs w:val="18"/>
            </w:rPr>
          </w:pPr>
          <w:r>
            <w:rPr>
              <w:rFonts w:eastAsiaTheme="minorHAnsi" w:cstheme="minorBidi"/>
              <w:b/>
              <w:color w:val="00B0F0"/>
              <w:sz w:val="18"/>
              <w:szCs w:val="18"/>
              <w:lang w:eastAsia="en-US"/>
            </w:rPr>
            <w:t>JAE 1</w:t>
          </w:r>
          <w:r w:rsidRPr="005F3383">
            <w:rPr>
              <w:rFonts w:eastAsiaTheme="minorHAnsi" w:cstheme="minorBidi"/>
              <w:b/>
              <w:color w:val="00B0F0"/>
              <w:sz w:val="18"/>
              <w:szCs w:val="18"/>
              <w:lang w:eastAsia="en-US"/>
            </w:rPr>
            <w:t xml:space="preserve"> 2025</w:t>
          </w:r>
        </w:p>
      </w:tc>
      <w:tc>
        <w:tcPr>
          <w:tcW w:w="3589" w:type="dxa"/>
          <w:vAlign w:val="bottom"/>
        </w:tcPr>
        <w:p w:rsidR="00F271FB" w:rsidRDefault="00F271FB" w:rsidP="00F271FB">
          <w:pPr>
            <w:tabs>
              <w:tab w:val="center" w:pos="4536"/>
              <w:tab w:val="right" w:pos="9072"/>
              <w:tab w:val="left" w:pos="9781"/>
            </w:tabs>
            <w:spacing w:before="0"/>
            <w:jc w:val="center"/>
            <w:rPr>
              <w:sz w:val="20"/>
            </w:rPr>
          </w:pPr>
          <w:r>
            <w:rPr>
              <w:noProof/>
              <w:sz w:val="20"/>
            </w:rPr>
            <w:drawing>
              <wp:inline distT="0" distB="0" distL="0" distR="0" wp14:anchorId="1F8F822E" wp14:editId="5F81E059">
                <wp:extent cx="2283571" cy="324000"/>
                <wp:effectExtent l="0" t="0" r="254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3571" cy="32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10" w:type="dxa"/>
          <w:vAlign w:val="bottom"/>
        </w:tcPr>
        <w:p w:rsidR="00F271FB" w:rsidRPr="0009625D" w:rsidRDefault="00F271FB" w:rsidP="00F271FB">
          <w:pPr>
            <w:tabs>
              <w:tab w:val="left" w:pos="1731"/>
            </w:tabs>
            <w:spacing w:before="0"/>
            <w:ind w:right="-110"/>
            <w:jc w:val="right"/>
            <w:rPr>
              <w:rFonts w:eastAsiaTheme="minorHAnsi" w:cstheme="minorBidi"/>
              <w:b/>
              <w:color w:val="00B0F0"/>
              <w:sz w:val="16"/>
              <w:szCs w:val="16"/>
              <w:lang w:eastAsia="en-US"/>
            </w:rPr>
          </w:pPr>
          <w:r>
            <w:rPr>
              <w:rFonts w:eastAsiaTheme="minorHAnsi" w:cstheme="minorBidi"/>
              <w:b/>
              <w:color w:val="00B0F0"/>
              <w:sz w:val="20"/>
              <w:lang w:eastAsia="en-US"/>
            </w:rPr>
            <w:t>Fachlicher Beitrag 3/1</w:t>
          </w:r>
        </w:p>
      </w:tc>
    </w:tr>
  </w:tbl>
  <w:p w:rsidR="00F17619" w:rsidRPr="00F271FB" w:rsidRDefault="00F17619" w:rsidP="00F271FB">
    <w:pPr>
      <w:pStyle w:val="Fuzeile"/>
      <w:tabs>
        <w:tab w:val="clear" w:pos="4536"/>
        <w:tab w:val="clear" w:pos="9072"/>
        <w:tab w:val="left" w:pos="1215"/>
      </w:tabs>
      <w:rPr>
        <w:rFonts w:eastAsiaTheme="minorHAnsi"/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71FB" w:rsidRDefault="00F271F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5243" w:rsidRPr="00027F72" w:rsidRDefault="00AD5243" w:rsidP="00A57184">
      <w:pPr>
        <w:spacing w:before="0"/>
        <w:jc w:val="center"/>
      </w:pPr>
      <w:r w:rsidRPr="00027F72">
        <w:separator/>
      </w:r>
      <w:r w:rsidRPr="00027F72">
        <w:separator/>
      </w:r>
    </w:p>
  </w:footnote>
  <w:footnote w:type="continuationSeparator" w:id="0">
    <w:p w:rsidR="00AD5243" w:rsidRPr="00027F72" w:rsidRDefault="00AD5243" w:rsidP="00027F72">
      <w:pPr>
        <w:spacing w:before="0"/>
        <w:jc w:val="center"/>
      </w:pPr>
      <w:r w:rsidRPr="00027F72">
        <w:t>--------------------------------------------</w:t>
      </w:r>
      <w:r w:rsidRPr="00027F72">
        <w:separator/>
      </w:r>
      <w:r w:rsidRPr="00027F72">
        <w:t>--------</w:t>
      </w:r>
    </w:p>
  </w:footnote>
  <w:footnote w:id="1">
    <w:p w:rsidR="00C96B57" w:rsidRDefault="00C96B57" w:rsidP="00C96B57">
      <w:pPr>
        <w:pStyle w:val="Funotentext"/>
      </w:pPr>
      <w:r>
        <w:rPr>
          <w:rStyle w:val="Funotenzeichen"/>
        </w:rPr>
        <w:footnoteRef/>
      </w:r>
      <w:r>
        <w:t xml:space="preserve"> Vgl. Quick / Hahn in WP Praxis 20.2016, S. 1125 ff. </w:t>
      </w:r>
    </w:p>
  </w:footnote>
  <w:footnote w:id="2">
    <w:p w:rsidR="00C96B57" w:rsidRDefault="00C96B57" w:rsidP="00C96B57">
      <w:pPr>
        <w:pStyle w:val="Funotentext"/>
      </w:pPr>
      <w:r>
        <w:rPr>
          <w:rStyle w:val="Funotenzeichen"/>
        </w:rPr>
        <w:footnoteRef/>
      </w:r>
      <w:r>
        <w:t xml:space="preserve"> Vgl. Beckscher Bilanzkommentar, 12. Auflage, Tz. 10 zu § 248 HGB</w:t>
      </w:r>
    </w:p>
  </w:footnote>
  <w:footnote w:id="3">
    <w:p w:rsidR="00C96B57" w:rsidRDefault="00C96B57" w:rsidP="00C96B57">
      <w:pPr>
        <w:pStyle w:val="Funotentext"/>
      </w:pPr>
      <w:r>
        <w:rPr>
          <w:rStyle w:val="Funotenzeichen"/>
        </w:rPr>
        <w:footnoteRef/>
      </w:r>
      <w:r>
        <w:t xml:space="preserve"> Vgl. Beckscher Bilanzkommentar, 12. Auflage, Tz. 13 zu § 248 HGB</w:t>
      </w:r>
    </w:p>
  </w:footnote>
  <w:footnote w:id="4">
    <w:p w:rsidR="00C96B57" w:rsidRDefault="00C96B57" w:rsidP="00C96B57">
      <w:pPr>
        <w:pStyle w:val="Funotentext"/>
      </w:pPr>
      <w:r>
        <w:rPr>
          <w:rStyle w:val="Funotenzeichen"/>
        </w:rPr>
        <w:footnoteRef/>
      </w:r>
      <w:r>
        <w:t xml:space="preserve"> Vgl. Beckscher Bilanzkommentar, 12. Auflage, Tz. 377 ff.  zu § 247 HGB</w:t>
      </w:r>
    </w:p>
  </w:footnote>
  <w:footnote w:id="5">
    <w:p w:rsidR="00C96B57" w:rsidRDefault="00C96B57" w:rsidP="00C96B57">
      <w:pPr>
        <w:pStyle w:val="Funotentext"/>
      </w:pPr>
      <w:r>
        <w:rPr>
          <w:rStyle w:val="Funotenzeichen"/>
        </w:rPr>
        <w:footnoteRef/>
      </w:r>
      <w:r>
        <w:t xml:space="preserve"> Vgl. DRS 24.17 ff.</w:t>
      </w:r>
    </w:p>
  </w:footnote>
  <w:footnote w:id="6">
    <w:p w:rsidR="00C96B57" w:rsidRDefault="00C96B57" w:rsidP="00C96B57">
      <w:pPr>
        <w:pStyle w:val="Funotentext"/>
        <w:rPr>
          <w:lang w:val="en-US"/>
        </w:rPr>
      </w:pPr>
      <w:r>
        <w:rPr>
          <w:rStyle w:val="Funotenzeichen"/>
        </w:rPr>
        <w:footnoteRef/>
      </w:r>
      <w:r>
        <w:rPr>
          <w:lang w:val="en-US"/>
        </w:rPr>
        <w:t xml:space="preserve"> Vgl. § 255 Abs. 2a S. 1 HGB</w:t>
      </w:r>
    </w:p>
  </w:footnote>
  <w:footnote w:id="7">
    <w:p w:rsidR="00C96B57" w:rsidRDefault="00C96B57" w:rsidP="00C96B57">
      <w:pPr>
        <w:pStyle w:val="Funotentext"/>
        <w:rPr>
          <w:lang w:val="en-US"/>
        </w:rPr>
      </w:pPr>
      <w:r>
        <w:rPr>
          <w:rStyle w:val="Funotenzeichen"/>
        </w:rPr>
        <w:footnoteRef/>
      </w:r>
      <w:r>
        <w:rPr>
          <w:lang w:val="en-US"/>
        </w:rPr>
        <w:t xml:space="preserve"> Vgl. § 255 Abs. 2a S. 2 HGB</w:t>
      </w:r>
    </w:p>
  </w:footnote>
  <w:footnote w:id="8">
    <w:p w:rsidR="00C96B57" w:rsidRDefault="00C96B57" w:rsidP="00C96B57">
      <w:pPr>
        <w:pStyle w:val="Funotentext"/>
        <w:rPr>
          <w:lang w:val="en-US"/>
        </w:rPr>
      </w:pPr>
      <w:r>
        <w:rPr>
          <w:rStyle w:val="Funotenzeichen"/>
        </w:rPr>
        <w:footnoteRef/>
      </w:r>
      <w:r>
        <w:rPr>
          <w:lang w:val="en-US"/>
        </w:rPr>
        <w:t xml:space="preserve"> Vgl. DRS 24.17 ff. i.V.m. DRS 24.6</w:t>
      </w:r>
    </w:p>
  </w:footnote>
  <w:footnote w:id="9">
    <w:p w:rsidR="00C96B57" w:rsidRDefault="00C96B57" w:rsidP="00C96B57">
      <w:pPr>
        <w:pStyle w:val="Funotentext"/>
      </w:pPr>
      <w:r>
        <w:rPr>
          <w:rStyle w:val="Funotenzeichen"/>
        </w:rPr>
        <w:footnoteRef/>
      </w:r>
      <w:r>
        <w:t xml:space="preserve"> Vgl. Beckscher Bilanzkommentar, 12. Auflage, Tz. 488 zu § 255 HGB sowie DRS 24.50</w:t>
      </w:r>
    </w:p>
  </w:footnote>
  <w:footnote w:id="10">
    <w:p w:rsidR="00C96B57" w:rsidRDefault="00C96B57" w:rsidP="00C96B57">
      <w:pPr>
        <w:pStyle w:val="Funotentext"/>
      </w:pPr>
      <w:r>
        <w:rPr>
          <w:rStyle w:val="Funotenzeichen"/>
        </w:rPr>
        <w:footnoteRef/>
      </w:r>
      <w:r>
        <w:t xml:space="preserve"> Vgl. Beckscher Bilanzkommentar, 12. Auflage, Tz. 491 zu § 255 HGB</w:t>
      </w:r>
    </w:p>
  </w:footnote>
  <w:footnote w:id="11">
    <w:p w:rsidR="00C96B57" w:rsidRDefault="00C96B57" w:rsidP="00C96B57">
      <w:pPr>
        <w:pStyle w:val="Funotentext"/>
      </w:pPr>
      <w:r>
        <w:rPr>
          <w:rStyle w:val="Funotenzeichen"/>
        </w:rPr>
        <w:footnoteRef/>
      </w:r>
      <w:r>
        <w:t xml:space="preserve"> Vgl. Beckscher Bilanzkommentar, 12. Auflage, Tz. 489 zu § 255 HGB</w:t>
      </w:r>
    </w:p>
  </w:footnote>
  <w:footnote w:id="12">
    <w:p w:rsidR="00C96B57" w:rsidRDefault="00C96B57" w:rsidP="00C96B57">
      <w:pPr>
        <w:pStyle w:val="Funotentext"/>
      </w:pPr>
      <w:r>
        <w:rPr>
          <w:rStyle w:val="Funotenzeichen"/>
        </w:rPr>
        <w:footnoteRef/>
      </w:r>
      <w:r>
        <w:t xml:space="preserve"> Vgl. § 255 Abs. 2a S. 4 HGB</w:t>
      </w:r>
    </w:p>
  </w:footnote>
  <w:footnote w:id="13">
    <w:p w:rsidR="00C96B57" w:rsidRDefault="00C96B57" w:rsidP="00C96B57">
      <w:pPr>
        <w:pStyle w:val="Funotentext"/>
      </w:pPr>
      <w:r>
        <w:rPr>
          <w:rStyle w:val="Funotenzeichen"/>
        </w:rPr>
        <w:footnoteRef/>
      </w:r>
      <w:r>
        <w:t xml:space="preserve"> Vgl. § 268 Abs. 8 HGB, § 301 S. 1 AktG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71FB" w:rsidRDefault="00F271F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8222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22"/>
    </w:tblGrid>
    <w:tr w:rsidR="00F17619" w:rsidRPr="00E57793" w:rsidTr="00E95D36">
      <w:trPr>
        <w:trHeight w:val="515"/>
      </w:trPr>
      <w:tc>
        <w:tcPr>
          <w:tcW w:w="8222" w:type="dxa"/>
        </w:tcPr>
        <w:p w:rsidR="00F17619" w:rsidRPr="00543458" w:rsidRDefault="00F17619" w:rsidP="0067329A">
          <w:pPr>
            <w:pStyle w:val="Kopfzeile"/>
            <w:pBdr>
              <w:bottom w:val="none" w:sz="0" w:space="0" w:color="auto"/>
            </w:pBdr>
            <w:tabs>
              <w:tab w:val="clear" w:pos="7938"/>
              <w:tab w:val="right" w:pos="8184"/>
            </w:tabs>
            <w:jc w:val="left"/>
            <w:rPr>
              <w:smallCaps/>
              <w:sz w:val="26"/>
              <w:szCs w:val="26"/>
            </w:rPr>
          </w:pPr>
          <w:r w:rsidRPr="00B55CE8">
            <w:rPr>
              <w:smallCaps/>
              <w:noProof/>
              <w:sz w:val="26"/>
              <w:szCs w:val="26"/>
            </w:rPr>
            <mc:AlternateContent>
              <mc:Choice Requires="wps">
                <w:drawing>
                  <wp:anchor distT="0" distB="0" distL="114300" distR="114300" simplePos="0" relativeHeight="251714560" behindDoc="0" locked="0" layoutInCell="1" allowOverlap="1" wp14:anchorId="3D1235B5" wp14:editId="7EA3448E">
                    <wp:simplePos x="0" y="0"/>
                    <wp:positionH relativeFrom="column">
                      <wp:posOffset>5473700</wp:posOffset>
                    </wp:positionH>
                    <wp:positionV relativeFrom="paragraph">
                      <wp:posOffset>-492760</wp:posOffset>
                    </wp:positionV>
                    <wp:extent cx="0" cy="10800000"/>
                    <wp:effectExtent l="0" t="0" r="19050" b="20955"/>
                    <wp:wrapNone/>
                    <wp:docPr id="168" name="Gerade Verbindung 16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0" cy="1080000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5B9CB7B4" id="Gerade Verbindung 168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1pt,-38.8pt" to="431pt,8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" strokecolor="#bfbfbf [2412]" strokeweight="1pt"/>
                </w:pict>
              </mc:Fallback>
            </mc:AlternateContent>
          </w:r>
        </w:p>
      </w:tc>
    </w:tr>
  </w:tbl>
  <w:p w:rsidR="00F17619" w:rsidRPr="00E57793" w:rsidRDefault="00F17619" w:rsidP="00AD5243">
    <w:pPr>
      <w:pStyle w:val="Kopfzeile"/>
      <w:pBdr>
        <w:bottom w:val="none" w:sz="0" w:space="0" w:color="auto"/>
      </w:pBdr>
      <w:tabs>
        <w:tab w:val="clear" w:pos="7938"/>
        <w:tab w:val="right" w:pos="9214"/>
      </w:tabs>
      <w:spacing w:befor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71FB" w:rsidRDefault="00F271F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33C3F3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A6458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88D9E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7A2702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F84E9B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C46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ECC18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BE124A8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B515072"/>
    <w:multiLevelType w:val="hybridMultilevel"/>
    <w:tmpl w:val="EFA4017E"/>
    <w:lvl w:ilvl="0" w:tplc="0407000B">
      <w:start w:val="1"/>
      <w:numFmt w:val="bullet"/>
      <w:lvlText w:val=""/>
      <w:lvlJc w:val="left"/>
      <w:pPr>
        <w:ind w:left="1078" w:hanging="360"/>
      </w:pPr>
      <w:rPr>
        <w:rFonts w:ascii="Wingdings" w:hAnsi="Wingdings" w:hint="default"/>
        <w:color w:val="000000" w:themeColor="text1"/>
      </w:rPr>
    </w:lvl>
    <w:lvl w:ilvl="1" w:tplc="04070003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9" w15:restartNumberingAfterBreak="0">
    <w:nsid w:val="10AC517C"/>
    <w:multiLevelType w:val="hybridMultilevel"/>
    <w:tmpl w:val="2CC01128"/>
    <w:lvl w:ilvl="0" w:tplc="6A12C4B6">
      <w:start w:val="1"/>
      <w:numFmt w:val="bullet"/>
      <w:pStyle w:val="Aufzhlungszeichen"/>
      <w:lvlText w:val=""/>
      <w:lvlJc w:val="left"/>
      <w:pPr>
        <w:ind w:left="1078" w:hanging="360"/>
      </w:pPr>
      <w:rPr>
        <w:rFonts w:ascii="Symbol" w:hAnsi="Symbol" w:hint="default"/>
        <w:color w:val="000000" w:themeColor="text1"/>
      </w:rPr>
    </w:lvl>
    <w:lvl w:ilvl="1" w:tplc="04070003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10" w15:restartNumberingAfterBreak="0">
    <w:nsid w:val="16143A6F"/>
    <w:multiLevelType w:val="multilevel"/>
    <w:tmpl w:val="5E5E9E74"/>
    <w:styleLink w:val="Listen1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6E952C7"/>
    <w:multiLevelType w:val="hybridMultilevel"/>
    <w:tmpl w:val="CAE410A0"/>
    <w:lvl w:ilvl="0" w:tplc="6A12C4B6">
      <w:start w:val="1"/>
      <w:numFmt w:val="bullet"/>
      <w:lvlText w:val=""/>
      <w:lvlJc w:val="left"/>
      <w:pPr>
        <w:ind w:left="1078" w:hanging="360"/>
      </w:pPr>
      <w:rPr>
        <w:rFonts w:ascii="Symbol" w:hAnsi="Symbol" w:hint="default"/>
        <w:color w:val="000000" w:themeColor="text1"/>
      </w:rPr>
    </w:lvl>
    <w:lvl w:ilvl="1" w:tplc="4B241F8A">
      <w:start w:val="1"/>
      <w:numFmt w:val="bullet"/>
      <w:lvlText w:val=""/>
      <w:lvlJc w:val="left"/>
      <w:pPr>
        <w:ind w:left="1798" w:hanging="360"/>
      </w:pPr>
      <w:rPr>
        <w:rFonts w:ascii="Symbol" w:hAnsi="Symbol" w:hint="default"/>
        <w:color w:val="000000" w:themeColor="text1"/>
      </w:rPr>
    </w:lvl>
    <w:lvl w:ilvl="2" w:tplc="04070005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12" w15:restartNumberingAfterBreak="0">
    <w:nsid w:val="45C55E13"/>
    <w:multiLevelType w:val="hybridMultilevel"/>
    <w:tmpl w:val="B860BA40"/>
    <w:lvl w:ilvl="0" w:tplc="0407000B">
      <w:start w:val="1"/>
      <w:numFmt w:val="bullet"/>
      <w:lvlText w:val=""/>
      <w:lvlJc w:val="left"/>
      <w:pPr>
        <w:ind w:left="1078" w:hanging="360"/>
      </w:pPr>
      <w:rPr>
        <w:rFonts w:ascii="Wingdings" w:hAnsi="Wingdings" w:hint="default"/>
        <w:color w:val="000000" w:themeColor="text1"/>
      </w:rPr>
    </w:lvl>
    <w:lvl w:ilvl="1" w:tplc="04070003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13" w15:restartNumberingAfterBreak="0">
    <w:nsid w:val="48122A12"/>
    <w:multiLevelType w:val="hybridMultilevel"/>
    <w:tmpl w:val="56E4CDEA"/>
    <w:lvl w:ilvl="0" w:tplc="6A12C4B6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  <w:color w:val="000000" w:themeColor="text1"/>
      </w:rPr>
    </w:lvl>
    <w:lvl w:ilvl="1" w:tplc="A93E361A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spacing w:val="-560"/>
        <w:u w:color="000000" w:themeColor="text1"/>
      </w:rPr>
    </w:lvl>
    <w:lvl w:ilvl="2" w:tplc="0407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4" w15:restartNumberingAfterBreak="0">
    <w:nsid w:val="49DE7B58"/>
    <w:multiLevelType w:val="hybridMultilevel"/>
    <w:tmpl w:val="A56A8562"/>
    <w:lvl w:ilvl="0" w:tplc="6DEC9A4A">
      <w:start w:val="1"/>
      <w:numFmt w:val="decimal"/>
      <w:lvlText w:val="%1."/>
      <w:lvlJc w:val="left"/>
      <w:pPr>
        <w:ind w:left="1569" w:hanging="360"/>
      </w:pPr>
      <w:rPr>
        <w:b w:val="0"/>
      </w:rPr>
    </w:lvl>
    <w:lvl w:ilvl="1" w:tplc="04070019">
      <w:start w:val="1"/>
      <w:numFmt w:val="lowerLetter"/>
      <w:lvlText w:val="%2."/>
      <w:lvlJc w:val="left"/>
      <w:pPr>
        <w:ind w:left="2289" w:hanging="360"/>
      </w:pPr>
    </w:lvl>
    <w:lvl w:ilvl="2" w:tplc="0407001B">
      <w:start w:val="1"/>
      <w:numFmt w:val="lowerRoman"/>
      <w:lvlText w:val="%3."/>
      <w:lvlJc w:val="right"/>
      <w:pPr>
        <w:ind w:left="3009" w:hanging="180"/>
      </w:pPr>
    </w:lvl>
    <w:lvl w:ilvl="3" w:tplc="0407000F">
      <w:start w:val="1"/>
      <w:numFmt w:val="decimal"/>
      <w:lvlText w:val="%4."/>
      <w:lvlJc w:val="left"/>
      <w:pPr>
        <w:ind w:left="3729" w:hanging="360"/>
      </w:pPr>
    </w:lvl>
    <w:lvl w:ilvl="4" w:tplc="04070019">
      <w:start w:val="1"/>
      <w:numFmt w:val="lowerLetter"/>
      <w:lvlText w:val="%5."/>
      <w:lvlJc w:val="left"/>
      <w:pPr>
        <w:ind w:left="4449" w:hanging="360"/>
      </w:pPr>
    </w:lvl>
    <w:lvl w:ilvl="5" w:tplc="0407001B">
      <w:start w:val="1"/>
      <w:numFmt w:val="lowerRoman"/>
      <w:lvlText w:val="%6."/>
      <w:lvlJc w:val="right"/>
      <w:pPr>
        <w:ind w:left="5169" w:hanging="180"/>
      </w:pPr>
    </w:lvl>
    <w:lvl w:ilvl="6" w:tplc="0407000F">
      <w:start w:val="1"/>
      <w:numFmt w:val="decimal"/>
      <w:lvlText w:val="%7."/>
      <w:lvlJc w:val="left"/>
      <w:pPr>
        <w:ind w:left="5889" w:hanging="360"/>
      </w:pPr>
    </w:lvl>
    <w:lvl w:ilvl="7" w:tplc="04070019">
      <w:start w:val="1"/>
      <w:numFmt w:val="lowerLetter"/>
      <w:lvlText w:val="%8."/>
      <w:lvlJc w:val="left"/>
      <w:pPr>
        <w:ind w:left="6609" w:hanging="360"/>
      </w:pPr>
    </w:lvl>
    <w:lvl w:ilvl="8" w:tplc="0407001B">
      <w:start w:val="1"/>
      <w:numFmt w:val="lowerRoman"/>
      <w:lvlText w:val="%9."/>
      <w:lvlJc w:val="right"/>
      <w:pPr>
        <w:ind w:left="7329" w:hanging="180"/>
      </w:pPr>
    </w:lvl>
  </w:abstractNum>
  <w:abstractNum w:abstractNumId="15" w15:restartNumberingAfterBreak="0">
    <w:nsid w:val="4FAE15F5"/>
    <w:multiLevelType w:val="hybridMultilevel"/>
    <w:tmpl w:val="AD82BEA8"/>
    <w:lvl w:ilvl="0" w:tplc="C1BA9E50">
      <w:start w:val="5"/>
      <w:numFmt w:val="decimal"/>
      <w:lvlText w:val="%1."/>
      <w:lvlJc w:val="left"/>
      <w:pPr>
        <w:ind w:left="1569" w:hanging="360"/>
      </w:pPr>
      <w:rPr>
        <w:b w:val="0"/>
      </w:rPr>
    </w:lvl>
    <w:lvl w:ilvl="1" w:tplc="04070019">
      <w:start w:val="1"/>
      <w:numFmt w:val="lowerLetter"/>
      <w:lvlText w:val="%2."/>
      <w:lvlJc w:val="left"/>
      <w:pPr>
        <w:ind w:left="2289" w:hanging="360"/>
      </w:pPr>
    </w:lvl>
    <w:lvl w:ilvl="2" w:tplc="0407001B">
      <w:start w:val="1"/>
      <w:numFmt w:val="lowerRoman"/>
      <w:lvlText w:val="%3."/>
      <w:lvlJc w:val="right"/>
      <w:pPr>
        <w:ind w:left="3009" w:hanging="180"/>
      </w:pPr>
    </w:lvl>
    <w:lvl w:ilvl="3" w:tplc="0407000F">
      <w:start w:val="1"/>
      <w:numFmt w:val="decimal"/>
      <w:lvlText w:val="%4."/>
      <w:lvlJc w:val="left"/>
      <w:pPr>
        <w:ind w:left="3729" w:hanging="360"/>
      </w:pPr>
    </w:lvl>
    <w:lvl w:ilvl="4" w:tplc="04070019">
      <w:start w:val="1"/>
      <w:numFmt w:val="lowerLetter"/>
      <w:lvlText w:val="%5."/>
      <w:lvlJc w:val="left"/>
      <w:pPr>
        <w:ind w:left="4449" w:hanging="360"/>
      </w:pPr>
    </w:lvl>
    <w:lvl w:ilvl="5" w:tplc="0407001B">
      <w:start w:val="1"/>
      <w:numFmt w:val="lowerRoman"/>
      <w:lvlText w:val="%6."/>
      <w:lvlJc w:val="right"/>
      <w:pPr>
        <w:ind w:left="5169" w:hanging="180"/>
      </w:pPr>
    </w:lvl>
    <w:lvl w:ilvl="6" w:tplc="0407000F">
      <w:start w:val="1"/>
      <w:numFmt w:val="decimal"/>
      <w:lvlText w:val="%7."/>
      <w:lvlJc w:val="left"/>
      <w:pPr>
        <w:ind w:left="5889" w:hanging="360"/>
      </w:pPr>
    </w:lvl>
    <w:lvl w:ilvl="7" w:tplc="04070019">
      <w:start w:val="1"/>
      <w:numFmt w:val="lowerLetter"/>
      <w:lvlText w:val="%8."/>
      <w:lvlJc w:val="left"/>
      <w:pPr>
        <w:ind w:left="6609" w:hanging="360"/>
      </w:pPr>
    </w:lvl>
    <w:lvl w:ilvl="8" w:tplc="0407001B">
      <w:start w:val="1"/>
      <w:numFmt w:val="lowerRoman"/>
      <w:lvlText w:val="%9."/>
      <w:lvlJc w:val="right"/>
      <w:pPr>
        <w:ind w:left="7329" w:hanging="180"/>
      </w:pPr>
    </w:lvl>
  </w:abstractNum>
  <w:abstractNum w:abstractNumId="16" w15:restartNumberingAfterBreak="0">
    <w:nsid w:val="62255FA1"/>
    <w:multiLevelType w:val="multilevel"/>
    <w:tmpl w:val="3F56580C"/>
    <w:numStyleLink w:val="Aufzhlungszeichena"/>
  </w:abstractNum>
  <w:abstractNum w:abstractNumId="17" w15:restartNumberingAfterBreak="0">
    <w:nsid w:val="62CB553E"/>
    <w:multiLevelType w:val="hybridMultilevel"/>
    <w:tmpl w:val="CD3E431C"/>
    <w:lvl w:ilvl="0" w:tplc="0407000B">
      <w:start w:val="1"/>
      <w:numFmt w:val="bullet"/>
      <w:lvlText w:val=""/>
      <w:lvlJc w:val="left"/>
      <w:pPr>
        <w:ind w:left="1078" w:hanging="360"/>
      </w:pPr>
      <w:rPr>
        <w:rFonts w:ascii="Wingdings" w:hAnsi="Wingdings" w:hint="default"/>
        <w:color w:val="000000" w:themeColor="text1"/>
      </w:rPr>
    </w:lvl>
    <w:lvl w:ilvl="1" w:tplc="04070003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18" w15:restartNumberingAfterBreak="0">
    <w:nsid w:val="650C432A"/>
    <w:multiLevelType w:val="multilevel"/>
    <w:tmpl w:val="3F56580C"/>
    <w:styleLink w:val="Aufzhlungszeichena"/>
    <w:lvl w:ilvl="0">
      <w:start w:val="1"/>
      <w:numFmt w:val="lowerLetter"/>
      <w:pStyle w:val="Aufzhlungszeichen2"/>
      <w:lvlText w:val="%1."/>
      <w:lvlJc w:val="left"/>
      <w:pPr>
        <w:ind w:left="1779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 w:themeColor="text1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"/>
      <w:lvlJc w:val="left"/>
      <w:pPr>
        <w:ind w:left="180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6062E68"/>
    <w:multiLevelType w:val="hybridMultilevel"/>
    <w:tmpl w:val="014C0C66"/>
    <w:lvl w:ilvl="0" w:tplc="04070019">
      <w:start w:val="1"/>
      <w:numFmt w:val="lowerLetter"/>
      <w:lvlText w:val="%1."/>
      <w:lvlJc w:val="left"/>
      <w:pPr>
        <w:ind w:left="1573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color w:val="000000" w:themeColor="text1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70019">
      <w:start w:val="1"/>
      <w:numFmt w:val="lowerLetter"/>
      <w:lvlText w:val="%2."/>
      <w:lvlJc w:val="left"/>
      <w:pPr>
        <w:ind w:left="2293" w:hanging="360"/>
      </w:pPr>
    </w:lvl>
    <w:lvl w:ilvl="2" w:tplc="0407001B">
      <w:start w:val="1"/>
      <w:numFmt w:val="lowerRoman"/>
      <w:lvlText w:val="%3."/>
      <w:lvlJc w:val="right"/>
      <w:pPr>
        <w:ind w:left="3013" w:hanging="180"/>
      </w:pPr>
    </w:lvl>
    <w:lvl w:ilvl="3" w:tplc="0407000F">
      <w:start w:val="1"/>
      <w:numFmt w:val="decimal"/>
      <w:lvlText w:val="%4."/>
      <w:lvlJc w:val="left"/>
      <w:pPr>
        <w:ind w:left="3733" w:hanging="360"/>
      </w:pPr>
    </w:lvl>
    <w:lvl w:ilvl="4" w:tplc="04070019">
      <w:start w:val="1"/>
      <w:numFmt w:val="lowerLetter"/>
      <w:lvlText w:val="%5."/>
      <w:lvlJc w:val="left"/>
      <w:pPr>
        <w:ind w:left="4453" w:hanging="360"/>
      </w:pPr>
    </w:lvl>
    <w:lvl w:ilvl="5" w:tplc="0407001B">
      <w:start w:val="1"/>
      <w:numFmt w:val="lowerRoman"/>
      <w:lvlText w:val="%6."/>
      <w:lvlJc w:val="right"/>
      <w:pPr>
        <w:ind w:left="5173" w:hanging="180"/>
      </w:pPr>
    </w:lvl>
    <w:lvl w:ilvl="6" w:tplc="0407000F">
      <w:start w:val="1"/>
      <w:numFmt w:val="decimal"/>
      <w:lvlText w:val="%7."/>
      <w:lvlJc w:val="left"/>
      <w:pPr>
        <w:ind w:left="5893" w:hanging="360"/>
      </w:pPr>
    </w:lvl>
    <w:lvl w:ilvl="7" w:tplc="04070019">
      <w:start w:val="1"/>
      <w:numFmt w:val="lowerLetter"/>
      <w:lvlText w:val="%8."/>
      <w:lvlJc w:val="left"/>
      <w:pPr>
        <w:ind w:left="6613" w:hanging="360"/>
      </w:pPr>
    </w:lvl>
    <w:lvl w:ilvl="8" w:tplc="0407001B">
      <w:start w:val="1"/>
      <w:numFmt w:val="lowerRoman"/>
      <w:lvlText w:val="%9."/>
      <w:lvlJc w:val="right"/>
      <w:pPr>
        <w:ind w:left="7333" w:hanging="180"/>
      </w:pPr>
    </w:lvl>
  </w:abstractNum>
  <w:abstractNum w:abstractNumId="20" w15:restartNumberingAfterBreak="0">
    <w:nsid w:val="73500CC4"/>
    <w:multiLevelType w:val="hybridMultilevel"/>
    <w:tmpl w:val="BFA48AB0"/>
    <w:lvl w:ilvl="0" w:tplc="0407000B">
      <w:start w:val="1"/>
      <w:numFmt w:val="bullet"/>
      <w:lvlText w:val=""/>
      <w:lvlJc w:val="left"/>
      <w:pPr>
        <w:ind w:left="1078" w:hanging="360"/>
      </w:pPr>
      <w:rPr>
        <w:rFonts w:ascii="Wingdings" w:hAnsi="Wingdings" w:hint="default"/>
        <w:color w:val="000000" w:themeColor="text1"/>
      </w:rPr>
    </w:lvl>
    <w:lvl w:ilvl="1" w:tplc="04070003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21" w15:restartNumberingAfterBreak="0">
    <w:nsid w:val="7D8A6FE6"/>
    <w:multiLevelType w:val="multilevel"/>
    <w:tmpl w:val="4F7A7A90"/>
    <w:lvl w:ilvl="0">
      <w:start w:val="1"/>
      <w:numFmt w:val="decimal"/>
      <w:pStyle w:val="berschrift1"/>
      <w:lvlText w:val="%1."/>
      <w:lvlJc w:val="left"/>
      <w:pPr>
        <w:tabs>
          <w:tab w:val="num" w:pos="964"/>
        </w:tabs>
        <w:ind w:left="964" w:hanging="68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389"/>
        </w:tabs>
        <w:ind w:left="1389" w:hanging="680"/>
      </w:pPr>
      <w:rPr>
        <w:rFonts w:ascii="Century Gothic" w:hAnsi="Century Gothic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1389"/>
        </w:tabs>
        <w:ind w:left="1389" w:hanging="68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573"/>
        </w:tabs>
        <w:ind w:left="1573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717"/>
        </w:tabs>
        <w:ind w:left="1717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861"/>
        </w:tabs>
        <w:ind w:left="1861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2005"/>
        </w:tabs>
        <w:ind w:left="2005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2149"/>
        </w:tabs>
        <w:ind w:left="2149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2869"/>
        </w:tabs>
        <w:ind w:left="2293" w:hanging="1584"/>
      </w:pPr>
    </w:lvl>
  </w:abstractNum>
  <w:num w:numId="1">
    <w:abstractNumId w:val="21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  <w:num w:numId="12">
    <w:abstractNumId w:val="18"/>
  </w:num>
  <w:num w:numId="13">
    <w:abstractNumId w:val="16"/>
    <w:lvlOverride w:ilvl="0">
      <w:lvl w:ilvl="0">
        <w:start w:val="1"/>
        <w:numFmt w:val="lowerLetter"/>
        <w:pStyle w:val="Aufzhlungszeichen2"/>
        <w:lvlText w:val="%1."/>
        <w:lvlJc w:val="left"/>
        <w:pPr>
          <w:ind w:left="1779" w:hanging="360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 w:themeColor="text1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bullet"/>
        <w:lvlText w:val=""/>
        <w:lvlJc w:val="left"/>
        <w:pPr>
          <w:ind w:left="1800" w:hanging="360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2520" w:hanging="180"/>
        </w:pPr>
        <w:rPr>
          <w:rFonts w:ascii="Symbol" w:hAnsi="Symbol" w:hint="default"/>
          <w:color w:val="auto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3960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4680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6120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6840" w:hanging="180"/>
        </w:pPr>
      </w:lvl>
    </w:lvlOverride>
  </w:num>
  <w:num w:numId="14">
    <w:abstractNumId w:val="8"/>
  </w:num>
  <w:num w:numId="15">
    <w:abstractNumId w:val="12"/>
  </w:num>
  <w:num w:numId="16">
    <w:abstractNumId w:val="20"/>
  </w:num>
  <w:num w:numId="17">
    <w:abstractNumId w:val="17"/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16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13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D5243"/>
    <w:rsid w:val="00002230"/>
    <w:rsid w:val="000030A9"/>
    <w:rsid w:val="000037E7"/>
    <w:rsid w:val="0001477C"/>
    <w:rsid w:val="00017053"/>
    <w:rsid w:val="00023347"/>
    <w:rsid w:val="00027F72"/>
    <w:rsid w:val="0003242D"/>
    <w:rsid w:val="0003459D"/>
    <w:rsid w:val="000369A7"/>
    <w:rsid w:val="000403E8"/>
    <w:rsid w:val="0004061E"/>
    <w:rsid w:val="0004384E"/>
    <w:rsid w:val="000506E8"/>
    <w:rsid w:val="0005326E"/>
    <w:rsid w:val="000570E5"/>
    <w:rsid w:val="00064F40"/>
    <w:rsid w:val="00071D42"/>
    <w:rsid w:val="00073CD0"/>
    <w:rsid w:val="00080B9A"/>
    <w:rsid w:val="000867DA"/>
    <w:rsid w:val="00086B8A"/>
    <w:rsid w:val="00097B2B"/>
    <w:rsid w:val="000B3FD8"/>
    <w:rsid w:val="000C6D0B"/>
    <w:rsid w:val="000D3169"/>
    <w:rsid w:val="000E1C6F"/>
    <w:rsid w:val="000E1D34"/>
    <w:rsid w:val="000E26F7"/>
    <w:rsid w:val="000E468C"/>
    <w:rsid w:val="000F2AE5"/>
    <w:rsid w:val="000F6E0C"/>
    <w:rsid w:val="00111AC6"/>
    <w:rsid w:val="0011238E"/>
    <w:rsid w:val="00114D77"/>
    <w:rsid w:val="0011587E"/>
    <w:rsid w:val="00132B84"/>
    <w:rsid w:val="00134253"/>
    <w:rsid w:val="00141E51"/>
    <w:rsid w:val="001468F6"/>
    <w:rsid w:val="001553DD"/>
    <w:rsid w:val="00165A53"/>
    <w:rsid w:val="001909B6"/>
    <w:rsid w:val="00191889"/>
    <w:rsid w:val="00193E38"/>
    <w:rsid w:val="0019585B"/>
    <w:rsid w:val="001A37C2"/>
    <w:rsid w:val="001A5A55"/>
    <w:rsid w:val="001B3A82"/>
    <w:rsid w:val="001B3F50"/>
    <w:rsid w:val="001B69A6"/>
    <w:rsid w:val="001B7E25"/>
    <w:rsid w:val="001C0D6B"/>
    <w:rsid w:val="001D22E2"/>
    <w:rsid w:val="001D2C55"/>
    <w:rsid w:val="001E06CD"/>
    <w:rsid w:val="001E0CF6"/>
    <w:rsid w:val="001E2F32"/>
    <w:rsid w:val="001E5AE9"/>
    <w:rsid w:val="001E6C99"/>
    <w:rsid w:val="001E7A82"/>
    <w:rsid w:val="001F04DD"/>
    <w:rsid w:val="001F3EFB"/>
    <w:rsid w:val="001F5E74"/>
    <w:rsid w:val="00204DB8"/>
    <w:rsid w:val="00216347"/>
    <w:rsid w:val="00222611"/>
    <w:rsid w:val="00222F6B"/>
    <w:rsid w:val="00232849"/>
    <w:rsid w:val="00233A62"/>
    <w:rsid w:val="00235C76"/>
    <w:rsid w:val="00240D83"/>
    <w:rsid w:val="00257647"/>
    <w:rsid w:val="00262D49"/>
    <w:rsid w:val="0026535C"/>
    <w:rsid w:val="00273C16"/>
    <w:rsid w:val="00277990"/>
    <w:rsid w:val="00282720"/>
    <w:rsid w:val="0028392A"/>
    <w:rsid w:val="00284FA6"/>
    <w:rsid w:val="00285560"/>
    <w:rsid w:val="002947FE"/>
    <w:rsid w:val="0029592F"/>
    <w:rsid w:val="002965B4"/>
    <w:rsid w:val="002A064F"/>
    <w:rsid w:val="002B17CE"/>
    <w:rsid w:val="002B298F"/>
    <w:rsid w:val="002B2ED1"/>
    <w:rsid w:val="002B5431"/>
    <w:rsid w:val="002C48EB"/>
    <w:rsid w:val="002D0908"/>
    <w:rsid w:val="002D10F6"/>
    <w:rsid w:val="002E21AE"/>
    <w:rsid w:val="002E2D9E"/>
    <w:rsid w:val="002E47A1"/>
    <w:rsid w:val="002F09D8"/>
    <w:rsid w:val="002F6B99"/>
    <w:rsid w:val="002F771F"/>
    <w:rsid w:val="003031D0"/>
    <w:rsid w:val="00326B58"/>
    <w:rsid w:val="0033212B"/>
    <w:rsid w:val="00335356"/>
    <w:rsid w:val="00340216"/>
    <w:rsid w:val="00344F54"/>
    <w:rsid w:val="00347EB4"/>
    <w:rsid w:val="00364269"/>
    <w:rsid w:val="00372498"/>
    <w:rsid w:val="00376DCD"/>
    <w:rsid w:val="0038659C"/>
    <w:rsid w:val="003932A1"/>
    <w:rsid w:val="00393514"/>
    <w:rsid w:val="003A5CB1"/>
    <w:rsid w:val="003A6FEB"/>
    <w:rsid w:val="003B0816"/>
    <w:rsid w:val="003B7B20"/>
    <w:rsid w:val="003D144E"/>
    <w:rsid w:val="003E348F"/>
    <w:rsid w:val="003F5E1A"/>
    <w:rsid w:val="0040208D"/>
    <w:rsid w:val="00412262"/>
    <w:rsid w:val="0041402E"/>
    <w:rsid w:val="004151D2"/>
    <w:rsid w:val="00417826"/>
    <w:rsid w:val="00423E95"/>
    <w:rsid w:val="00425B13"/>
    <w:rsid w:val="00431704"/>
    <w:rsid w:val="00437250"/>
    <w:rsid w:val="00440D21"/>
    <w:rsid w:val="004413E3"/>
    <w:rsid w:val="00442DAC"/>
    <w:rsid w:val="004454EC"/>
    <w:rsid w:val="004459C7"/>
    <w:rsid w:val="00445BB8"/>
    <w:rsid w:val="0044742E"/>
    <w:rsid w:val="0045388B"/>
    <w:rsid w:val="00454705"/>
    <w:rsid w:val="004569B6"/>
    <w:rsid w:val="004577C6"/>
    <w:rsid w:val="00461F88"/>
    <w:rsid w:val="0046431F"/>
    <w:rsid w:val="00465DB3"/>
    <w:rsid w:val="00466E14"/>
    <w:rsid w:val="00470141"/>
    <w:rsid w:val="0047036A"/>
    <w:rsid w:val="0047595D"/>
    <w:rsid w:val="004761D1"/>
    <w:rsid w:val="00484D1C"/>
    <w:rsid w:val="004867BC"/>
    <w:rsid w:val="00490E25"/>
    <w:rsid w:val="00494464"/>
    <w:rsid w:val="004A0FD9"/>
    <w:rsid w:val="004A60A1"/>
    <w:rsid w:val="004B047B"/>
    <w:rsid w:val="004B3606"/>
    <w:rsid w:val="004B5526"/>
    <w:rsid w:val="004C60FF"/>
    <w:rsid w:val="004D2C10"/>
    <w:rsid w:val="004D6C91"/>
    <w:rsid w:val="004E5FF2"/>
    <w:rsid w:val="004E699D"/>
    <w:rsid w:val="004F0E99"/>
    <w:rsid w:val="004F1E92"/>
    <w:rsid w:val="00500ABC"/>
    <w:rsid w:val="0050152B"/>
    <w:rsid w:val="005060F4"/>
    <w:rsid w:val="00510FD6"/>
    <w:rsid w:val="00523B09"/>
    <w:rsid w:val="00525278"/>
    <w:rsid w:val="005375A2"/>
    <w:rsid w:val="00540AFC"/>
    <w:rsid w:val="00541172"/>
    <w:rsid w:val="00543458"/>
    <w:rsid w:val="00545197"/>
    <w:rsid w:val="00546136"/>
    <w:rsid w:val="005479AE"/>
    <w:rsid w:val="00547A6B"/>
    <w:rsid w:val="0055156D"/>
    <w:rsid w:val="00554725"/>
    <w:rsid w:val="00563647"/>
    <w:rsid w:val="00566F02"/>
    <w:rsid w:val="005801C0"/>
    <w:rsid w:val="00581018"/>
    <w:rsid w:val="00583AA1"/>
    <w:rsid w:val="005921A2"/>
    <w:rsid w:val="005967E6"/>
    <w:rsid w:val="0059713E"/>
    <w:rsid w:val="005975D2"/>
    <w:rsid w:val="005A15BE"/>
    <w:rsid w:val="005B0091"/>
    <w:rsid w:val="005B0816"/>
    <w:rsid w:val="005B57D7"/>
    <w:rsid w:val="005B7F7F"/>
    <w:rsid w:val="005C5E63"/>
    <w:rsid w:val="005D1023"/>
    <w:rsid w:val="005D1672"/>
    <w:rsid w:val="005D24A8"/>
    <w:rsid w:val="005D26BD"/>
    <w:rsid w:val="005D7B1D"/>
    <w:rsid w:val="005E432D"/>
    <w:rsid w:val="005E59A2"/>
    <w:rsid w:val="005F04BE"/>
    <w:rsid w:val="005F28E1"/>
    <w:rsid w:val="005F2D37"/>
    <w:rsid w:val="005F6A11"/>
    <w:rsid w:val="005F6F40"/>
    <w:rsid w:val="006048A7"/>
    <w:rsid w:val="00607A8D"/>
    <w:rsid w:val="00616DED"/>
    <w:rsid w:val="006208BA"/>
    <w:rsid w:val="006232B9"/>
    <w:rsid w:val="006261BA"/>
    <w:rsid w:val="00626A31"/>
    <w:rsid w:val="0063448E"/>
    <w:rsid w:val="006454CF"/>
    <w:rsid w:val="00652CE1"/>
    <w:rsid w:val="00656287"/>
    <w:rsid w:val="0066763B"/>
    <w:rsid w:val="00670110"/>
    <w:rsid w:val="006728F1"/>
    <w:rsid w:val="0067329A"/>
    <w:rsid w:val="006845FF"/>
    <w:rsid w:val="00684B37"/>
    <w:rsid w:val="00685E3C"/>
    <w:rsid w:val="006A0BE2"/>
    <w:rsid w:val="006C4228"/>
    <w:rsid w:val="006C61B8"/>
    <w:rsid w:val="006C6C28"/>
    <w:rsid w:val="006D00C7"/>
    <w:rsid w:val="006D45A1"/>
    <w:rsid w:val="006E24F6"/>
    <w:rsid w:val="006E28A4"/>
    <w:rsid w:val="006E7126"/>
    <w:rsid w:val="006F55FC"/>
    <w:rsid w:val="007026D1"/>
    <w:rsid w:val="007039EB"/>
    <w:rsid w:val="00703A54"/>
    <w:rsid w:val="007141EB"/>
    <w:rsid w:val="0071605E"/>
    <w:rsid w:val="00716DD5"/>
    <w:rsid w:val="00720E5C"/>
    <w:rsid w:val="00722BA7"/>
    <w:rsid w:val="007300B2"/>
    <w:rsid w:val="00744772"/>
    <w:rsid w:val="007515F6"/>
    <w:rsid w:val="00752231"/>
    <w:rsid w:val="007530D0"/>
    <w:rsid w:val="00762B69"/>
    <w:rsid w:val="00763FC1"/>
    <w:rsid w:val="007648E0"/>
    <w:rsid w:val="00764E63"/>
    <w:rsid w:val="00771808"/>
    <w:rsid w:val="007803E9"/>
    <w:rsid w:val="0078728B"/>
    <w:rsid w:val="00790130"/>
    <w:rsid w:val="007A060E"/>
    <w:rsid w:val="007A5D7D"/>
    <w:rsid w:val="007A7B7A"/>
    <w:rsid w:val="007B0B45"/>
    <w:rsid w:val="007B37B1"/>
    <w:rsid w:val="007C66C6"/>
    <w:rsid w:val="007D3976"/>
    <w:rsid w:val="007D633C"/>
    <w:rsid w:val="007D7414"/>
    <w:rsid w:val="007E5CCC"/>
    <w:rsid w:val="007F1010"/>
    <w:rsid w:val="007F3A7C"/>
    <w:rsid w:val="00805892"/>
    <w:rsid w:val="00806935"/>
    <w:rsid w:val="008156A3"/>
    <w:rsid w:val="008236B2"/>
    <w:rsid w:val="00827350"/>
    <w:rsid w:val="00837DD0"/>
    <w:rsid w:val="0084416A"/>
    <w:rsid w:val="00845883"/>
    <w:rsid w:val="00846149"/>
    <w:rsid w:val="008531CE"/>
    <w:rsid w:val="00862DDF"/>
    <w:rsid w:val="00872C95"/>
    <w:rsid w:val="00872F5F"/>
    <w:rsid w:val="008745B9"/>
    <w:rsid w:val="008816CA"/>
    <w:rsid w:val="00882CCC"/>
    <w:rsid w:val="008849E5"/>
    <w:rsid w:val="00891425"/>
    <w:rsid w:val="008A488E"/>
    <w:rsid w:val="008A6A36"/>
    <w:rsid w:val="008C44B0"/>
    <w:rsid w:val="008D50B0"/>
    <w:rsid w:val="008E0FBB"/>
    <w:rsid w:val="008E2654"/>
    <w:rsid w:val="008E4393"/>
    <w:rsid w:val="008F084E"/>
    <w:rsid w:val="008F48EA"/>
    <w:rsid w:val="0090026A"/>
    <w:rsid w:val="00902404"/>
    <w:rsid w:val="00904226"/>
    <w:rsid w:val="00905CEC"/>
    <w:rsid w:val="00910C99"/>
    <w:rsid w:val="0091287A"/>
    <w:rsid w:val="00917F0A"/>
    <w:rsid w:val="00924AFF"/>
    <w:rsid w:val="009267E4"/>
    <w:rsid w:val="009335FD"/>
    <w:rsid w:val="00940388"/>
    <w:rsid w:val="00946C21"/>
    <w:rsid w:val="00952F22"/>
    <w:rsid w:val="00963115"/>
    <w:rsid w:val="00965954"/>
    <w:rsid w:val="00974B58"/>
    <w:rsid w:val="009776C1"/>
    <w:rsid w:val="009835F6"/>
    <w:rsid w:val="00991EF7"/>
    <w:rsid w:val="009926EE"/>
    <w:rsid w:val="009930E3"/>
    <w:rsid w:val="0099537F"/>
    <w:rsid w:val="009965D2"/>
    <w:rsid w:val="009A6E64"/>
    <w:rsid w:val="009B1927"/>
    <w:rsid w:val="009B4952"/>
    <w:rsid w:val="009D429E"/>
    <w:rsid w:val="009D5F47"/>
    <w:rsid w:val="009D605C"/>
    <w:rsid w:val="009E0DCC"/>
    <w:rsid w:val="009E1C62"/>
    <w:rsid w:val="009E1FB1"/>
    <w:rsid w:val="009F01FB"/>
    <w:rsid w:val="009F30A3"/>
    <w:rsid w:val="009F30B8"/>
    <w:rsid w:val="009F431F"/>
    <w:rsid w:val="009F45BD"/>
    <w:rsid w:val="009F5DCE"/>
    <w:rsid w:val="009F6E01"/>
    <w:rsid w:val="009F77E6"/>
    <w:rsid w:val="00A05E84"/>
    <w:rsid w:val="00A06317"/>
    <w:rsid w:val="00A10116"/>
    <w:rsid w:val="00A14FA0"/>
    <w:rsid w:val="00A2084C"/>
    <w:rsid w:val="00A22BE5"/>
    <w:rsid w:val="00A237ED"/>
    <w:rsid w:val="00A25799"/>
    <w:rsid w:val="00A31197"/>
    <w:rsid w:val="00A425F8"/>
    <w:rsid w:val="00A4735B"/>
    <w:rsid w:val="00A50AB7"/>
    <w:rsid w:val="00A5114A"/>
    <w:rsid w:val="00A57184"/>
    <w:rsid w:val="00A613A1"/>
    <w:rsid w:val="00A624AE"/>
    <w:rsid w:val="00A65AFC"/>
    <w:rsid w:val="00A67F0F"/>
    <w:rsid w:val="00A874E6"/>
    <w:rsid w:val="00AA1FAD"/>
    <w:rsid w:val="00AA39A0"/>
    <w:rsid w:val="00AA4EC0"/>
    <w:rsid w:val="00AA58B9"/>
    <w:rsid w:val="00AB20C1"/>
    <w:rsid w:val="00AC15B9"/>
    <w:rsid w:val="00AC17EE"/>
    <w:rsid w:val="00AD317B"/>
    <w:rsid w:val="00AD5243"/>
    <w:rsid w:val="00AE290A"/>
    <w:rsid w:val="00AE39E2"/>
    <w:rsid w:val="00AE4CEE"/>
    <w:rsid w:val="00AE5334"/>
    <w:rsid w:val="00AF1983"/>
    <w:rsid w:val="00AF495C"/>
    <w:rsid w:val="00B01C37"/>
    <w:rsid w:val="00B03D95"/>
    <w:rsid w:val="00B06B8F"/>
    <w:rsid w:val="00B07EC7"/>
    <w:rsid w:val="00B15817"/>
    <w:rsid w:val="00B22993"/>
    <w:rsid w:val="00B24193"/>
    <w:rsid w:val="00B261B2"/>
    <w:rsid w:val="00B40B55"/>
    <w:rsid w:val="00B4530B"/>
    <w:rsid w:val="00B53393"/>
    <w:rsid w:val="00B54BE9"/>
    <w:rsid w:val="00B55CE8"/>
    <w:rsid w:val="00B5731C"/>
    <w:rsid w:val="00B6345C"/>
    <w:rsid w:val="00B705B7"/>
    <w:rsid w:val="00B76317"/>
    <w:rsid w:val="00B83E6B"/>
    <w:rsid w:val="00B91F1E"/>
    <w:rsid w:val="00B93CF3"/>
    <w:rsid w:val="00B9545D"/>
    <w:rsid w:val="00BA02EC"/>
    <w:rsid w:val="00BA1564"/>
    <w:rsid w:val="00BA2913"/>
    <w:rsid w:val="00BA4B39"/>
    <w:rsid w:val="00BA7590"/>
    <w:rsid w:val="00BB0109"/>
    <w:rsid w:val="00BB03DE"/>
    <w:rsid w:val="00BC272E"/>
    <w:rsid w:val="00BD2864"/>
    <w:rsid w:val="00BD37FF"/>
    <w:rsid w:val="00BD62C0"/>
    <w:rsid w:val="00BE16A9"/>
    <w:rsid w:val="00BE368B"/>
    <w:rsid w:val="00BF0354"/>
    <w:rsid w:val="00BF1171"/>
    <w:rsid w:val="00BF7EB9"/>
    <w:rsid w:val="00C037AB"/>
    <w:rsid w:val="00C042C4"/>
    <w:rsid w:val="00C06BD2"/>
    <w:rsid w:val="00C11278"/>
    <w:rsid w:val="00C24E59"/>
    <w:rsid w:val="00C26B71"/>
    <w:rsid w:val="00C277FF"/>
    <w:rsid w:val="00C3201E"/>
    <w:rsid w:val="00C43D74"/>
    <w:rsid w:val="00C50498"/>
    <w:rsid w:val="00C50F20"/>
    <w:rsid w:val="00C51ED6"/>
    <w:rsid w:val="00C53F0B"/>
    <w:rsid w:val="00C57397"/>
    <w:rsid w:val="00C70B11"/>
    <w:rsid w:val="00C711C4"/>
    <w:rsid w:val="00C72A85"/>
    <w:rsid w:val="00C7377F"/>
    <w:rsid w:val="00C73C44"/>
    <w:rsid w:val="00C902E6"/>
    <w:rsid w:val="00C91AC1"/>
    <w:rsid w:val="00C962F8"/>
    <w:rsid w:val="00C96B57"/>
    <w:rsid w:val="00CA11C2"/>
    <w:rsid w:val="00CA4418"/>
    <w:rsid w:val="00CA6A0A"/>
    <w:rsid w:val="00CB24C7"/>
    <w:rsid w:val="00CC19EF"/>
    <w:rsid w:val="00CC21B3"/>
    <w:rsid w:val="00CC3B83"/>
    <w:rsid w:val="00CD1A9A"/>
    <w:rsid w:val="00CE1AA4"/>
    <w:rsid w:val="00CE1CB9"/>
    <w:rsid w:val="00CE73C2"/>
    <w:rsid w:val="00CF08C6"/>
    <w:rsid w:val="00CF2B92"/>
    <w:rsid w:val="00CF4EE6"/>
    <w:rsid w:val="00CF501C"/>
    <w:rsid w:val="00CF688B"/>
    <w:rsid w:val="00D1214B"/>
    <w:rsid w:val="00D17DCF"/>
    <w:rsid w:val="00D2434C"/>
    <w:rsid w:val="00D24768"/>
    <w:rsid w:val="00D316AD"/>
    <w:rsid w:val="00D33455"/>
    <w:rsid w:val="00D440E4"/>
    <w:rsid w:val="00D44256"/>
    <w:rsid w:val="00D47E3D"/>
    <w:rsid w:val="00D51348"/>
    <w:rsid w:val="00D57E84"/>
    <w:rsid w:val="00D57FED"/>
    <w:rsid w:val="00D61222"/>
    <w:rsid w:val="00D627A0"/>
    <w:rsid w:val="00D6302F"/>
    <w:rsid w:val="00D701F5"/>
    <w:rsid w:val="00D73B52"/>
    <w:rsid w:val="00D82052"/>
    <w:rsid w:val="00D84B12"/>
    <w:rsid w:val="00D90239"/>
    <w:rsid w:val="00D92930"/>
    <w:rsid w:val="00D93B7E"/>
    <w:rsid w:val="00DA497E"/>
    <w:rsid w:val="00DA5BE9"/>
    <w:rsid w:val="00DB290E"/>
    <w:rsid w:val="00DD3447"/>
    <w:rsid w:val="00DD5810"/>
    <w:rsid w:val="00DF4F10"/>
    <w:rsid w:val="00DF7082"/>
    <w:rsid w:val="00E0000F"/>
    <w:rsid w:val="00E00ED6"/>
    <w:rsid w:val="00E016C0"/>
    <w:rsid w:val="00E01B3D"/>
    <w:rsid w:val="00E02DE3"/>
    <w:rsid w:val="00E10505"/>
    <w:rsid w:val="00E12B54"/>
    <w:rsid w:val="00E152F8"/>
    <w:rsid w:val="00E36E03"/>
    <w:rsid w:val="00E40826"/>
    <w:rsid w:val="00E40B8E"/>
    <w:rsid w:val="00E50734"/>
    <w:rsid w:val="00E53A34"/>
    <w:rsid w:val="00E57237"/>
    <w:rsid w:val="00E57522"/>
    <w:rsid w:val="00E57793"/>
    <w:rsid w:val="00E61BCD"/>
    <w:rsid w:val="00E64884"/>
    <w:rsid w:val="00E725F8"/>
    <w:rsid w:val="00E82409"/>
    <w:rsid w:val="00E86EA0"/>
    <w:rsid w:val="00E87B45"/>
    <w:rsid w:val="00E91D82"/>
    <w:rsid w:val="00E95D36"/>
    <w:rsid w:val="00EA370C"/>
    <w:rsid w:val="00EA3C8D"/>
    <w:rsid w:val="00EA6E9F"/>
    <w:rsid w:val="00EA74B3"/>
    <w:rsid w:val="00EC05EC"/>
    <w:rsid w:val="00EC3CE5"/>
    <w:rsid w:val="00EC6A28"/>
    <w:rsid w:val="00ED025F"/>
    <w:rsid w:val="00ED1747"/>
    <w:rsid w:val="00EE3CAA"/>
    <w:rsid w:val="00EF1AE7"/>
    <w:rsid w:val="00EF2558"/>
    <w:rsid w:val="00EF3611"/>
    <w:rsid w:val="00F029CC"/>
    <w:rsid w:val="00F03E63"/>
    <w:rsid w:val="00F04156"/>
    <w:rsid w:val="00F17619"/>
    <w:rsid w:val="00F20E45"/>
    <w:rsid w:val="00F236A4"/>
    <w:rsid w:val="00F2421E"/>
    <w:rsid w:val="00F2679E"/>
    <w:rsid w:val="00F271FB"/>
    <w:rsid w:val="00F279AA"/>
    <w:rsid w:val="00F3502B"/>
    <w:rsid w:val="00F350D8"/>
    <w:rsid w:val="00F35247"/>
    <w:rsid w:val="00F36381"/>
    <w:rsid w:val="00F365C8"/>
    <w:rsid w:val="00F36769"/>
    <w:rsid w:val="00F508B7"/>
    <w:rsid w:val="00F51F9C"/>
    <w:rsid w:val="00F579A0"/>
    <w:rsid w:val="00F61E87"/>
    <w:rsid w:val="00F7445C"/>
    <w:rsid w:val="00F8237E"/>
    <w:rsid w:val="00F9366E"/>
    <w:rsid w:val="00F9679E"/>
    <w:rsid w:val="00FA0D7C"/>
    <w:rsid w:val="00FB74D4"/>
    <w:rsid w:val="00FC2177"/>
    <w:rsid w:val="00FC5013"/>
    <w:rsid w:val="00FC5FE5"/>
    <w:rsid w:val="00FD0600"/>
    <w:rsid w:val="00FD53E0"/>
    <w:rsid w:val="00FD6CCC"/>
    <w:rsid w:val="00FE4DBE"/>
    <w:rsid w:val="00FE65A7"/>
    <w:rsid w:val="00FF5D20"/>
    <w:rsid w:val="00FF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056EEF72"/>
  <w15:docId w15:val="{26081F3A-0314-4BC0-85AC-4D4A4F47A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 w:qFormat="1"/>
    <w:lsdException w:name="List Bullet 3" w:semiHidden="1" w:uiPriority="0" w:unhideWhenUsed="1" w:qFormat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0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D5243"/>
    <w:pPr>
      <w:spacing w:before="120"/>
      <w:jc w:val="both"/>
    </w:pPr>
    <w:rPr>
      <w:rFonts w:ascii="Century Gothic" w:hAnsi="Century Gothic"/>
      <w:sz w:val="24"/>
    </w:rPr>
  </w:style>
  <w:style w:type="paragraph" w:styleId="berschrift1">
    <w:name w:val="heading 1"/>
    <w:basedOn w:val="Standard"/>
    <w:next w:val="Standardeinzug"/>
    <w:link w:val="berschrift1Zchn"/>
    <w:qFormat/>
    <w:rsid w:val="00F3502B"/>
    <w:pPr>
      <w:keepNext/>
      <w:pageBreakBefore/>
      <w:numPr>
        <w:numId w:val="1"/>
      </w:numPr>
      <w:tabs>
        <w:tab w:val="clear" w:pos="964"/>
      </w:tabs>
      <w:suppressAutoHyphens/>
      <w:spacing w:before="0"/>
      <w:ind w:left="851" w:hanging="851"/>
      <w:jc w:val="left"/>
      <w:outlineLvl w:val="0"/>
    </w:pPr>
    <w:rPr>
      <w:b/>
      <w:color w:val="00B0F0"/>
      <w:kern w:val="28"/>
      <w:sz w:val="32"/>
    </w:rPr>
  </w:style>
  <w:style w:type="paragraph" w:styleId="berschrift2">
    <w:name w:val="heading 2"/>
    <w:basedOn w:val="berschrift1"/>
    <w:next w:val="Standardeinzug"/>
    <w:link w:val="berschrift2Zchn"/>
    <w:qFormat/>
    <w:rsid w:val="00F3502B"/>
    <w:pPr>
      <w:pageBreakBefore w:val="0"/>
      <w:numPr>
        <w:ilvl w:val="1"/>
      </w:numPr>
      <w:tabs>
        <w:tab w:val="clear" w:pos="1389"/>
      </w:tabs>
      <w:suppressAutoHyphens w:val="0"/>
      <w:spacing w:before="240"/>
      <w:ind w:left="851" w:hanging="851"/>
      <w:outlineLvl w:val="1"/>
    </w:pPr>
    <w:rPr>
      <w:sz w:val="28"/>
    </w:rPr>
  </w:style>
  <w:style w:type="paragraph" w:styleId="berschrift3">
    <w:name w:val="heading 3"/>
    <w:basedOn w:val="berschrift2"/>
    <w:next w:val="Standardeinzug"/>
    <w:link w:val="berschrift3Zchn"/>
    <w:qFormat/>
    <w:rsid w:val="00F3502B"/>
    <w:pPr>
      <w:numPr>
        <w:ilvl w:val="2"/>
      </w:numPr>
      <w:tabs>
        <w:tab w:val="clear" w:pos="1389"/>
      </w:tabs>
      <w:ind w:left="851" w:hanging="851"/>
      <w:outlineLvl w:val="2"/>
    </w:pPr>
    <w:rPr>
      <w:sz w:val="24"/>
    </w:rPr>
  </w:style>
  <w:style w:type="paragraph" w:styleId="berschrift4">
    <w:name w:val="heading 4"/>
    <w:basedOn w:val="berschrift3"/>
    <w:next w:val="Standardeinzug"/>
    <w:qFormat/>
    <w:rsid w:val="00F3502B"/>
    <w:pPr>
      <w:numPr>
        <w:ilvl w:val="3"/>
      </w:numPr>
      <w:tabs>
        <w:tab w:val="clear" w:pos="1573"/>
      </w:tabs>
      <w:ind w:left="720" w:hanging="720"/>
      <w:outlineLvl w:val="3"/>
    </w:pPr>
    <w:rPr>
      <w:b w:val="0"/>
    </w:rPr>
  </w:style>
  <w:style w:type="paragraph" w:styleId="berschrift5">
    <w:name w:val="heading 5"/>
    <w:basedOn w:val="berschrift4"/>
    <w:next w:val="Standard"/>
    <w:link w:val="berschrift5Zchn"/>
    <w:qFormat/>
    <w:pPr>
      <w:numPr>
        <w:ilvl w:val="4"/>
      </w:numPr>
      <w:ind w:left="720" w:hanging="720"/>
      <w:outlineLvl w:val="4"/>
    </w:pPr>
  </w:style>
  <w:style w:type="paragraph" w:styleId="berschrift6">
    <w:name w:val="heading 6"/>
    <w:basedOn w:val="berschrift5"/>
    <w:next w:val="Standard"/>
    <w:link w:val="berschrift6Zchn"/>
    <w:qFormat/>
    <w:pPr>
      <w:numPr>
        <w:ilvl w:val="5"/>
      </w:numPr>
      <w:ind w:left="720" w:hanging="720"/>
      <w:outlineLvl w:val="5"/>
    </w:pPr>
  </w:style>
  <w:style w:type="paragraph" w:styleId="berschrift7">
    <w:name w:val="heading 7"/>
    <w:basedOn w:val="berschrift6"/>
    <w:next w:val="Standard"/>
    <w:link w:val="berschrift7Zchn"/>
    <w:qFormat/>
    <w:pPr>
      <w:numPr>
        <w:ilvl w:val="6"/>
      </w:numPr>
      <w:ind w:left="720" w:hanging="720"/>
      <w:outlineLvl w:val="6"/>
    </w:pPr>
  </w:style>
  <w:style w:type="paragraph" w:styleId="berschrift8">
    <w:name w:val="heading 8"/>
    <w:basedOn w:val="berschrift7"/>
    <w:next w:val="Standard"/>
    <w:link w:val="berschrift8Zchn"/>
    <w:qFormat/>
    <w:pPr>
      <w:numPr>
        <w:ilvl w:val="7"/>
      </w:numPr>
      <w:ind w:left="720" w:hanging="720"/>
      <w:outlineLvl w:val="7"/>
    </w:pPr>
  </w:style>
  <w:style w:type="paragraph" w:styleId="berschrift9">
    <w:name w:val="heading 9"/>
    <w:basedOn w:val="berschrift8"/>
    <w:next w:val="Standard"/>
    <w:link w:val="berschrift9Zchn"/>
    <w:qFormat/>
    <w:pPr>
      <w:numPr>
        <w:ilvl w:val="8"/>
      </w:numPr>
      <w:ind w:left="720" w:hanging="720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semiHidden/>
    <w:rPr>
      <w:sz w:val="16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Verzeichnis1">
    <w:name w:val="toc 1"/>
    <w:basedOn w:val="Standard"/>
    <w:next w:val="Standard"/>
    <w:autoRedefine/>
    <w:uiPriority w:val="39"/>
    <w:rsid w:val="00D24768"/>
    <w:pPr>
      <w:tabs>
        <w:tab w:val="right" w:leader="dot" w:pos="8222"/>
      </w:tabs>
      <w:spacing w:before="240"/>
      <w:ind w:left="680" w:right="283" w:hanging="680"/>
      <w:jc w:val="left"/>
    </w:pPr>
    <w:rPr>
      <w:b/>
      <w:noProof/>
    </w:rPr>
  </w:style>
  <w:style w:type="paragraph" w:styleId="Verzeichnis2">
    <w:name w:val="toc 2"/>
    <w:basedOn w:val="Verzeichnis1"/>
    <w:next w:val="Standard"/>
    <w:autoRedefine/>
    <w:uiPriority w:val="39"/>
    <w:rsid w:val="00D24768"/>
    <w:pPr>
      <w:tabs>
        <w:tab w:val="left" w:pos="680"/>
      </w:tabs>
      <w:spacing w:before="120"/>
      <w:ind w:right="425"/>
    </w:pPr>
    <w:rPr>
      <w:b w:val="0"/>
    </w:rPr>
  </w:style>
  <w:style w:type="paragraph" w:styleId="Verzeichnis3">
    <w:name w:val="toc 3"/>
    <w:basedOn w:val="Verzeichnis2"/>
    <w:next w:val="Standard"/>
    <w:autoRedefine/>
    <w:uiPriority w:val="39"/>
    <w:pPr>
      <w:tabs>
        <w:tab w:val="left" w:pos="1004"/>
      </w:tabs>
      <w:spacing w:before="60"/>
    </w:pPr>
  </w:style>
  <w:style w:type="paragraph" w:styleId="Umschlagabsenderadresse">
    <w:name w:val="envelope return"/>
    <w:basedOn w:val="Standard"/>
    <w:semiHidden/>
  </w:style>
  <w:style w:type="paragraph" w:styleId="Beschriftung">
    <w:name w:val="caption"/>
    <w:basedOn w:val="Standard"/>
    <w:next w:val="Standardeinzug"/>
    <w:qFormat/>
    <w:rsid w:val="009B4952"/>
    <w:pPr>
      <w:spacing w:after="240"/>
      <w:ind w:left="2456" w:hanging="1605"/>
      <w:jc w:val="left"/>
    </w:pPr>
    <w:rPr>
      <w:sz w:val="20"/>
    </w:rPr>
  </w:style>
  <w:style w:type="character" w:styleId="Funotenzeichen">
    <w:name w:val="footnote reference"/>
    <w:semiHidden/>
    <w:rsid w:val="00DD3447"/>
    <w:rPr>
      <w:szCs w:val="24"/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7126"/>
    <w:pPr>
      <w:spacing w:before="0"/>
    </w:pPr>
    <w:rPr>
      <w:rFonts w:ascii="Tahoma" w:hAnsi="Tahoma" w:cs="Tahoma"/>
      <w:sz w:val="16"/>
      <w:szCs w:val="16"/>
    </w:rPr>
  </w:style>
  <w:style w:type="paragraph" w:customStyle="1" w:styleId="Computerprogramm">
    <w:name w:val="Computerprogramm"/>
    <w:basedOn w:val="Standard"/>
    <w:rsid w:val="0000223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</w:tabs>
      <w:contextualSpacing/>
      <w:jc w:val="left"/>
    </w:pPr>
    <w:rPr>
      <w:noProof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7126"/>
    <w:rPr>
      <w:rFonts w:ascii="Tahoma" w:hAnsi="Tahoma" w:cs="Tahoma"/>
      <w:sz w:val="16"/>
      <w:szCs w:val="16"/>
    </w:rPr>
  </w:style>
  <w:style w:type="paragraph" w:styleId="Literaturverzeichnis">
    <w:name w:val="Bibliography"/>
    <w:basedOn w:val="Standard"/>
    <w:autoRedefine/>
    <w:rsid w:val="00002230"/>
    <w:pPr>
      <w:jc w:val="left"/>
    </w:pPr>
  </w:style>
  <w:style w:type="paragraph" w:styleId="Funotentext">
    <w:name w:val="footnote text"/>
    <w:basedOn w:val="Standard"/>
    <w:link w:val="FunotentextZchn"/>
    <w:semiHidden/>
    <w:qFormat/>
    <w:rsid w:val="007A5D7D"/>
    <w:pPr>
      <w:tabs>
        <w:tab w:val="left" w:pos="142"/>
      </w:tabs>
      <w:spacing w:before="60"/>
      <w:ind w:left="142" w:hanging="142"/>
      <w:jc w:val="left"/>
    </w:pPr>
    <w:rPr>
      <w:sz w:val="14"/>
    </w:rPr>
  </w:style>
  <w:style w:type="paragraph" w:styleId="Kopfzeile">
    <w:name w:val="header"/>
    <w:basedOn w:val="Standard"/>
    <w:link w:val="KopfzeileZchn"/>
    <w:uiPriority w:val="99"/>
    <w:pPr>
      <w:pBdr>
        <w:bottom w:val="single" w:sz="4" w:space="1" w:color="auto"/>
      </w:pBdr>
      <w:tabs>
        <w:tab w:val="right" w:pos="7938"/>
      </w:tabs>
    </w:pPr>
    <w:rPr>
      <w:sz w:val="20"/>
    </w:rPr>
  </w:style>
  <w:style w:type="paragraph" w:styleId="Abbildungsverzeichnis">
    <w:name w:val="table of figures"/>
    <w:basedOn w:val="Verzeichnis3"/>
    <w:next w:val="Standard"/>
    <w:autoRedefine/>
    <w:uiPriority w:val="99"/>
    <w:rsid w:val="00A613A1"/>
    <w:pPr>
      <w:tabs>
        <w:tab w:val="clear" w:pos="680"/>
        <w:tab w:val="clear" w:pos="1004"/>
      </w:tabs>
      <w:ind w:left="709" w:hanging="709"/>
    </w:pPr>
  </w:style>
  <w:style w:type="paragraph" w:styleId="Aufzhlungszeichen2">
    <w:name w:val="List Bullet 2"/>
    <w:basedOn w:val="Listenabsatz"/>
    <w:next w:val="Standardeinzug"/>
    <w:qFormat/>
    <w:rsid w:val="007B37B1"/>
    <w:pPr>
      <w:numPr>
        <w:numId w:val="13"/>
      </w:numPr>
      <w:spacing w:before="60" w:after="60"/>
      <w:contextualSpacing w:val="0"/>
    </w:pPr>
    <w:rPr>
      <w:color w:val="000000" w:themeColor="text1"/>
    </w:rPr>
  </w:style>
  <w:style w:type="paragraph" w:customStyle="1" w:styleId="Abbildung">
    <w:name w:val="Abbildung"/>
    <w:basedOn w:val="Standard"/>
    <w:next w:val="Beschriftung"/>
    <w:qFormat/>
    <w:rsid w:val="00EA6E9F"/>
    <w:pPr>
      <w:keepNext/>
      <w:spacing w:before="180" w:after="180"/>
      <w:ind w:left="709"/>
      <w:jc w:val="center"/>
    </w:pPr>
    <w:rPr>
      <w:sz w:val="20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Aufzhlungszeichen">
    <w:name w:val="List Bullet"/>
    <w:basedOn w:val="Listenabsatz"/>
    <w:next w:val="Standardeinzug"/>
    <w:qFormat/>
    <w:rsid w:val="00E86EA0"/>
    <w:pPr>
      <w:numPr>
        <w:numId w:val="10"/>
      </w:numPr>
      <w:spacing w:before="60" w:after="60"/>
      <w:ind w:left="1208" w:hanging="357"/>
      <w:contextualSpacing w:val="0"/>
    </w:pPr>
  </w:style>
  <w:style w:type="paragraph" w:styleId="Zitat">
    <w:name w:val="Quote"/>
    <w:basedOn w:val="Standard"/>
    <w:link w:val="ZitatZchn"/>
    <w:qFormat/>
    <w:rsid w:val="004151D2"/>
    <w:pPr>
      <w:ind w:left="1361"/>
    </w:pPr>
    <w:rPr>
      <w:i/>
    </w:rPr>
  </w:style>
  <w:style w:type="paragraph" w:styleId="Anrede">
    <w:name w:val="Salutation"/>
    <w:basedOn w:val="Standard"/>
    <w:next w:val="Standard"/>
    <w:semiHidden/>
  </w:style>
  <w:style w:type="paragraph" w:styleId="Blocktext">
    <w:name w:val="Block Text"/>
    <w:basedOn w:val="Standard"/>
    <w:semiHidden/>
    <w:pPr>
      <w:ind w:left="1440" w:right="1440"/>
    </w:pPr>
  </w:style>
  <w:style w:type="paragraph" w:styleId="Datum">
    <w:name w:val="Date"/>
    <w:basedOn w:val="Standard"/>
    <w:next w:val="Standard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</w:style>
  <w:style w:type="paragraph" w:styleId="Fu-Endnotenberschrift">
    <w:name w:val="Note Heading"/>
    <w:basedOn w:val="Standard"/>
    <w:next w:val="Standard"/>
    <w:semiHidden/>
  </w:style>
  <w:style w:type="paragraph" w:styleId="Gruformel">
    <w:name w:val="Closing"/>
    <w:basedOn w:val="Standard"/>
    <w:semiHidden/>
    <w:pPr>
      <w:ind w:left="4252"/>
    </w:pPr>
  </w:style>
  <w:style w:type="paragraph" w:styleId="Index1">
    <w:name w:val="index 1"/>
    <w:basedOn w:val="Standard"/>
    <w:next w:val="Standard"/>
    <w:autoRedefine/>
    <w:uiPriority w:val="99"/>
    <w:semiHidden/>
    <w:pPr>
      <w:tabs>
        <w:tab w:val="right" w:leader="dot" w:pos="3598"/>
      </w:tabs>
      <w:ind w:left="198" w:hanging="198"/>
    </w:pPr>
    <w:rPr>
      <w:noProof/>
    </w:rPr>
  </w:style>
  <w:style w:type="paragraph" w:styleId="Index2">
    <w:name w:val="index 2"/>
    <w:basedOn w:val="Standard"/>
    <w:next w:val="Standard"/>
    <w:autoRedefine/>
    <w:semiHidden/>
    <w:pPr>
      <w:ind w:left="396" w:hanging="198"/>
    </w:pPr>
  </w:style>
  <w:style w:type="paragraph" w:styleId="Index3">
    <w:name w:val="index 3"/>
    <w:basedOn w:val="Standard"/>
    <w:next w:val="Standard"/>
    <w:autoRedefine/>
    <w:semiHidden/>
    <w:pPr>
      <w:ind w:left="601" w:hanging="198"/>
    </w:pPr>
  </w:style>
  <w:style w:type="paragraph" w:styleId="Index4">
    <w:name w:val="index 4"/>
    <w:basedOn w:val="Standard"/>
    <w:next w:val="Standard"/>
    <w:autoRedefine/>
    <w:semiHidden/>
    <w:pPr>
      <w:ind w:left="799" w:hanging="198"/>
    </w:pPr>
  </w:style>
  <w:style w:type="paragraph" w:styleId="Index5">
    <w:name w:val="index 5"/>
    <w:basedOn w:val="Standard"/>
    <w:next w:val="Standard"/>
    <w:autoRedefine/>
    <w:semiHidden/>
    <w:pPr>
      <w:ind w:left="997" w:hanging="198"/>
    </w:pPr>
  </w:style>
  <w:style w:type="paragraph" w:styleId="Index6">
    <w:name w:val="index 6"/>
    <w:basedOn w:val="Standard"/>
    <w:next w:val="Standard"/>
    <w:autoRedefine/>
    <w:semiHidden/>
    <w:pPr>
      <w:ind w:left="1196" w:hanging="198"/>
    </w:pPr>
  </w:style>
  <w:style w:type="paragraph" w:styleId="Index7">
    <w:name w:val="index 7"/>
    <w:basedOn w:val="Standard"/>
    <w:next w:val="Standard"/>
    <w:autoRedefine/>
    <w:semiHidden/>
    <w:pPr>
      <w:ind w:left="1400" w:hanging="198"/>
    </w:pPr>
  </w:style>
  <w:style w:type="paragraph" w:styleId="Index8">
    <w:name w:val="index 8"/>
    <w:basedOn w:val="Standard"/>
    <w:next w:val="Standard"/>
    <w:autoRedefine/>
    <w:semiHidden/>
    <w:pPr>
      <w:ind w:left="1598" w:hanging="198"/>
    </w:pPr>
  </w:style>
  <w:style w:type="paragraph" w:styleId="Index9">
    <w:name w:val="index 9"/>
    <w:basedOn w:val="Standard"/>
    <w:next w:val="Standard"/>
    <w:autoRedefine/>
    <w:semiHidden/>
    <w:pPr>
      <w:ind w:left="1797" w:hanging="198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link w:val="KommentartextZchn"/>
    <w:semiHidden/>
  </w:style>
  <w:style w:type="paragraph" w:styleId="Liste">
    <w:name w:val="List"/>
    <w:basedOn w:val="Standard"/>
    <w:semiHidden/>
    <w:pPr>
      <w:ind w:left="357" w:hanging="357"/>
    </w:pPr>
  </w:style>
  <w:style w:type="paragraph" w:styleId="Liste2">
    <w:name w:val="List 2"/>
    <w:basedOn w:val="Standard"/>
    <w:semiHidden/>
    <w:pPr>
      <w:ind w:left="714" w:hanging="357"/>
    </w:pPr>
  </w:style>
  <w:style w:type="paragraph" w:styleId="Liste3">
    <w:name w:val="List 3"/>
    <w:basedOn w:val="Standard"/>
    <w:semiHidden/>
    <w:pPr>
      <w:ind w:left="1077" w:hanging="357"/>
    </w:pPr>
  </w:style>
  <w:style w:type="paragraph" w:styleId="Liste4">
    <w:name w:val="List 4"/>
    <w:basedOn w:val="Standard"/>
    <w:semiHidden/>
    <w:pPr>
      <w:ind w:left="1434" w:hanging="357"/>
    </w:pPr>
  </w:style>
  <w:style w:type="paragraph" w:styleId="Liste5">
    <w:name w:val="List 5"/>
    <w:basedOn w:val="Standard"/>
    <w:semiHidden/>
    <w:pPr>
      <w:ind w:left="1797" w:hanging="357"/>
    </w:pPr>
  </w:style>
  <w:style w:type="paragraph" w:styleId="Listenfortsetzung">
    <w:name w:val="List Continue"/>
    <w:basedOn w:val="Standard"/>
    <w:semiHidden/>
    <w:pPr>
      <w:ind w:left="357"/>
    </w:pPr>
  </w:style>
  <w:style w:type="paragraph" w:styleId="Listenfortsetzung2">
    <w:name w:val="List Continue 2"/>
    <w:basedOn w:val="Standard"/>
    <w:semiHidden/>
    <w:pPr>
      <w:ind w:left="720"/>
    </w:pPr>
  </w:style>
  <w:style w:type="paragraph" w:styleId="Listenfortsetzung3">
    <w:name w:val="List Continue 3"/>
    <w:basedOn w:val="Standard"/>
    <w:semiHidden/>
    <w:pPr>
      <w:ind w:left="1077"/>
    </w:pPr>
  </w:style>
  <w:style w:type="paragraph" w:styleId="Listenfortsetzung4">
    <w:name w:val="List Continue 4"/>
    <w:basedOn w:val="Standard"/>
    <w:semiHidden/>
    <w:pPr>
      <w:ind w:left="1440"/>
    </w:pPr>
  </w:style>
  <w:style w:type="paragraph" w:styleId="Listenfortsetzung5">
    <w:name w:val="List Continue 5"/>
    <w:basedOn w:val="Standard"/>
    <w:semiHidden/>
    <w:pPr>
      <w:ind w:left="1797"/>
    </w:pPr>
  </w:style>
  <w:style w:type="paragraph" w:styleId="Listennummer">
    <w:name w:val="List Number"/>
    <w:basedOn w:val="Standard"/>
    <w:semiHidden/>
    <w:pPr>
      <w:numPr>
        <w:numId w:val="5"/>
      </w:numPr>
      <w:tabs>
        <w:tab w:val="clear" w:pos="360"/>
        <w:tab w:val="num" w:pos="357"/>
      </w:tabs>
      <w:ind w:left="357" w:hanging="357"/>
    </w:pPr>
  </w:style>
  <w:style w:type="paragraph" w:styleId="Listennummer2">
    <w:name w:val="List Number 2"/>
    <w:basedOn w:val="Standard"/>
    <w:semiHidden/>
    <w:pPr>
      <w:numPr>
        <w:numId w:val="6"/>
      </w:numPr>
      <w:tabs>
        <w:tab w:val="clear" w:pos="643"/>
        <w:tab w:val="num" w:pos="357"/>
      </w:tabs>
      <w:ind w:left="714" w:hanging="357"/>
    </w:pPr>
  </w:style>
  <w:style w:type="paragraph" w:styleId="Listennummer3">
    <w:name w:val="List Number 3"/>
    <w:basedOn w:val="Standard"/>
    <w:semiHidden/>
    <w:pPr>
      <w:numPr>
        <w:numId w:val="7"/>
      </w:numPr>
      <w:tabs>
        <w:tab w:val="clear" w:pos="926"/>
        <w:tab w:val="right" w:pos="1077"/>
      </w:tabs>
      <w:ind w:left="1077" w:hanging="357"/>
    </w:pPr>
  </w:style>
  <w:style w:type="paragraph" w:styleId="Listennummer4">
    <w:name w:val="List Number 4"/>
    <w:basedOn w:val="Standard"/>
    <w:semiHidden/>
    <w:pPr>
      <w:numPr>
        <w:numId w:val="8"/>
      </w:numPr>
      <w:tabs>
        <w:tab w:val="clear" w:pos="1209"/>
        <w:tab w:val="right" w:pos="1440"/>
      </w:tabs>
      <w:ind w:left="1434" w:hanging="357"/>
    </w:pPr>
  </w:style>
  <w:style w:type="paragraph" w:styleId="Listennummer5">
    <w:name w:val="List Number 5"/>
    <w:basedOn w:val="Standard"/>
    <w:semiHidden/>
    <w:pPr>
      <w:numPr>
        <w:numId w:val="9"/>
      </w:numPr>
      <w:tabs>
        <w:tab w:val="clear" w:pos="1492"/>
        <w:tab w:val="right" w:pos="1797"/>
      </w:tabs>
      <w:ind w:left="1797" w:hanging="357"/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urText">
    <w:name w:val="Plain Text"/>
    <w:basedOn w:val="Standard"/>
    <w:semiHidden/>
    <w:rPr>
      <w:rFonts w:ascii="Courier New" w:hAnsi="Courier New"/>
    </w:rPr>
  </w:style>
  <w:style w:type="paragraph" w:styleId="Standardeinzug">
    <w:name w:val="Normal Indent"/>
    <w:basedOn w:val="Standard"/>
    <w:qFormat/>
    <w:rsid w:val="00F04156"/>
    <w:pPr>
      <w:ind w:left="851"/>
    </w:pPr>
  </w:style>
  <w:style w:type="paragraph" w:styleId="Textkrper">
    <w:name w:val="Body Text"/>
    <w:basedOn w:val="Standard"/>
    <w:semiHidden/>
    <w:pPr>
      <w:spacing w:after="120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Textkrper3">
    <w:name w:val="Body Text 3"/>
    <w:basedOn w:val="Standard"/>
    <w:semiHidden/>
    <w:pPr>
      <w:spacing w:after="120"/>
    </w:pPr>
    <w:rPr>
      <w:sz w:val="16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-Einzug2">
    <w:name w:val="Body Text Indent 2"/>
    <w:basedOn w:val="Standard"/>
    <w:semiHidden/>
    <w:pPr>
      <w:spacing w:after="120" w:line="480" w:lineRule="auto"/>
      <w:ind w:left="283"/>
    </w:pPr>
  </w:style>
  <w:style w:type="paragraph" w:styleId="Textkrper-Einzug3">
    <w:name w:val="Body Text Indent 3"/>
    <w:basedOn w:val="Standard"/>
    <w:link w:val="Textkrper-Einzug3Zchn"/>
    <w:semiHidden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semiHidden/>
    <w:pPr>
      <w:ind w:firstLine="210"/>
    </w:pPr>
  </w:style>
  <w:style w:type="paragraph" w:styleId="Textkrper-Erstzeileneinzug2">
    <w:name w:val="Body Text First Indent 2"/>
    <w:basedOn w:val="Textkrper-Zeileneinzug"/>
    <w:semiHidden/>
    <w:pPr>
      <w:ind w:firstLine="210"/>
    </w:pPr>
  </w:style>
  <w:style w:type="paragraph" w:styleId="Titel">
    <w:name w:val="Title"/>
    <w:basedOn w:val="Standard"/>
    <w:next w:val="Untertitel"/>
    <w:link w:val="TitelZchn"/>
    <w:rsid w:val="00002230"/>
    <w:pPr>
      <w:suppressAutoHyphens/>
      <w:spacing w:before="0" w:line="360" w:lineRule="auto"/>
      <w:jc w:val="center"/>
    </w:pPr>
    <w:rPr>
      <w:b/>
      <w:kern w:val="28"/>
      <w:sz w:val="44"/>
    </w:rPr>
  </w:style>
  <w:style w:type="paragraph" w:styleId="Umschlagadresse">
    <w:name w:val="envelope address"/>
    <w:basedOn w:val="Standard"/>
    <w:semiHidden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semiHidden/>
    <w:pPr>
      <w:ind w:left="4252"/>
    </w:pPr>
  </w:style>
  <w:style w:type="paragraph" w:styleId="Untertitel">
    <w:name w:val="Subtitle"/>
    <w:basedOn w:val="Standard"/>
    <w:link w:val="UntertitelZchn"/>
    <w:rsid w:val="00002230"/>
    <w:pPr>
      <w:suppressAutoHyphens/>
      <w:spacing w:before="240"/>
      <w:jc w:val="center"/>
    </w:pPr>
    <w:rPr>
      <w:sz w:val="32"/>
    </w:rPr>
  </w:style>
  <w:style w:type="paragraph" w:styleId="Verzeichnis4">
    <w:name w:val="toc 4"/>
    <w:basedOn w:val="Verzeichnis3"/>
    <w:next w:val="Standard"/>
    <w:autoRedefine/>
    <w:uiPriority w:val="39"/>
  </w:style>
  <w:style w:type="paragraph" w:styleId="Verzeichnis5">
    <w:name w:val="toc 5"/>
    <w:basedOn w:val="Verzeichnis4"/>
    <w:next w:val="Standard"/>
    <w:autoRedefine/>
    <w:uiPriority w:val="39"/>
  </w:style>
  <w:style w:type="paragraph" w:styleId="Verzeichnis6">
    <w:name w:val="toc 6"/>
    <w:basedOn w:val="Verzeichnis5"/>
    <w:next w:val="Standard"/>
    <w:autoRedefine/>
    <w:uiPriority w:val="39"/>
  </w:style>
  <w:style w:type="paragraph" w:styleId="Verzeichnis7">
    <w:name w:val="toc 7"/>
    <w:basedOn w:val="Verzeichnis6"/>
    <w:next w:val="Standard"/>
    <w:autoRedefine/>
    <w:uiPriority w:val="39"/>
  </w:style>
  <w:style w:type="paragraph" w:styleId="Verzeichnis8">
    <w:name w:val="toc 8"/>
    <w:basedOn w:val="Verzeichnis7"/>
    <w:next w:val="Standard"/>
    <w:autoRedefine/>
    <w:uiPriority w:val="39"/>
  </w:style>
  <w:style w:type="paragraph" w:styleId="Verzeichnis9">
    <w:name w:val="toc 9"/>
    <w:basedOn w:val="Verzeichnis8"/>
    <w:next w:val="Standard"/>
    <w:autoRedefine/>
    <w:uiPriority w:val="39"/>
    <w:pPr>
      <w:outlineLvl w:val="8"/>
    </w:pPr>
  </w:style>
  <w:style w:type="paragraph" w:styleId="RGV-berschrift">
    <w:name w:val="toa heading"/>
    <w:basedOn w:val="Standard"/>
    <w:next w:val="Standard"/>
    <w:semiHidden/>
    <w:rPr>
      <w:b/>
    </w:rPr>
  </w:style>
  <w:style w:type="paragraph" w:styleId="Rechtsgrundlagenverzeichnis">
    <w:name w:val="table of authorities"/>
    <w:basedOn w:val="Standard"/>
    <w:next w:val="Standard"/>
    <w:semiHidden/>
    <w:pPr>
      <w:ind w:left="200" w:hanging="200"/>
    </w:pPr>
  </w:style>
  <w:style w:type="paragraph" w:styleId="Aufzhlungszeichen4">
    <w:name w:val="List Bullet 4"/>
    <w:basedOn w:val="Standard"/>
    <w:semiHidden/>
    <w:pPr>
      <w:numPr>
        <w:numId w:val="3"/>
      </w:numPr>
      <w:tabs>
        <w:tab w:val="clear" w:pos="1209"/>
        <w:tab w:val="right" w:pos="1440"/>
      </w:tabs>
      <w:ind w:left="1434" w:hanging="357"/>
    </w:pPr>
  </w:style>
  <w:style w:type="paragraph" w:styleId="Aufzhlungszeichen5">
    <w:name w:val="List Bullet 5"/>
    <w:basedOn w:val="Standard"/>
    <w:semiHidden/>
    <w:pPr>
      <w:numPr>
        <w:numId w:val="4"/>
      </w:numPr>
      <w:tabs>
        <w:tab w:val="clear" w:pos="1492"/>
        <w:tab w:val="num" w:pos="1786"/>
      </w:tabs>
      <w:ind w:left="1797" w:hanging="357"/>
    </w:pPr>
  </w:style>
  <w:style w:type="paragraph" w:styleId="Aufzhlungszeichen3">
    <w:name w:val="List Bullet 3"/>
    <w:basedOn w:val="Standard"/>
    <w:semiHidden/>
    <w:qFormat/>
    <w:pPr>
      <w:numPr>
        <w:numId w:val="2"/>
      </w:numPr>
      <w:tabs>
        <w:tab w:val="clear" w:pos="926"/>
        <w:tab w:val="left" w:pos="1077"/>
      </w:tabs>
      <w:ind w:left="1077" w:hanging="357"/>
    </w:pPr>
  </w:style>
  <w:style w:type="paragraph" w:customStyle="1" w:styleId="Tabellenberschrift">
    <w:name w:val="Tabellenüberschrift"/>
    <w:basedOn w:val="Beschriftung"/>
    <w:next w:val="Standardeinzug"/>
    <w:qFormat/>
    <w:rsid w:val="00F7445C"/>
    <w:pPr>
      <w:keepNext/>
      <w:spacing w:after="360"/>
      <w:ind w:left="2127" w:hanging="1276"/>
    </w:pPr>
  </w:style>
  <w:style w:type="character" w:customStyle="1" w:styleId="UntertitelZchn">
    <w:name w:val="Untertitel Zchn"/>
    <w:link w:val="Untertitel"/>
    <w:rsid w:val="00002230"/>
    <w:rPr>
      <w:rFonts w:ascii="Century Gothic" w:hAnsi="Century Gothic"/>
      <w:sz w:val="32"/>
    </w:rPr>
  </w:style>
  <w:style w:type="character" w:customStyle="1" w:styleId="TitelZchn">
    <w:name w:val="Titel Zchn"/>
    <w:basedOn w:val="Absatz-Standardschriftart"/>
    <w:link w:val="Titel"/>
    <w:rsid w:val="00002230"/>
    <w:rPr>
      <w:rFonts w:ascii="Century Gothic" w:hAnsi="Century Gothic"/>
      <w:b/>
      <w:kern w:val="28"/>
      <w:sz w:val="44"/>
    </w:rPr>
  </w:style>
  <w:style w:type="paragraph" w:styleId="Inhaltsverzeichnisberschrift">
    <w:name w:val="TOC Heading"/>
    <w:basedOn w:val="berschrift1"/>
    <w:next w:val="Standard"/>
    <w:uiPriority w:val="39"/>
    <w:unhideWhenUsed/>
    <w:rsid w:val="00E57793"/>
    <w:pPr>
      <w:keepLines/>
      <w:pageBreakBefore w:val="0"/>
      <w:numPr>
        <w:numId w:val="0"/>
      </w:numPr>
      <w:tabs>
        <w:tab w:val="num" w:pos="1105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table" w:styleId="Tabellenraster">
    <w:name w:val="Table Grid"/>
    <w:basedOn w:val="NormaleTabelle"/>
    <w:uiPriority w:val="59"/>
    <w:rsid w:val="00E57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2A064F"/>
    <w:rPr>
      <w:sz w:val="24"/>
    </w:rPr>
  </w:style>
  <w:style w:type="paragraph" w:styleId="Listenabsatz">
    <w:name w:val="List Paragraph"/>
    <w:basedOn w:val="Standard"/>
    <w:uiPriority w:val="34"/>
    <w:rsid w:val="00E61BCD"/>
    <w:pPr>
      <w:ind w:left="720"/>
      <w:contextualSpacing/>
    </w:pPr>
  </w:style>
  <w:style w:type="numbering" w:customStyle="1" w:styleId="Listen1">
    <w:name w:val="Listen1"/>
    <w:basedOn w:val="KeineListe"/>
    <w:uiPriority w:val="99"/>
    <w:rsid w:val="00B15817"/>
    <w:pPr>
      <w:numPr>
        <w:numId w:val="11"/>
      </w:numPr>
    </w:pPr>
  </w:style>
  <w:style w:type="character" w:styleId="Hervorhebung">
    <w:name w:val="Emphasis"/>
    <w:basedOn w:val="Absatz-Standardschriftart"/>
    <w:uiPriority w:val="20"/>
    <w:rsid w:val="00B15817"/>
    <w:rPr>
      <w:i w:val="0"/>
      <w:iCs/>
      <w:color w:val="FF0000"/>
    </w:rPr>
  </w:style>
  <w:style w:type="character" w:styleId="SchwacheHervorhebung">
    <w:name w:val="Subtle Emphasis"/>
    <w:basedOn w:val="Absatz-Standardschriftart"/>
    <w:uiPriority w:val="19"/>
    <w:rsid w:val="00B15817"/>
    <w:rPr>
      <w:b/>
      <w:i w:val="0"/>
      <w:iCs/>
      <w:color w:val="FF0000"/>
    </w:rPr>
  </w:style>
  <w:style w:type="character" w:customStyle="1" w:styleId="HervorhebungROT">
    <w:name w:val="Hervorhebung ROT"/>
    <w:basedOn w:val="Absatz-Standardschriftart"/>
    <w:uiPriority w:val="1"/>
    <w:qFormat/>
    <w:rsid w:val="00B07EC7"/>
    <w:rPr>
      <w:rFonts w:ascii="Century Gothic" w:hAnsi="Century Gothic"/>
      <w:b/>
      <w:iCs w:val="0"/>
      <w:color w:val="FF0000"/>
      <w:u w:val="none"/>
    </w:rPr>
  </w:style>
  <w:style w:type="character" w:customStyle="1" w:styleId="HervorhebungBLAU">
    <w:name w:val="Hervorhebung BLAU"/>
    <w:basedOn w:val="Absatz-Standardschriftart"/>
    <w:uiPriority w:val="1"/>
    <w:qFormat/>
    <w:rsid w:val="007B0B45"/>
    <w:rPr>
      <w:rFonts w:ascii="Century Gothic" w:hAnsi="Century Gothic"/>
      <w:b/>
      <w:color w:val="00B0F0"/>
      <w:u w:val="none"/>
    </w:rPr>
  </w:style>
  <w:style w:type="character" w:customStyle="1" w:styleId="HervorhebenSCHWARZ">
    <w:name w:val="Hervorheben SCHWARZ"/>
    <w:basedOn w:val="Absatz-Standardschriftart"/>
    <w:uiPriority w:val="1"/>
    <w:qFormat/>
    <w:rsid w:val="00B07EC7"/>
    <w:rPr>
      <w:rFonts w:ascii="Century Gothic" w:hAnsi="Century Gothic"/>
      <w:b/>
      <w:color w:val="auto"/>
      <w:u w:val="none"/>
    </w:rPr>
  </w:style>
  <w:style w:type="character" w:customStyle="1" w:styleId="KommentartextZchn">
    <w:name w:val="Kommentartext Zchn"/>
    <w:basedOn w:val="Absatz-Standardschriftart"/>
    <w:link w:val="Kommentartext"/>
    <w:semiHidden/>
    <w:rsid w:val="00DB290E"/>
    <w:rPr>
      <w:rFonts w:ascii="Futura-Book" w:hAnsi="Futura-Book"/>
      <w:sz w:val="24"/>
    </w:rPr>
  </w:style>
  <w:style w:type="character" w:customStyle="1" w:styleId="Textkrper-Einzug3Zchn">
    <w:name w:val="Textkörper-Einzug 3 Zchn"/>
    <w:basedOn w:val="Absatz-Standardschriftart"/>
    <w:link w:val="Textkrper-Einzug3"/>
    <w:semiHidden/>
    <w:rsid w:val="001468F6"/>
    <w:rPr>
      <w:rFonts w:ascii="Century Gothic" w:hAnsi="Century Gothic"/>
      <w:sz w:val="16"/>
    </w:rPr>
  </w:style>
  <w:style w:type="character" w:styleId="BesuchterLink">
    <w:name w:val="FollowedHyperlink"/>
    <w:basedOn w:val="Absatz-Standardschriftart"/>
    <w:uiPriority w:val="99"/>
    <w:semiHidden/>
    <w:unhideWhenUsed/>
    <w:rsid w:val="005B0816"/>
    <w:rPr>
      <w:color w:val="800080" w:themeColor="followedHyperlink"/>
      <w:u w:val="single"/>
    </w:rPr>
  </w:style>
  <w:style w:type="numbering" w:customStyle="1" w:styleId="Aufzhlungszeichena">
    <w:name w:val="Aufzählungszeichen a"/>
    <w:uiPriority w:val="99"/>
    <w:rsid w:val="00BA4B39"/>
    <w:pPr>
      <w:numPr>
        <w:numId w:val="12"/>
      </w:numPr>
    </w:pPr>
  </w:style>
  <w:style w:type="character" w:customStyle="1" w:styleId="n0074ccb0x02854e20">
    <w:name w:val="n0074ccb0x02854e20"/>
    <w:basedOn w:val="Absatz-Standardschriftart"/>
    <w:rsid w:val="00232849"/>
  </w:style>
  <w:style w:type="character" w:customStyle="1" w:styleId="berschrift1Zchn">
    <w:name w:val="Überschrift 1 Zchn"/>
    <w:basedOn w:val="Absatz-Standardschriftart"/>
    <w:link w:val="berschrift1"/>
    <w:rsid w:val="00232849"/>
    <w:rPr>
      <w:rFonts w:ascii="Century Gothic" w:hAnsi="Century Gothic"/>
      <w:b/>
      <w:color w:val="00B0F0"/>
      <w:kern w:val="28"/>
      <w:sz w:val="32"/>
    </w:rPr>
  </w:style>
  <w:style w:type="character" w:customStyle="1" w:styleId="berschrift2Zchn">
    <w:name w:val="Überschrift 2 Zchn"/>
    <w:basedOn w:val="Absatz-Standardschriftart"/>
    <w:link w:val="berschrift2"/>
    <w:rsid w:val="00232849"/>
    <w:rPr>
      <w:rFonts w:ascii="Century Gothic" w:hAnsi="Century Gothic"/>
      <w:b/>
      <w:color w:val="00B0F0"/>
      <w:kern w:val="28"/>
      <w:sz w:val="28"/>
    </w:rPr>
  </w:style>
  <w:style w:type="character" w:customStyle="1" w:styleId="berschrift3Zchn">
    <w:name w:val="Überschrift 3 Zchn"/>
    <w:basedOn w:val="Absatz-Standardschriftart"/>
    <w:link w:val="berschrift3"/>
    <w:rsid w:val="00232849"/>
    <w:rPr>
      <w:rFonts w:ascii="Century Gothic" w:hAnsi="Century Gothic"/>
      <w:b/>
      <w:color w:val="00B0F0"/>
      <w:kern w:val="28"/>
      <w:sz w:val="24"/>
    </w:rPr>
  </w:style>
  <w:style w:type="paragraph" w:customStyle="1" w:styleId="Text">
    <w:name w:val="Text"/>
    <w:basedOn w:val="Standard"/>
    <w:rsid w:val="00232849"/>
    <w:pPr>
      <w:spacing w:before="0" w:after="60"/>
      <w:jc w:val="left"/>
    </w:pPr>
    <w:rPr>
      <w:rFonts w:ascii="Arial" w:hAnsi="Arial"/>
      <w:sz w:val="22"/>
    </w:rPr>
  </w:style>
  <w:style w:type="paragraph" w:customStyle="1" w:styleId="TabBeschr">
    <w:name w:val="Tab_Beschr"/>
    <w:basedOn w:val="Standard"/>
    <w:rsid w:val="00232849"/>
    <w:pPr>
      <w:spacing w:before="0"/>
      <w:jc w:val="left"/>
    </w:pPr>
    <w:rPr>
      <w:rFonts w:ascii="Arial" w:hAnsi="Arial"/>
      <w:b/>
      <w:sz w:val="20"/>
    </w:rPr>
  </w:style>
  <w:style w:type="paragraph" w:customStyle="1" w:styleId="Abstand">
    <w:name w:val="Abstand"/>
    <w:basedOn w:val="Standard"/>
    <w:rsid w:val="00232849"/>
    <w:pPr>
      <w:spacing w:before="0"/>
      <w:jc w:val="left"/>
    </w:pPr>
    <w:rPr>
      <w:rFonts w:ascii="Arial" w:hAnsi="Arial"/>
      <w:sz w:val="16"/>
    </w:rPr>
  </w:style>
  <w:style w:type="paragraph" w:customStyle="1" w:styleId="Hinweisausgeblendet">
    <w:name w:val="Hinweis ausgeblendet"/>
    <w:basedOn w:val="Standard"/>
    <w:link w:val="HinweisausgeblendetZchn"/>
    <w:rsid w:val="00232849"/>
    <w:pPr>
      <w:spacing w:before="60"/>
      <w:jc w:val="left"/>
    </w:pPr>
    <w:rPr>
      <w:rFonts w:ascii="Arial" w:hAnsi="Arial" w:cs="Arial"/>
      <w:i/>
      <w:iCs/>
      <w:vanish/>
      <w:color w:val="0070C0"/>
      <w:sz w:val="22"/>
    </w:rPr>
  </w:style>
  <w:style w:type="character" w:customStyle="1" w:styleId="HinweisausgeblendetZchn">
    <w:name w:val="Hinweis ausgeblendet Zchn"/>
    <w:link w:val="Hinweisausgeblendet"/>
    <w:rsid w:val="00232849"/>
    <w:rPr>
      <w:rFonts w:ascii="Arial" w:hAnsi="Arial" w:cs="Arial"/>
      <w:i/>
      <w:iCs/>
      <w:vanish/>
      <w:color w:val="0070C0"/>
      <w:sz w:val="22"/>
    </w:rPr>
  </w:style>
  <w:style w:type="character" w:customStyle="1" w:styleId="FunotentextZchn">
    <w:name w:val="Fußnotentext Zchn"/>
    <w:basedOn w:val="Absatz-Standardschriftart"/>
    <w:link w:val="Funotentext"/>
    <w:semiHidden/>
    <w:rsid w:val="00232849"/>
    <w:rPr>
      <w:rFonts w:ascii="Century Gothic" w:hAnsi="Century Gothic"/>
      <w:sz w:val="14"/>
    </w:rPr>
  </w:style>
  <w:style w:type="character" w:customStyle="1" w:styleId="berschrift5Zchn">
    <w:name w:val="Überschrift 5 Zchn"/>
    <w:basedOn w:val="Absatz-Standardschriftart"/>
    <w:link w:val="berschrift5"/>
    <w:rsid w:val="00232849"/>
    <w:rPr>
      <w:rFonts w:ascii="Century Gothic" w:hAnsi="Century Gothic"/>
      <w:color w:val="00B0F0"/>
      <w:kern w:val="28"/>
      <w:sz w:val="24"/>
    </w:rPr>
  </w:style>
  <w:style w:type="character" w:customStyle="1" w:styleId="berschrift6Zchn">
    <w:name w:val="Überschrift 6 Zchn"/>
    <w:basedOn w:val="Absatz-Standardschriftart"/>
    <w:link w:val="berschrift6"/>
    <w:rsid w:val="00232849"/>
    <w:rPr>
      <w:rFonts w:ascii="Century Gothic" w:hAnsi="Century Gothic"/>
      <w:color w:val="00B0F0"/>
      <w:kern w:val="28"/>
      <w:sz w:val="24"/>
    </w:rPr>
  </w:style>
  <w:style w:type="character" w:customStyle="1" w:styleId="berschrift7Zchn">
    <w:name w:val="Überschrift 7 Zchn"/>
    <w:basedOn w:val="Absatz-Standardschriftart"/>
    <w:link w:val="berschrift7"/>
    <w:rsid w:val="00232849"/>
    <w:rPr>
      <w:rFonts w:ascii="Century Gothic" w:hAnsi="Century Gothic"/>
      <w:color w:val="00B0F0"/>
      <w:kern w:val="28"/>
      <w:sz w:val="24"/>
    </w:rPr>
  </w:style>
  <w:style w:type="character" w:customStyle="1" w:styleId="berschrift8Zchn">
    <w:name w:val="Überschrift 8 Zchn"/>
    <w:basedOn w:val="Absatz-Standardschriftart"/>
    <w:link w:val="berschrift8"/>
    <w:rsid w:val="00232849"/>
    <w:rPr>
      <w:rFonts w:ascii="Century Gothic" w:hAnsi="Century Gothic"/>
      <w:color w:val="00B0F0"/>
      <w:kern w:val="28"/>
      <w:sz w:val="24"/>
    </w:rPr>
  </w:style>
  <w:style w:type="character" w:customStyle="1" w:styleId="berschrift9Zchn">
    <w:name w:val="Überschrift 9 Zchn"/>
    <w:basedOn w:val="Absatz-Standardschriftart"/>
    <w:link w:val="berschrift9"/>
    <w:rsid w:val="00232849"/>
    <w:rPr>
      <w:rFonts w:ascii="Century Gothic" w:hAnsi="Century Gothic"/>
      <w:color w:val="00B0F0"/>
      <w:kern w:val="28"/>
      <w:sz w:val="24"/>
    </w:rPr>
  </w:style>
  <w:style w:type="paragraph" w:customStyle="1" w:styleId="bwgvStandard">
    <w:name w:val="bwgv_Standard"/>
    <w:basedOn w:val="Verzeichnis1"/>
    <w:next w:val="Standard"/>
    <w:link w:val="bwgvStandardZchn"/>
    <w:rsid w:val="00232849"/>
    <w:pPr>
      <w:widowControl w:val="0"/>
      <w:tabs>
        <w:tab w:val="right" w:pos="9639"/>
      </w:tabs>
      <w:overflowPunct w:val="0"/>
      <w:autoSpaceDE w:val="0"/>
      <w:autoSpaceDN w:val="0"/>
      <w:adjustRightInd w:val="0"/>
      <w:spacing w:before="120" w:line="320" w:lineRule="atLeast"/>
      <w:ind w:left="0" w:right="0" w:firstLine="0"/>
      <w:textAlignment w:val="baseline"/>
    </w:pPr>
    <w:rPr>
      <w:rFonts w:ascii="Arial" w:hAnsi="Arial"/>
      <w:b w:val="0"/>
      <w:noProof w:val="0"/>
      <w:sz w:val="22"/>
    </w:rPr>
  </w:style>
  <w:style w:type="character" w:customStyle="1" w:styleId="bwgvStandardZchn">
    <w:name w:val="bwgv_Standard Zchn"/>
    <w:basedOn w:val="Absatz-Standardschriftart"/>
    <w:link w:val="bwgvStandard"/>
    <w:rsid w:val="00232849"/>
    <w:rPr>
      <w:rFonts w:ascii="Arial" w:hAnsi="Arial"/>
      <w:sz w:val="22"/>
    </w:rPr>
  </w:style>
  <w:style w:type="character" w:customStyle="1" w:styleId="n0074ccb0x028549c0">
    <w:name w:val="n0074ccb0x028549c0"/>
    <w:basedOn w:val="Absatz-Standardschriftart"/>
    <w:rsid w:val="00232849"/>
    <w:rPr>
      <w:b/>
      <w:bCs/>
    </w:rPr>
  </w:style>
  <w:style w:type="character" w:customStyle="1" w:styleId="n0074ccb0x02854a30">
    <w:name w:val="n0074ccb0x02854a30"/>
    <w:basedOn w:val="Absatz-Standardschriftart"/>
    <w:rsid w:val="00232849"/>
    <w:rPr>
      <w:i/>
      <w:iCs/>
    </w:rPr>
  </w:style>
  <w:style w:type="character" w:customStyle="1" w:styleId="n0074ccb0x02854f70">
    <w:name w:val="n0074ccb0x02854f70"/>
    <w:basedOn w:val="Absatz-Standardschriftart"/>
    <w:rsid w:val="00232849"/>
    <w:rPr>
      <w:rFonts w:ascii="Verdana" w:hAnsi="Verdana" w:hint="default"/>
      <w:color w:val="8C8FC3"/>
      <w:sz w:val="14"/>
      <w:szCs w:val="14"/>
      <w:u w:val="single"/>
    </w:rPr>
  </w:style>
  <w:style w:type="character" w:customStyle="1" w:styleId="KopfzeileZchn">
    <w:name w:val="Kopfzeile Zchn"/>
    <w:basedOn w:val="Absatz-Standardschriftart"/>
    <w:link w:val="Kopfzeile"/>
    <w:uiPriority w:val="99"/>
    <w:rsid w:val="00232849"/>
    <w:rPr>
      <w:rFonts w:ascii="Century Gothic" w:hAnsi="Century Gothic"/>
    </w:rPr>
  </w:style>
  <w:style w:type="character" w:customStyle="1" w:styleId="ZitatZchn">
    <w:name w:val="Zitat Zchn"/>
    <w:basedOn w:val="Absatz-Standardschriftart"/>
    <w:link w:val="Zitat"/>
    <w:rsid w:val="00C96B57"/>
    <w:rPr>
      <w:rFonts w:ascii="Century Gothic" w:hAnsi="Century Gothic"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1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2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786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5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82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93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40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700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35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505977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853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436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782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517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2898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497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4776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emf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tiff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package" Target="embeddings/Microsoft_PowerPoint_Slide.sldx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package" Target="embeddings/Microsoft_PowerPoint_Slide1.sldx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AUD_61_Ablauforganisation\AUD_QMA_61_G_Redaktionsarbeit\_1%20Handbuch\AUD_61_G_Redaktionsarbeit%20FORTLAUFEND\G_4._Skriptentwicklung\G_4._HAUPTBAND\_310_Muster_Skrip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SO999929 xmlns="http://www.datev.de/BSOffice/999929">19fc165c-b03a-401e-a201-775bc3e8c688</BSO999929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2B5D3-F3D4-401D-A32A-C60228265034}">
  <ds:schemaRefs>
    <ds:schemaRef ds:uri="http://www.datev.de/BSOffice/999929"/>
  </ds:schemaRefs>
</ds:datastoreItem>
</file>

<file path=customXml/itemProps2.xml><?xml version="1.0" encoding="utf-8"?>
<ds:datastoreItem xmlns:ds="http://schemas.openxmlformats.org/officeDocument/2006/customXml" ds:itemID="{7E3805AC-CAE7-40F0-821B-1BB6705CC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_310_Muster_Skript.dotx</Template>
  <TotalTime>0</TotalTime>
  <Pages>8</Pages>
  <Words>1472</Words>
  <Characters>9278</Characters>
  <Application>Microsoft Office Word</Application>
  <DocSecurity>0</DocSecurity>
  <Lines>77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Skript</vt:lpstr>
    </vt:vector>
  </TitlesOfParts>
  <Company>Lösle GmbH</Company>
  <LinksUpToDate>false</LinksUpToDate>
  <CharactersWithSpaces>10729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Skript</dc:title>
  <dc:creator>Benz, Sarah - LÖSLE</dc:creator>
  <cp:lastModifiedBy>Koch, Anja - AUDfIT</cp:lastModifiedBy>
  <cp:revision>9</cp:revision>
  <cp:lastPrinted>2025-02-13T14:37:00Z</cp:lastPrinted>
  <dcterms:created xsi:type="dcterms:W3CDTF">2023-09-05T09:07:00Z</dcterms:created>
  <dcterms:modified xsi:type="dcterms:W3CDTF">2025-10-08T14:48:00Z</dcterms:modified>
</cp:coreProperties>
</file>