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243" w:rsidRPr="00AF495C" w:rsidRDefault="00AD5243" w:rsidP="00AD5243">
      <w:pPr>
        <w:pStyle w:val="berschrift1"/>
        <w:shd w:val="clear" w:color="auto" w:fill="CCECFF"/>
        <w:tabs>
          <w:tab w:val="num" w:pos="2807"/>
        </w:tabs>
      </w:pPr>
      <w:bookmarkStart w:id="0" w:name="_Toc492905481"/>
      <w:bookmarkStart w:id="1" w:name="_Toc510621507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42AD2" wp14:editId="2EFB9BC6">
                <wp:simplePos x="0" y="0"/>
                <wp:positionH relativeFrom="column">
                  <wp:posOffset>5480176</wp:posOffset>
                </wp:positionH>
                <wp:positionV relativeFrom="paragraph">
                  <wp:posOffset>-446723</wp:posOffset>
                </wp:positionV>
                <wp:extent cx="540000" cy="1403985"/>
                <wp:effectExtent l="0" t="0" r="635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40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243" w:rsidRDefault="00AD5243" w:rsidP="00AD5243">
                            <w:pPr>
                              <w:spacing w:before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516B82" w:rsidRPr="00AD6B74" w:rsidRDefault="00516B82" w:rsidP="00AD5243">
                            <w:pPr>
                              <w:spacing w:before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542A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31.5pt;margin-top:-35.2pt;width:42.5pt;height:110.55pt;rotation:-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" filled="f" stroked="f">
                <v:textbox style="mso-fit-shape-to-text:t">
                  <w:txbxContent>
                    <w:p w:rsidR="00AD5243" w:rsidRDefault="00AD5243" w:rsidP="00AD5243">
                      <w:pPr>
                        <w:spacing w:before="0"/>
                        <w:rPr>
                          <w:sz w:val="14"/>
                          <w:szCs w:val="14"/>
                        </w:rPr>
                      </w:pPr>
                    </w:p>
                    <w:p w:rsidR="00516B82" w:rsidRPr="00AD6B74" w:rsidRDefault="00516B82" w:rsidP="00AD5243">
                      <w:pPr>
                        <w:spacing w:before="0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noProof/>
        </w:rPr>
        <w:t>Bilanzierung entgeltlich erworbener Software beim Anwender (IDW RS HFA 11)</w:t>
      </w:r>
    </w:p>
    <w:p w:rsidR="00AD5243" w:rsidRDefault="00AD5243" w:rsidP="00AD5243">
      <w:pPr>
        <w:pStyle w:val="berschrift2"/>
      </w:pPr>
      <w:bookmarkStart w:id="2" w:name="_Toc510621508"/>
      <w:bookmarkEnd w:id="1"/>
      <w:r>
        <w:t>Inhalt und Umfang der Überarbeitung des IDW RS HFA 11 n.F.</w:t>
      </w:r>
      <w:bookmarkEnd w:id="2"/>
    </w:p>
    <w:p w:rsidR="00AD5243" w:rsidRDefault="00AD5243" w:rsidP="00AD5243">
      <w:pPr>
        <w:pStyle w:val="Standardeinzug"/>
      </w:pPr>
      <w:r>
        <w:t xml:space="preserve">Der Hauptfachausschuss (HFA) des IDW hat am 18.12.2017 die Neufassung der Stellungnahme des </w:t>
      </w:r>
      <w:r w:rsidRPr="00BA5EEF">
        <w:rPr>
          <w:rStyle w:val="HervorhebungBLAU"/>
        </w:rPr>
        <w:t>IDW RS HFA 11 n.F. „Bilanzierung entgeltlich erworbener Software beim Anwender“</w:t>
      </w:r>
      <w:r>
        <w:t xml:space="preserve"> verabschiedet.</w:t>
      </w:r>
    </w:p>
    <w:p w:rsidR="00AD5243" w:rsidRDefault="00AD5243" w:rsidP="00AD5243">
      <w:pPr>
        <w:pStyle w:val="Standardeinzug"/>
      </w:pPr>
      <w:r>
        <w:t xml:space="preserve">Neben dieser Stellungnahme wurde auch die geänderte Stellungnahme des IDW </w:t>
      </w:r>
      <w:r w:rsidRPr="004517EC">
        <w:rPr>
          <w:rStyle w:val="HervorhebungBLAU"/>
        </w:rPr>
        <w:t>RS HFA 31</w:t>
      </w:r>
      <w:r>
        <w:t xml:space="preserve"> „Aktivierung von Herstellungskosten“ verabschiedet.</w:t>
      </w:r>
    </w:p>
    <w:p w:rsidR="00AD5243" w:rsidRDefault="00511B0D" w:rsidP="00AD5243">
      <w:pPr>
        <w:pStyle w:val="Abbildung"/>
      </w:pPr>
      <w:r>
        <w:object w:dxaOrig="7147" w:dyaOrig="5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35pt;height:268pt" o:ole="" o:bordertopcolor="this" o:borderleftcolor="this" o:borderbottomcolor="this" o:borderrightcolor="this">
            <v:imagedata r:id="rId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PowerPoint.Slide.12" ShapeID="_x0000_i1025" DrawAspect="Content" ObjectID="_1821447877" r:id="rId10"/>
        </w:object>
      </w:r>
    </w:p>
    <w:p w:rsidR="00AD5243" w:rsidRPr="004D57EA" w:rsidRDefault="00AD5243" w:rsidP="00AD5243">
      <w:pPr>
        <w:pStyle w:val="Beschriftung"/>
        <w:rPr>
          <w:b/>
          <w:color w:val="00B0F0"/>
        </w:rPr>
      </w:pPr>
      <w:r>
        <w:t xml:space="preserve">Abbildung </w:t>
      </w:r>
      <w:fldSimple w:instr=" SEQ Abbildung \* ARABIC ">
        <w:r w:rsidR="00192324">
          <w:rPr>
            <w:noProof/>
          </w:rPr>
          <w:t>1</w:t>
        </w:r>
      </w:fldSimple>
      <w:r>
        <w:t>: Worum geht es in IDW RS HFA 11 und IDW HFA 31</w:t>
      </w:r>
    </w:p>
    <w:p w:rsidR="00AD5243" w:rsidRDefault="00AD5243" w:rsidP="00AD5243">
      <w:pPr>
        <w:pStyle w:val="Standardeinzug"/>
      </w:pPr>
      <w:r>
        <w:t xml:space="preserve">Die Stellungnahme des IDW RS HFA 11 n.F. „Bilanzierung entgeltlich erworbener Software“ </w:t>
      </w:r>
      <w:r w:rsidRPr="00BA5EEF">
        <w:rPr>
          <w:rStyle w:val="HervorhebungBLAU"/>
        </w:rPr>
        <w:t xml:space="preserve">befasst sich mit zwei </w:t>
      </w:r>
      <w:r>
        <w:rPr>
          <w:rStyle w:val="HervorhebungBLAU"/>
        </w:rPr>
        <w:t>zentralen Fragestellungen</w:t>
      </w:r>
      <w:r>
        <w:t>:</w:t>
      </w:r>
    </w:p>
    <w:p w:rsidR="00AD5243" w:rsidRDefault="00AD5243" w:rsidP="00AD5243">
      <w:pPr>
        <w:pStyle w:val="Aufzhlungszeichen"/>
        <w:ind w:left="1276" w:hanging="425"/>
      </w:pPr>
      <w:r w:rsidRPr="00BA5EEF">
        <w:rPr>
          <w:rStyle w:val="HervorhebenSCHWARZ"/>
        </w:rPr>
        <w:t xml:space="preserve">Unter </w:t>
      </w:r>
      <w:r w:rsidRPr="004517EC">
        <w:rPr>
          <w:rStyle w:val="HervorhebungROT"/>
        </w:rPr>
        <w:t>welchen Voraussetzungen</w:t>
      </w:r>
      <w:r>
        <w:rPr>
          <w:rStyle w:val="HervorhebungROT"/>
        </w:rPr>
        <w:t xml:space="preserve"> </w:t>
      </w:r>
      <w:r>
        <w:t xml:space="preserve">und </w:t>
      </w:r>
    </w:p>
    <w:p w:rsidR="00AD5243" w:rsidRPr="00BA5EEF" w:rsidRDefault="00AD5243" w:rsidP="00AD5243">
      <w:pPr>
        <w:pStyle w:val="Aufzhlungszeichen"/>
        <w:ind w:left="1276" w:hanging="425"/>
        <w:rPr>
          <w:rStyle w:val="HervorhebenSCHWARZ"/>
        </w:rPr>
      </w:pPr>
      <w:r w:rsidRPr="00BA5EEF">
        <w:rPr>
          <w:rStyle w:val="HervorhebenSCHWARZ"/>
        </w:rPr>
        <w:t xml:space="preserve">in </w:t>
      </w:r>
      <w:r w:rsidRPr="004517EC">
        <w:rPr>
          <w:rStyle w:val="HervorhebungROT"/>
        </w:rPr>
        <w:t>welcher Höhe</w:t>
      </w:r>
      <w:r w:rsidRPr="00BA5EEF">
        <w:rPr>
          <w:rStyle w:val="HervorhebenSCHWARZ"/>
        </w:rPr>
        <w:t xml:space="preserve"> </w:t>
      </w:r>
    </w:p>
    <w:p w:rsidR="00AD5243" w:rsidRDefault="00AD5243" w:rsidP="00AD5243">
      <w:pPr>
        <w:pStyle w:val="Standardeinzug"/>
      </w:pPr>
      <w:r>
        <w:t>sind Ausgaben für</w:t>
      </w:r>
    </w:p>
    <w:p w:rsidR="00AD5243" w:rsidRDefault="00AD5243" w:rsidP="00AD5243">
      <w:pPr>
        <w:pStyle w:val="Aufzhlungszeichen"/>
        <w:ind w:left="1276" w:hanging="425"/>
      </w:pPr>
      <w:r w:rsidRPr="004517EC">
        <w:rPr>
          <w:rStyle w:val="HervorhebungROT"/>
        </w:rPr>
        <w:t>Software zu aktivieren</w:t>
      </w:r>
      <w:r>
        <w:t xml:space="preserve"> oder</w:t>
      </w:r>
    </w:p>
    <w:p w:rsidR="00AD5243" w:rsidRDefault="00AD5243" w:rsidP="00AD5243">
      <w:pPr>
        <w:pStyle w:val="Aufzhlungszeichen"/>
        <w:ind w:left="1276" w:hanging="425"/>
      </w:pPr>
      <w:r w:rsidRPr="004517EC">
        <w:rPr>
          <w:rStyle w:val="HervorhebungROT"/>
        </w:rPr>
        <w:t>sofort als Aufwand</w:t>
      </w:r>
      <w:r>
        <w:t xml:space="preserve"> abzugsfähig? </w:t>
      </w:r>
    </w:p>
    <w:p w:rsidR="00AD5243" w:rsidRDefault="00AD5243" w:rsidP="00AD5243">
      <w:pPr>
        <w:pStyle w:val="Standardeinzug"/>
      </w:pPr>
      <w:r>
        <w:lastRenderedPageBreak/>
        <w:t xml:space="preserve">Beide zuvor genannten </w:t>
      </w:r>
      <w:r w:rsidRPr="004517EC">
        <w:rPr>
          <w:rStyle w:val="HervorhebungROT"/>
        </w:rPr>
        <w:t>Stellungnahmen</w:t>
      </w:r>
      <w:r>
        <w:t xml:space="preserve"> wurden </w:t>
      </w:r>
      <w:r w:rsidRPr="004517EC">
        <w:rPr>
          <w:rStyle w:val="HervorhebungROT"/>
        </w:rPr>
        <w:t>nur punktuell</w:t>
      </w:r>
      <w:r>
        <w:t xml:space="preserve"> </w:t>
      </w:r>
      <w:r w:rsidRPr="004517EC">
        <w:rPr>
          <w:rStyle w:val="HervorhebungROT"/>
        </w:rPr>
        <w:t>geändert</w:t>
      </w:r>
      <w:r>
        <w:t xml:space="preserve">. Mit den jeweiligen Neufassungen wurden beide Stellungnahmen an die </w:t>
      </w:r>
      <w:r w:rsidRPr="00BA5EEF">
        <w:rPr>
          <w:rStyle w:val="HervorhebungBLAU"/>
        </w:rPr>
        <w:t>Regelungen des Deutschen Rechnungslegungsstandards Nr. 24 (DRS 24) „Immaterielle Vermögensgegenstände im Konzernabschluss“</w:t>
      </w:r>
      <w:r>
        <w:t xml:space="preserve"> </w:t>
      </w:r>
      <w:r w:rsidRPr="00BA5EEF">
        <w:rPr>
          <w:rStyle w:val="HervorhebenSCHWARZ"/>
        </w:rPr>
        <w:t>angepasst</w:t>
      </w:r>
      <w:r>
        <w:t>.</w:t>
      </w:r>
      <w:r>
        <w:rPr>
          <w:rStyle w:val="Funotenzeichen"/>
        </w:rPr>
        <w:footnoteReference w:id="1"/>
      </w:r>
      <w:r>
        <w:t xml:space="preserve"> </w:t>
      </w:r>
    </w:p>
    <w:p w:rsidR="00AD5243" w:rsidRDefault="00AD5243" w:rsidP="00AD5243">
      <w:pPr>
        <w:pStyle w:val="berschrift2"/>
      </w:pPr>
      <w:bookmarkStart w:id="3" w:name="_Toc510621509"/>
      <w:r>
        <w:t>Erstanwendungszeitpunkt</w:t>
      </w:r>
      <w:bookmarkEnd w:id="3"/>
    </w:p>
    <w:p w:rsidR="00AD5243" w:rsidRDefault="00AD5243" w:rsidP="00AD5243">
      <w:pPr>
        <w:pStyle w:val="Aufzhlungszeichen"/>
        <w:ind w:left="1276" w:hanging="425"/>
      </w:pPr>
      <w:r>
        <w:t>Mit der aktuellen Fassung der IDW Stellungnahme wird die Stellungnahme des IDW RS HFA 11 in der Fassung vom 23.06.2010 ersetzt.</w:t>
      </w:r>
    </w:p>
    <w:p w:rsidR="00AD5243" w:rsidRDefault="00AD5243" w:rsidP="00AD5243">
      <w:pPr>
        <w:pStyle w:val="Aufzhlungszeichen"/>
        <w:ind w:left="1276" w:hanging="425"/>
      </w:pPr>
      <w:r>
        <w:t xml:space="preserve">Die aktuelle Fassung gilt für die Aufstellung von </w:t>
      </w:r>
      <w:r w:rsidRPr="008746E8">
        <w:rPr>
          <w:rStyle w:val="HervorhebungBLAU"/>
        </w:rPr>
        <w:t>Abschlüssen, deren Berichtsperioden nach dem 31.12.2017 beginnen</w:t>
      </w:r>
      <w:r>
        <w:t xml:space="preserve">. </w:t>
      </w:r>
    </w:p>
    <w:p w:rsidR="00AD5243" w:rsidRDefault="00AD5243" w:rsidP="00AD5243">
      <w:pPr>
        <w:pStyle w:val="Standardeinzug"/>
      </w:pPr>
      <w:r>
        <w:t xml:space="preserve">Soweit Software vor dem Erstanwendungszeitpunkt angeschafft oder selbst geschaffen wird, dürfen die Regelungen der Stellungnahme des IDW RS HFA 11 in der Fassung vom 23.06.2010 weiterverwendet werden. </w:t>
      </w:r>
    </w:p>
    <w:p w:rsidR="00AD5243" w:rsidRDefault="00AD5243" w:rsidP="00AD5243">
      <w:pPr>
        <w:pStyle w:val="Standardeinzug"/>
      </w:pPr>
      <w:r>
        <w:t xml:space="preserve">Die </w:t>
      </w:r>
      <w:r w:rsidRPr="004D57EA">
        <w:rPr>
          <w:rStyle w:val="HervorhebungROT"/>
        </w:rPr>
        <w:t>Neuregelungen sind prospektiv</w:t>
      </w:r>
      <w:r>
        <w:t xml:space="preserve"> anzuwenden. Das bedeutet, dass eine </w:t>
      </w:r>
      <w:r w:rsidRPr="008746E8">
        <w:rPr>
          <w:rStyle w:val="HervorhebenSCHWARZ"/>
        </w:rPr>
        <w:t>frühere Anwendung</w:t>
      </w:r>
      <w:r>
        <w:t xml:space="preserve"> des IDW RS HFA 11 in der Fassung vom 18.12.2017 </w:t>
      </w:r>
      <w:r w:rsidRPr="008746E8">
        <w:rPr>
          <w:rStyle w:val="HervorhebenSCHWARZ"/>
        </w:rPr>
        <w:t>zulässig</w:t>
      </w:r>
      <w:r>
        <w:t xml:space="preserve"> ist, allerdings nur unter der Bedingung, dass </w:t>
      </w:r>
      <w:r w:rsidRPr="008746E8">
        <w:rPr>
          <w:rStyle w:val="HervorhebenSCHWARZ"/>
        </w:rPr>
        <w:t>alle</w:t>
      </w:r>
      <w:r>
        <w:t xml:space="preserve"> in der Stellungnahme enthaltenen </w:t>
      </w:r>
      <w:r w:rsidRPr="008746E8">
        <w:rPr>
          <w:rStyle w:val="HervorhebenSCHWARZ"/>
        </w:rPr>
        <w:t>Regelungen vollständig beachtet</w:t>
      </w:r>
      <w:r>
        <w:t xml:space="preserve"> werden.</w:t>
      </w:r>
      <w:r>
        <w:rPr>
          <w:rStyle w:val="Funotenzeichen"/>
        </w:rPr>
        <w:footnoteReference w:id="2"/>
      </w:r>
    </w:p>
    <w:p w:rsidR="00AD5243" w:rsidRDefault="00AD5243" w:rsidP="00AD5243">
      <w:pPr>
        <w:pStyle w:val="berschrift2"/>
      </w:pPr>
      <w:bookmarkStart w:id="4" w:name="_Toc510621510"/>
      <w:r>
        <w:t>Wesentliche Änderungen auf einen Blick</w:t>
      </w:r>
      <w:bookmarkEnd w:id="4"/>
    </w:p>
    <w:p w:rsidR="00AD5243" w:rsidRPr="004D57EA" w:rsidRDefault="00AD5243" w:rsidP="00AD5243">
      <w:pPr>
        <w:pStyle w:val="berschrift3"/>
      </w:pPr>
      <w:bookmarkStart w:id="5" w:name="_Toc510621511"/>
      <w:r>
        <w:t>Titel 1: Modifikationsaufwendungen</w:t>
      </w:r>
      <w:bookmarkEnd w:id="5"/>
    </w:p>
    <w:p w:rsidR="00AD5243" w:rsidRDefault="00AD5243" w:rsidP="00AD5243">
      <w:pPr>
        <w:pStyle w:val="Standardeinzug"/>
      </w:pPr>
      <w:r>
        <w:t xml:space="preserve">Bei der Anpassung des IDW RS HFA 11 n.F. geht es vor allem um die bilanzielle Behandlung der </w:t>
      </w:r>
      <w:r w:rsidRPr="008746E8">
        <w:rPr>
          <w:rStyle w:val="HervorhebenSCHWARZ"/>
        </w:rPr>
        <w:t>Modifikationsaufwendungen</w:t>
      </w:r>
      <w:r>
        <w:t>.</w:t>
      </w:r>
    </w:p>
    <w:p w:rsidR="00AD5243" w:rsidRPr="004D57EA" w:rsidRDefault="00AD5243" w:rsidP="00AD5243">
      <w:pPr>
        <w:pStyle w:val="berschrift3"/>
      </w:pPr>
      <w:bookmarkStart w:id="6" w:name="_Toc510621512"/>
      <w:r>
        <w:t>Definition: Modifikationsaufwendungen</w:t>
      </w:r>
      <w:bookmarkEnd w:id="6"/>
    </w:p>
    <w:p w:rsidR="00AD5243" w:rsidRDefault="00AD5243" w:rsidP="00AD5243">
      <w:pPr>
        <w:pStyle w:val="Standardeinzug"/>
      </w:pPr>
      <w:r>
        <w:t>Bei Modifikationsaufwendungen handelt es sich gemäß der Stellungnahme des IDW RS HFA 11 n.F. um „</w:t>
      </w:r>
      <w:r w:rsidRPr="008746E8">
        <w:rPr>
          <w:rStyle w:val="HervorhebenSCHWARZ"/>
        </w:rPr>
        <w:t>Maßnahmen zur Erweiterung oder über den ursprünglichen Zustand hinausgehenden wesentlichen Verbesserungen von Software“</w:t>
      </w:r>
      <w:r>
        <w:rPr>
          <w:rStyle w:val="Funotenzeichen"/>
        </w:rPr>
        <w:footnoteReference w:id="3"/>
      </w:r>
      <w:r>
        <w:t>.</w:t>
      </w:r>
    </w:p>
    <w:p w:rsidR="00AD5243" w:rsidRDefault="00AD5243" w:rsidP="00AD5243">
      <w:pPr>
        <w:pStyle w:val="berschrift3"/>
      </w:pPr>
      <w:bookmarkStart w:id="7" w:name="_Toc510621513"/>
      <w:r>
        <w:t>Bisherige – nunmehr überholte Regelung</w:t>
      </w:r>
      <w:bookmarkEnd w:id="7"/>
    </w:p>
    <w:p w:rsidR="00AD5243" w:rsidRDefault="00AD5243" w:rsidP="00AD5243">
      <w:pPr>
        <w:pStyle w:val="Aufzhlungszeichen"/>
        <w:numPr>
          <w:ilvl w:val="0"/>
          <w:numId w:val="15"/>
        </w:numPr>
        <w:ind w:left="1276" w:hanging="425"/>
      </w:pPr>
      <w:r>
        <w:t xml:space="preserve">Die Beurteilung der </w:t>
      </w:r>
      <w:r w:rsidRPr="00725731">
        <w:rPr>
          <w:rStyle w:val="HervorhebenSCHWARZ"/>
        </w:rPr>
        <w:t>bilanziellen Behandlung</w:t>
      </w:r>
      <w:r>
        <w:t xml:space="preserve"> der Modifikationsaufwendungen ist nach der </w:t>
      </w:r>
      <w:r>
        <w:rPr>
          <w:rStyle w:val="HervorhebungROT"/>
        </w:rPr>
        <w:t>ursprünglichen</w:t>
      </w:r>
      <w:r>
        <w:t xml:space="preserve"> </w:t>
      </w:r>
      <w:r w:rsidRPr="004D57EA">
        <w:rPr>
          <w:rStyle w:val="HervorhebungROT"/>
        </w:rPr>
        <w:t>Fassung</w:t>
      </w:r>
      <w:r>
        <w:t xml:space="preserve"> der Stellungnahme des </w:t>
      </w:r>
      <w:r w:rsidRPr="004D57EA">
        <w:rPr>
          <w:rStyle w:val="HervorhebungROT"/>
        </w:rPr>
        <w:t>IDW RS HFA 11</w:t>
      </w:r>
      <w:r w:rsidRPr="008746E8">
        <w:rPr>
          <w:rStyle w:val="HervorhebungBLAU"/>
        </w:rPr>
        <w:t xml:space="preserve"> vom 23.06.2010</w:t>
      </w:r>
      <w:r>
        <w:t xml:space="preserve"> davon </w:t>
      </w:r>
      <w:r>
        <w:lastRenderedPageBreak/>
        <w:t xml:space="preserve">unabhängig vorzunehmen, wie die </w:t>
      </w:r>
      <w:r w:rsidRPr="00725731">
        <w:rPr>
          <w:rStyle w:val="HervorhebenSCHWARZ"/>
        </w:rPr>
        <w:t>Aufwendungen für die Anschaffung oder Herstellung der Software</w:t>
      </w:r>
      <w:r>
        <w:t xml:space="preserve"> hinsichtlich ihrer Aktivierungspflicht zu beurteilen worden waren. </w:t>
      </w:r>
    </w:p>
    <w:p w:rsidR="00AD5243" w:rsidRDefault="00AD5243" w:rsidP="00AD5243">
      <w:pPr>
        <w:pStyle w:val="Aufzhlungszeichen"/>
        <w:numPr>
          <w:ilvl w:val="0"/>
          <w:numId w:val="15"/>
        </w:numPr>
        <w:ind w:left="1276" w:hanging="425"/>
      </w:pPr>
      <w:r>
        <w:t xml:space="preserve">Es ist vielmehr geregelt, dass sich die </w:t>
      </w:r>
      <w:r w:rsidRPr="008746E8">
        <w:rPr>
          <w:rStyle w:val="HervorhebenSCHWARZ"/>
        </w:rPr>
        <w:t>bilanzielle Beurteilung</w:t>
      </w:r>
      <w:r>
        <w:t xml:space="preserve"> der </w:t>
      </w:r>
      <w:r w:rsidRPr="008746E8">
        <w:rPr>
          <w:rStyle w:val="HervorhebenSCHWARZ"/>
        </w:rPr>
        <w:t>Modifikationsaufwendungen</w:t>
      </w:r>
      <w:r>
        <w:t xml:space="preserve"> danach richtet, ob das </w:t>
      </w:r>
      <w:r w:rsidRPr="0072019B">
        <w:rPr>
          <w:rStyle w:val="HervorhebungROT"/>
        </w:rPr>
        <w:t>Risiko</w:t>
      </w:r>
      <w:r>
        <w:t xml:space="preserve"> einer erfolgreichen Modifikation der Software </w:t>
      </w:r>
      <w:r w:rsidRPr="008746E8">
        <w:rPr>
          <w:rStyle w:val="HervorhebenSCHWARZ"/>
        </w:rPr>
        <w:t>vom bilanzierenden Unternehmen oder einem Dritten getragen wird</w:t>
      </w:r>
      <w:r>
        <w:t>.</w:t>
      </w:r>
      <w:r>
        <w:rPr>
          <w:rStyle w:val="Funotenzeichen"/>
        </w:rPr>
        <w:footnoteReference w:id="4"/>
      </w:r>
    </w:p>
    <w:p w:rsidR="00AD5243" w:rsidRDefault="00AD5243" w:rsidP="00AD5243">
      <w:pPr>
        <w:pStyle w:val="berschrift3"/>
      </w:pPr>
      <w:bookmarkStart w:id="8" w:name="_Toc510621514"/>
      <w:r>
        <w:t>Neue Regelungen</w:t>
      </w:r>
      <w:bookmarkEnd w:id="8"/>
    </w:p>
    <w:p w:rsidR="00AD5243" w:rsidRDefault="00AD5243" w:rsidP="00AD5243">
      <w:pPr>
        <w:pStyle w:val="Aufzhlungszeichen"/>
        <w:numPr>
          <w:ilvl w:val="0"/>
          <w:numId w:val="14"/>
        </w:numPr>
        <w:ind w:left="1276" w:hanging="425"/>
      </w:pPr>
      <w:r>
        <w:t xml:space="preserve">In </w:t>
      </w:r>
      <w:r w:rsidRPr="008746E8">
        <w:rPr>
          <w:rStyle w:val="HervorhebungBLAU"/>
        </w:rPr>
        <w:t>Übereinstimmung</w:t>
      </w:r>
      <w:r>
        <w:t xml:space="preserve"> mit den </w:t>
      </w:r>
      <w:r w:rsidRPr="008746E8">
        <w:rPr>
          <w:rStyle w:val="HervorhebungBLAU"/>
        </w:rPr>
        <w:t>Regelungen des DRS 24.32 ff.</w:t>
      </w:r>
      <w:r>
        <w:t xml:space="preserve"> richtet sich die </w:t>
      </w:r>
      <w:r w:rsidRPr="008746E8">
        <w:rPr>
          <w:rStyle w:val="HervorhebenSCHWARZ"/>
        </w:rPr>
        <w:t>bilanzielle Behandlung</w:t>
      </w:r>
      <w:r>
        <w:t xml:space="preserve"> der </w:t>
      </w:r>
      <w:r w:rsidRPr="008746E8">
        <w:rPr>
          <w:rStyle w:val="HervorhebenSCHWARZ"/>
        </w:rPr>
        <w:t>Modifikationsaufwendungen</w:t>
      </w:r>
      <w:r>
        <w:t xml:space="preserve"> </w:t>
      </w:r>
      <w:r w:rsidRPr="0072019B">
        <w:rPr>
          <w:rStyle w:val="HervorhebungROT"/>
        </w:rPr>
        <w:t>in Zukunft</w:t>
      </w:r>
      <w:r>
        <w:t xml:space="preserve"> </w:t>
      </w:r>
      <w:r w:rsidRPr="0072019B">
        <w:rPr>
          <w:rStyle w:val="HervorhebungROT"/>
        </w:rPr>
        <w:t>nur</w:t>
      </w:r>
      <w:r>
        <w:t xml:space="preserve"> </w:t>
      </w:r>
      <w:r w:rsidRPr="008746E8">
        <w:rPr>
          <w:rStyle w:val="HervorhebenSCHWARZ"/>
        </w:rPr>
        <w:t>nach</w:t>
      </w:r>
      <w:r>
        <w:t xml:space="preserve"> </w:t>
      </w:r>
      <w:r w:rsidRPr="00725731">
        <w:rPr>
          <w:rStyle w:val="HervorhebenSCHWARZ"/>
        </w:rPr>
        <w:t>der</w:t>
      </w:r>
      <w:r>
        <w:t xml:space="preserve"> </w:t>
      </w:r>
      <w:r w:rsidRPr="008746E8">
        <w:rPr>
          <w:rStyle w:val="HervorhebenSCHWARZ"/>
        </w:rPr>
        <w:t>bilanziellen Behandlung</w:t>
      </w:r>
      <w:r>
        <w:t xml:space="preserve"> der </w:t>
      </w:r>
      <w:r w:rsidRPr="008746E8">
        <w:rPr>
          <w:rStyle w:val="HervorhebenSCHWARZ"/>
        </w:rPr>
        <w:t>Aufwendungen</w:t>
      </w:r>
      <w:r>
        <w:t xml:space="preserve"> für die Anschaffung oder Herstellung der </w:t>
      </w:r>
      <w:r w:rsidRPr="008746E8">
        <w:rPr>
          <w:rStyle w:val="HervorhebenSCHWARZ"/>
        </w:rPr>
        <w:t>ursprünglichen Software</w:t>
      </w:r>
      <w:r>
        <w:t>.</w:t>
      </w:r>
    </w:p>
    <w:p w:rsidR="00AD5243" w:rsidRDefault="00AD5243" w:rsidP="00AD5243">
      <w:pPr>
        <w:pStyle w:val="Aufzhlungszeichen"/>
        <w:numPr>
          <w:ilvl w:val="0"/>
          <w:numId w:val="14"/>
        </w:numPr>
        <w:ind w:left="1276" w:hanging="425"/>
      </w:pPr>
      <w:r>
        <w:t>Unerheblich ist, wer das Herstellungsrisiko der Modifikation trägt.</w:t>
      </w:r>
      <w:r>
        <w:rPr>
          <w:rStyle w:val="Funotenzeichen"/>
        </w:rPr>
        <w:footnoteReference w:id="5"/>
      </w:r>
    </w:p>
    <w:p w:rsidR="00AD5243" w:rsidRPr="0072019B" w:rsidRDefault="00AD5243" w:rsidP="00AD5243">
      <w:pPr>
        <w:pStyle w:val="berschrift3"/>
      </w:pPr>
      <w:bookmarkStart w:id="9" w:name="_Toc510621515"/>
      <w:r>
        <w:t>Titel 2: Anschaffungspreisminderungen und Folgebewertung</w:t>
      </w:r>
      <w:bookmarkEnd w:id="9"/>
    </w:p>
    <w:p w:rsidR="00AD5243" w:rsidRDefault="00AD5243" w:rsidP="00AD5243">
      <w:pPr>
        <w:pStyle w:val="Standardeinzug"/>
      </w:pPr>
      <w:r>
        <w:t xml:space="preserve">Über diese Neuregelung hinaus gibt es nur geringfügige Anpassungen, betreffend die </w:t>
      </w:r>
    </w:p>
    <w:p w:rsidR="00AD5243" w:rsidRDefault="00AD5243" w:rsidP="00AD5243">
      <w:pPr>
        <w:pStyle w:val="Aufzhlungszeichen"/>
        <w:ind w:left="1276" w:hanging="425"/>
      </w:pPr>
      <w:proofErr w:type="spellStart"/>
      <w:r>
        <w:t>Einzelzuordenbarkeit</w:t>
      </w:r>
      <w:proofErr w:type="spellEnd"/>
      <w:r>
        <w:t xml:space="preserve"> von </w:t>
      </w:r>
      <w:r w:rsidRPr="00FE48CE">
        <w:rPr>
          <w:rStyle w:val="HervorhebungBLAU"/>
        </w:rPr>
        <w:t>Anschaffungspreisminderungen</w:t>
      </w:r>
      <w:r>
        <w:rPr>
          <w:rStyle w:val="Funotenzeichen"/>
        </w:rPr>
        <w:footnoteReference w:id="6"/>
      </w:r>
    </w:p>
    <w:p w:rsidR="00AD5243" w:rsidRDefault="00AD5243" w:rsidP="00AD5243">
      <w:pPr>
        <w:pStyle w:val="Aufzhlungszeichen"/>
        <w:ind w:left="1276" w:hanging="425"/>
      </w:pPr>
      <w:r w:rsidRPr="00FE48CE">
        <w:rPr>
          <w:rStyle w:val="HervorhebungBLAU"/>
        </w:rPr>
        <w:t>Folgebewertung</w:t>
      </w:r>
      <w:r>
        <w:t xml:space="preserve"> bei dem Wegfall von Gründen für in früheren Perioden vorgenommenen außerplanmäßigen Abschreibungen</w:t>
      </w:r>
      <w:r>
        <w:rPr>
          <w:rStyle w:val="Funotenzeichen"/>
        </w:rPr>
        <w:footnoteReference w:id="7"/>
      </w:r>
    </w:p>
    <w:p w:rsidR="00AD5243" w:rsidRDefault="00AD5243" w:rsidP="00AD5243">
      <w:pPr>
        <w:pStyle w:val="berschrift2"/>
      </w:pPr>
      <w:bookmarkStart w:id="10" w:name="_Toc510621516"/>
      <w:r>
        <w:t>Klassifizierung von Software und deren Einstufung als materieller oder immaterieller Vermögensgegenstand des Anlagevermögens</w:t>
      </w:r>
      <w:bookmarkEnd w:id="10"/>
    </w:p>
    <w:p w:rsidR="00AD5243" w:rsidRDefault="00AD5243" w:rsidP="00AD5243">
      <w:pPr>
        <w:pStyle w:val="berschrift3"/>
      </w:pPr>
      <w:bookmarkStart w:id="11" w:name="_Toc510621517"/>
      <w:r>
        <w:t>Überblick</w:t>
      </w:r>
      <w:bookmarkEnd w:id="11"/>
      <w:r>
        <w:t xml:space="preserve"> </w:t>
      </w:r>
    </w:p>
    <w:p w:rsidR="00AD5243" w:rsidRPr="00417040" w:rsidRDefault="00AD5243" w:rsidP="00AD5243">
      <w:pPr>
        <w:pStyle w:val="Standardeinzug"/>
        <w:rPr>
          <w:rStyle w:val="HervorhebungBLAU"/>
        </w:rPr>
      </w:pPr>
      <w:r w:rsidRPr="00417040">
        <w:rPr>
          <w:rStyle w:val="HervorhebungBLAU"/>
        </w:rPr>
        <w:t>Titel 3: Herstellung oder Erwerb von Software</w:t>
      </w:r>
    </w:p>
    <w:p w:rsidR="00AD5243" w:rsidRPr="00CA698D" w:rsidRDefault="00AD5243" w:rsidP="00AD5243">
      <w:pPr>
        <w:pStyle w:val="Standardeinzug"/>
      </w:pPr>
      <w:r>
        <w:t>Ein sachgerechter Gebrauch der Begrifflichkeiten ist für die Dokumentation unverzichtbar.</w:t>
      </w:r>
    </w:p>
    <w:p w:rsidR="00AD5243" w:rsidRDefault="00AD5243" w:rsidP="00AD5243">
      <w:pPr>
        <w:pStyle w:val="Standardeinzug"/>
      </w:pPr>
      <w:r>
        <w:t>Als Überblick über die verschiedenen Arten von Software dient das folgende Schaubild:</w:t>
      </w:r>
    </w:p>
    <w:p w:rsidR="00AD5243" w:rsidRDefault="00511B0D" w:rsidP="00AD5243">
      <w:pPr>
        <w:pStyle w:val="Abbildung"/>
      </w:pPr>
      <w:r>
        <w:object w:dxaOrig="7147" w:dyaOrig="5360">
          <v:shape id="_x0000_i1026" type="#_x0000_t75" style="width:357.35pt;height:268pt" o:ole="" o:bordertopcolor="this" o:borderleftcolor="this" o:borderbottomcolor="this" o:borderrightcolor="this">
            <v:imagedata r:id="rId1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PowerPoint.Slide.12" ShapeID="_x0000_i1026" DrawAspect="Content" ObjectID="_1821447878" r:id="rId12"/>
        </w:object>
      </w:r>
    </w:p>
    <w:p w:rsidR="00AD5243" w:rsidRPr="00BD1C4E" w:rsidRDefault="00AD5243" w:rsidP="00AD5243">
      <w:pPr>
        <w:pStyle w:val="Beschriftung"/>
      </w:pPr>
      <w:r>
        <w:t xml:space="preserve">Abbildung </w:t>
      </w:r>
      <w:fldSimple w:instr=" SEQ Abbildung \* ARABIC ">
        <w:r w:rsidR="00192324">
          <w:rPr>
            <w:noProof/>
          </w:rPr>
          <w:t>2</w:t>
        </w:r>
      </w:fldSimple>
      <w:r>
        <w:t xml:space="preserve">: </w:t>
      </w:r>
      <w:r w:rsidRPr="00583A0A">
        <w:t>Arten von Software</w:t>
      </w:r>
      <w:r>
        <w:rPr>
          <w:rStyle w:val="Funotenzeichen"/>
        </w:rPr>
        <w:footnoteReference w:id="8"/>
      </w:r>
    </w:p>
    <w:p w:rsidR="00AD5243" w:rsidRDefault="00AD5243" w:rsidP="00AD5243">
      <w:pPr>
        <w:pStyle w:val="berschrift3"/>
      </w:pPr>
      <w:bookmarkStart w:id="12" w:name="_Toc510621518"/>
      <w:r>
        <w:t>Begriffsbeschreibung: Firmware</w:t>
      </w:r>
      <w:bookmarkEnd w:id="12"/>
    </w:p>
    <w:p w:rsidR="00AD5243" w:rsidRPr="00457DAD" w:rsidRDefault="00AD5243" w:rsidP="00AD5243">
      <w:pPr>
        <w:pStyle w:val="Standardeinzug"/>
      </w:pPr>
      <w:r>
        <w:t xml:space="preserve">Unter </w:t>
      </w:r>
      <w:r w:rsidRPr="008746E8">
        <w:rPr>
          <w:rStyle w:val="HervorhebungBLAU"/>
        </w:rPr>
        <w:t>Firmware</w:t>
      </w:r>
      <w:r>
        <w:t xml:space="preserve"> werden </w:t>
      </w:r>
      <w:r w:rsidRPr="008746E8">
        <w:rPr>
          <w:rStyle w:val="HervorhebenSCHWARZ"/>
        </w:rPr>
        <w:t>fest mit dem Computer verbundene Pro</w:t>
      </w:r>
      <w:r>
        <w:rPr>
          <w:rStyle w:val="HervorhebenSCHWARZ"/>
        </w:rPr>
        <w:t>gramm</w:t>
      </w:r>
      <w:r w:rsidRPr="008746E8">
        <w:rPr>
          <w:rStyle w:val="HervorhebenSCHWARZ"/>
        </w:rPr>
        <w:t>bausteine</w:t>
      </w:r>
      <w:r>
        <w:t xml:space="preserve"> verstanden, die die Hardware und Software verbinden. Mit Firmware werden elementare Funktionen des Computers gesteuert.</w:t>
      </w:r>
    </w:p>
    <w:p w:rsidR="00AD5243" w:rsidRDefault="00AD5243" w:rsidP="00AD5243">
      <w:pPr>
        <w:pStyle w:val="Standardeinzug"/>
      </w:pPr>
      <w:r>
        <w:t xml:space="preserve">Da Firmware als </w:t>
      </w:r>
      <w:r w:rsidRPr="00666053">
        <w:rPr>
          <w:rStyle w:val="HervorhebungROT"/>
        </w:rPr>
        <w:t>unselbständiger Teil der Hardware</w:t>
      </w:r>
      <w:r>
        <w:t xml:space="preserve"> anzusehen ist, wird diese Art der Software </w:t>
      </w:r>
      <w:r w:rsidRPr="00666053">
        <w:rPr>
          <w:rStyle w:val="HervorhebungBLAU"/>
        </w:rPr>
        <w:t>zusammen mit der Hardware im Sachanlagevermögen aktiviert</w:t>
      </w:r>
      <w:r>
        <w:t>.</w:t>
      </w:r>
      <w:r>
        <w:rPr>
          <w:rStyle w:val="Funotenzeichen"/>
        </w:rPr>
        <w:footnoteReference w:id="9"/>
      </w:r>
      <w:r>
        <w:t xml:space="preserve"> Diese ist häufig bei CNC-Maschinen oder programmgesteuerten Maschinen anzutreffen.</w:t>
      </w:r>
    </w:p>
    <w:p w:rsidR="00AD5243" w:rsidRDefault="00AD5243" w:rsidP="00AD5243">
      <w:pPr>
        <w:pStyle w:val="berschrift3"/>
      </w:pPr>
      <w:bookmarkStart w:id="13" w:name="_Toc510621519"/>
      <w:r>
        <w:t>Definition: Systemsoftware</w:t>
      </w:r>
      <w:bookmarkEnd w:id="13"/>
    </w:p>
    <w:p w:rsidR="00AD5243" w:rsidRDefault="00AD5243" w:rsidP="00AD5243">
      <w:pPr>
        <w:pStyle w:val="Standardeinzug"/>
      </w:pPr>
      <w:r>
        <w:t xml:space="preserve">Unter </w:t>
      </w:r>
      <w:r w:rsidRPr="008746E8">
        <w:rPr>
          <w:rStyle w:val="HervorhebungBLAU"/>
        </w:rPr>
        <w:t>Systemsoftware</w:t>
      </w:r>
      <w:r>
        <w:t xml:space="preserve"> wird die </w:t>
      </w:r>
      <w:r w:rsidRPr="008746E8">
        <w:rPr>
          <w:rStyle w:val="HervorhebenSCHWARZ"/>
        </w:rPr>
        <w:t>Gesamtheit der im Betriebssystem zusammengefassten Programme</w:t>
      </w:r>
      <w:r>
        <w:t xml:space="preserve"> verstanden. Diese Programme </w:t>
      </w:r>
    </w:p>
    <w:p w:rsidR="00AD5243" w:rsidRDefault="00AD5243" w:rsidP="00AD5243">
      <w:pPr>
        <w:pStyle w:val="Aufzhlungszeichen"/>
        <w:ind w:left="1276" w:hanging="425"/>
      </w:pPr>
      <w:r>
        <w:t xml:space="preserve">verwalten die Ressourcen des Computers, </w:t>
      </w:r>
    </w:p>
    <w:p w:rsidR="00AD5243" w:rsidRDefault="00AD5243" w:rsidP="00AD5243">
      <w:pPr>
        <w:pStyle w:val="Aufzhlungszeichen"/>
        <w:ind w:left="1276" w:hanging="425"/>
      </w:pPr>
      <w:r>
        <w:t xml:space="preserve">steuern Programmabläufe </w:t>
      </w:r>
    </w:p>
    <w:p w:rsidR="00AD5243" w:rsidRDefault="00AD5243" w:rsidP="00AD5243">
      <w:pPr>
        <w:pStyle w:val="Aufzhlungszeichen"/>
        <w:ind w:left="1276" w:hanging="425"/>
      </w:pPr>
      <w:r>
        <w:t>führen Benutzerbefehle aus.</w:t>
      </w:r>
    </w:p>
    <w:p w:rsidR="00AD5243" w:rsidRPr="00666053" w:rsidRDefault="00AD5243" w:rsidP="00AD5243">
      <w:pPr>
        <w:pStyle w:val="berschrift3"/>
      </w:pPr>
      <w:bookmarkStart w:id="14" w:name="_Toc510621520"/>
      <w:r>
        <w:lastRenderedPageBreak/>
        <w:t>Eigenschaften von Systemsoftware</w:t>
      </w:r>
      <w:bookmarkEnd w:id="14"/>
    </w:p>
    <w:p w:rsidR="00AD5243" w:rsidRDefault="00AD5243" w:rsidP="00AD5243">
      <w:pPr>
        <w:pStyle w:val="Standardeinzug"/>
      </w:pPr>
      <w:r>
        <w:t xml:space="preserve">Anders als Firmware </w:t>
      </w:r>
      <w:r w:rsidRPr="008746E8">
        <w:rPr>
          <w:rStyle w:val="HervorhebenSCHWARZ"/>
        </w:rPr>
        <w:t>kann</w:t>
      </w:r>
      <w:r>
        <w:t xml:space="preserve"> Systemsoftware </w:t>
      </w:r>
      <w:r w:rsidRPr="008746E8">
        <w:rPr>
          <w:rStyle w:val="HervorhebenSCHWARZ"/>
        </w:rPr>
        <w:t>jederzeit gelöscht und durch eine andere Systemsoftware</w:t>
      </w:r>
      <w:r w:rsidRPr="00666053">
        <w:rPr>
          <w:rStyle w:val="HervorhebungBLAU"/>
        </w:rPr>
        <w:t xml:space="preserve"> ersetzt</w:t>
      </w:r>
      <w:r w:rsidRPr="008746E8">
        <w:rPr>
          <w:rStyle w:val="HervorhebenSCHWARZ"/>
        </w:rPr>
        <w:t xml:space="preserve"> werden</w:t>
      </w:r>
      <w:r>
        <w:t>.</w:t>
      </w:r>
    </w:p>
    <w:p w:rsidR="00AD5243" w:rsidRDefault="00AD5243" w:rsidP="00AD5243">
      <w:pPr>
        <w:pStyle w:val="berschrift3"/>
      </w:pPr>
      <w:bookmarkStart w:id="15" w:name="_Toc510621521"/>
      <w:r>
        <w:t>Behandlung von Systemsoftware im Jahresabschluss</w:t>
      </w:r>
      <w:bookmarkEnd w:id="15"/>
    </w:p>
    <w:p w:rsidR="00AD5243" w:rsidRDefault="00AD5243" w:rsidP="00AD5243">
      <w:pPr>
        <w:pStyle w:val="Aufzhlungszeichen"/>
        <w:ind w:left="1276" w:hanging="425"/>
      </w:pPr>
      <w:r>
        <w:t xml:space="preserve">Systemsoftware ist </w:t>
      </w:r>
      <w:r w:rsidRPr="00666053">
        <w:rPr>
          <w:rStyle w:val="HervorhebungBLAU"/>
        </w:rPr>
        <w:t>selbständig verwertbar</w:t>
      </w:r>
      <w:r>
        <w:t xml:space="preserve"> und deshalb grundsätzlich als </w:t>
      </w:r>
      <w:r w:rsidRPr="00417040">
        <w:rPr>
          <w:rStyle w:val="HervorhebungROT"/>
        </w:rPr>
        <w:t>immaterieller Vermögensgegenstand</w:t>
      </w:r>
      <w:r>
        <w:t xml:space="preserve"> zu qualifizieren.</w:t>
      </w:r>
    </w:p>
    <w:p w:rsidR="00AD5243" w:rsidRDefault="00AD5243" w:rsidP="00AD5243">
      <w:pPr>
        <w:pStyle w:val="Aufzhlungszeichen"/>
        <w:ind w:left="1276" w:hanging="425"/>
      </w:pPr>
      <w:r>
        <w:t>Da sie jederzeit modifiziert oder ausgetauscht werden kann, bleibt Systemsoftware auch nach dem Einspielen auf dem Computer ein eigenständiger Vermögensgegenstand.</w:t>
      </w:r>
    </w:p>
    <w:p w:rsidR="00AD5243" w:rsidRDefault="00AD5243" w:rsidP="00AD5243">
      <w:pPr>
        <w:pStyle w:val="Aufzhlungszeichen"/>
        <w:ind w:left="1276" w:hanging="425"/>
      </w:pPr>
      <w:r>
        <w:t xml:space="preserve">Oft wird Systemsoftware zusammen mit der Hardware erworben, </w:t>
      </w:r>
      <w:r w:rsidRPr="00917029">
        <w:rPr>
          <w:rStyle w:val="HervorhebenSCHWARZ"/>
        </w:rPr>
        <w:t xml:space="preserve">ohne </w:t>
      </w:r>
      <w:r>
        <w:rPr>
          <w:rStyle w:val="HervorhebenSCHWARZ"/>
        </w:rPr>
        <w:t xml:space="preserve">dass beide Teile </w:t>
      </w:r>
      <w:r w:rsidRPr="00917029">
        <w:rPr>
          <w:rStyle w:val="HervorhebenSCHWARZ"/>
        </w:rPr>
        <w:t>ge</w:t>
      </w:r>
      <w:r>
        <w:rPr>
          <w:rStyle w:val="HervorhebenSCHWARZ"/>
        </w:rPr>
        <w:t>sondert berechnet wurden</w:t>
      </w:r>
      <w:r>
        <w:t>.</w:t>
      </w:r>
    </w:p>
    <w:p w:rsidR="00AD5243" w:rsidRDefault="00AD5243" w:rsidP="00AD5243">
      <w:pPr>
        <w:pStyle w:val="Aufzhlungszeichen"/>
        <w:ind w:left="1276" w:hanging="425"/>
      </w:pPr>
      <w:r>
        <w:t xml:space="preserve">Ist in solchen Fällen eine </w:t>
      </w:r>
      <w:r w:rsidRPr="00666053">
        <w:rPr>
          <w:rStyle w:val="HervorhebungBLAU"/>
        </w:rPr>
        <w:t>Aufteilung des Entgelts</w:t>
      </w:r>
      <w:r w:rsidRPr="00917029">
        <w:rPr>
          <w:rStyle w:val="HervorhebenSCHWARZ"/>
        </w:rPr>
        <w:t xml:space="preserve"> auf Hard- und Software </w:t>
      </w:r>
      <w:r w:rsidRPr="00666053">
        <w:rPr>
          <w:rStyle w:val="HervorhebungBLAU"/>
        </w:rPr>
        <w:t>nicht möglich</w:t>
      </w:r>
      <w:r>
        <w:t xml:space="preserve">, da beispielsweise beide nicht einzeln am Markt gehandelt werden, wird die Software zusammen mit der Hardware als ein </w:t>
      </w:r>
      <w:r w:rsidRPr="00917029">
        <w:rPr>
          <w:rStyle w:val="HervorhebenSCHWARZ"/>
        </w:rPr>
        <w:t>einheitlicher Vermögensgegenstand des Sachanlagevermögens</w:t>
      </w:r>
      <w:r>
        <w:t xml:space="preserve"> bilanziert.</w:t>
      </w:r>
      <w:r>
        <w:rPr>
          <w:rStyle w:val="Funotenzeichen"/>
        </w:rPr>
        <w:footnoteReference w:id="10"/>
      </w:r>
    </w:p>
    <w:p w:rsidR="00AD5243" w:rsidRDefault="00AD5243" w:rsidP="00AD5243">
      <w:pPr>
        <w:pStyle w:val="berschrift3"/>
      </w:pPr>
      <w:bookmarkStart w:id="16" w:name="_Toc510621522"/>
      <w:r>
        <w:t>Begriffsbeschreibung: Anwendungssoftware</w:t>
      </w:r>
      <w:bookmarkEnd w:id="16"/>
    </w:p>
    <w:p w:rsidR="00AD5243" w:rsidRDefault="00AD5243" w:rsidP="00AD5243">
      <w:pPr>
        <w:pStyle w:val="Standardeinzug"/>
      </w:pPr>
      <w:r>
        <w:t xml:space="preserve">Unter </w:t>
      </w:r>
      <w:r w:rsidRPr="00917029">
        <w:rPr>
          <w:rStyle w:val="HervorhebungBLAU"/>
        </w:rPr>
        <w:t>Anwendungssoftware</w:t>
      </w:r>
      <w:r>
        <w:t xml:space="preserve"> werden alle </w:t>
      </w:r>
      <w:r w:rsidRPr="00917029">
        <w:rPr>
          <w:rStyle w:val="HervorhebenSCHWARZ"/>
        </w:rPr>
        <w:t>Programme verstanden, die konkrete Aufgaben der Datenverarbeitung des Anwenders lösen</w:t>
      </w:r>
      <w:r>
        <w:t>. Anwendungssoftware wird weiter unterteilt in</w:t>
      </w:r>
    </w:p>
    <w:p w:rsidR="00AD5243" w:rsidRPr="00917029" w:rsidRDefault="00AD5243" w:rsidP="00AD5243">
      <w:pPr>
        <w:pStyle w:val="Aufzhlungszeichen"/>
        <w:ind w:left="1276" w:hanging="425"/>
        <w:rPr>
          <w:rStyle w:val="HervorhebungBLAU"/>
        </w:rPr>
      </w:pPr>
      <w:r w:rsidRPr="00917029">
        <w:rPr>
          <w:rStyle w:val="HervorhebungBLAU"/>
        </w:rPr>
        <w:t>Individualsoftware</w:t>
      </w:r>
    </w:p>
    <w:p w:rsidR="00AD5243" w:rsidRPr="00917029" w:rsidRDefault="00AD5243" w:rsidP="00AD5243">
      <w:pPr>
        <w:pStyle w:val="Aufzhlungszeichen"/>
        <w:ind w:left="1276" w:hanging="425"/>
        <w:rPr>
          <w:rStyle w:val="HervorhebungBLAU"/>
        </w:rPr>
      </w:pPr>
      <w:r w:rsidRPr="00917029">
        <w:rPr>
          <w:rStyle w:val="HervorhebungBLAU"/>
        </w:rPr>
        <w:t>Standardsoftware</w:t>
      </w:r>
    </w:p>
    <w:p w:rsidR="00AD5243" w:rsidRDefault="00AD5243" w:rsidP="00AD5243">
      <w:pPr>
        <w:pStyle w:val="Standardeinzug"/>
      </w:pPr>
      <w:r>
        <w:t xml:space="preserve">Während </w:t>
      </w:r>
      <w:r w:rsidRPr="00917029">
        <w:rPr>
          <w:rStyle w:val="HervorhebungBLAU"/>
        </w:rPr>
        <w:t>Individualsoftware</w:t>
      </w:r>
      <w:r>
        <w:t xml:space="preserve"> für </w:t>
      </w:r>
      <w:r w:rsidRPr="00917029">
        <w:rPr>
          <w:rStyle w:val="HervorhebenSCHWARZ"/>
        </w:rPr>
        <w:t>spezielle Aufgaben eines Anwenders</w:t>
      </w:r>
      <w:r>
        <w:t xml:space="preserve"> entwickelt wird, kommt </w:t>
      </w:r>
      <w:r w:rsidRPr="00917029">
        <w:rPr>
          <w:rStyle w:val="HervorhebungBLAU"/>
        </w:rPr>
        <w:t>S</w:t>
      </w:r>
      <w:r>
        <w:rPr>
          <w:rStyle w:val="HervorhebungBLAU"/>
        </w:rPr>
        <w:t>tandard</w:t>
      </w:r>
      <w:r w:rsidRPr="00917029">
        <w:rPr>
          <w:rStyle w:val="HervorhebungBLAU"/>
        </w:rPr>
        <w:t>software</w:t>
      </w:r>
      <w:r>
        <w:t xml:space="preserve"> bei einer </w:t>
      </w:r>
      <w:r w:rsidRPr="00917029">
        <w:rPr>
          <w:rStyle w:val="HervorhebenSCHWARZ"/>
        </w:rPr>
        <w:t xml:space="preserve">Vielzahl von Anwendern </w:t>
      </w:r>
      <w:r>
        <w:t>zum Einsatz.</w:t>
      </w:r>
    </w:p>
    <w:p w:rsidR="00AD5243" w:rsidRDefault="00AD5243" w:rsidP="00AD5243">
      <w:pPr>
        <w:pStyle w:val="berschrift3"/>
      </w:pPr>
      <w:bookmarkStart w:id="17" w:name="_Toc510621523"/>
      <w:r>
        <w:t>Behandlung von Anwendungssoftware im Jahresabschluss – Grundsatz</w:t>
      </w:r>
      <w:bookmarkEnd w:id="17"/>
    </w:p>
    <w:p w:rsidR="00AD5243" w:rsidRDefault="00AD5243" w:rsidP="00AD5243">
      <w:pPr>
        <w:pStyle w:val="Standardeinzug"/>
      </w:pPr>
      <w:r>
        <w:t xml:space="preserve">Ebenso wie die Systemsoftware ist die </w:t>
      </w:r>
      <w:r w:rsidRPr="00917029">
        <w:rPr>
          <w:rStyle w:val="HervorhebenSCHWARZ"/>
        </w:rPr>
        <w:t>Anwendungssoftware</w:t>
      </w:r>
      <w:r>
        <w:t xml:space="preserve"> </w:t>
      </w:r>
      <w:r w:rsidRPr="00917029">
        <w:rPr>
          <w:rStyle w:val="HervorhebenSCHWARZ"/>
        </w:rPr>
        <w:t>selbständig verwertbar</w:t>
      </w:r>
      <w:r>
        <w:t xml:space="preserve"> und somit ebenfalls </w:t>
      </w:r>
      <w:r w:rsidRPr="00417040">
        <w:t>als</w:t>
      </w:r>
      <w:r w:rsidRPr="00417040">
        <w:rPr>
          <w:rStyle w:val="HervorhebungROT"/>
        </w:rPr>
        <w:t xml:space="preserve"> immaterieller Vermögensgegenstand</w:t>
      </w:r>
      <w:r>
        <w:t xml:space="preserve"> zu qualifizieren.</w:t>
      </w:r>
    </w:p>
    <w:p w:rsidR="00AD5243" w:rsidRDefault="00AD5243" w:rsidP="00AD5243">
      <w:pPr>
        <w:pStyle w:val="berschrift3"/>
      </w:pPr>
      <w:bookmarkStart w:id="18" w:name="_Toc510621524"/>
      <w:r>
        <w:t>Behandlung von Anwendungssoftware im Jahresabschluss – Ausnahmefall</w:t>
      </w:r>
      <w:bookmarkEnd w:id="18"/>
    </w:p>
    <w:p w:rsidR="00AD5243" w:rsidRDefault="00AD5243" w:rsidP="00AD5243">
      <w:pPr>
        <w:pStyle w:val="Standardeinzug"/>
      </w:pPr>
      <w:r>
        <w:t xml:space="preserve">Es sind aber auch Fälle denkbar, in denen eine </w:t>
      </w:r>
      <w:r w:rsidRPr="001646C9">
        <w:rPr>
          <w:rStyle w:val="HervorhebenSCHWARZ"/>
        </w:rPr>
        <w:t xml:space="preserve">Anwendungssoftware als </w:t>
      </w:r>
      <w:r w:rsidRPr="00417040">
        <w:rPr>
          <w:rStyle w:val="HervorhebungROT"/>
        </w:rPr>
        <w:t>materieller Vermögensgegenstand</w:t>
      </w:r>
      <w:r>
        <w:t xml:space="preserve"> anzusehen ist. </w:t>
      </w:r>
      <w:r>
        <w:lastRenderedPageBreak/>
        <w:t xml:space="preserve">Das ist der Fall, wenn die folgenden beiden </w:t>
      </w:r>
      <w:r w:rsidRPr="001646C9">
        <w:rPr>
          <w:rStyle w:val="HervorhebenSCHWARZ"/>
        </w:rPr>
        <w:t>Voraussetzungen</w:t>
      </w:r>
      <w:r>
        <w:t xml:space="preserve"> kumulativ vorliegen:</w:t>
      </w:r>
    </w:p>
    <w:p w:rsidR="00AD5243" w:rsidRDefault="00AD5243" w:rsidP="00AD5243">
      <w:pPr>
        <w:pStyle w:val="Aufzhlungszeichen"/>
        <w:ind w:left="1276" w:hanging="425"/>
      </w:pPr>
      <w:r w:rsidRPr="00417040">
        <w:rPr>
          <w:rStyle w:val="HervorhebungBLAU"/>
        </w:rPr>
        <w:t>Voraussetzung 1</w:t>
      </w:r>
      <w:r>
        <w:t xml:space="preserve">: Der Datenträger enthält überwiegend </w:t>
      </w:r>
      <w:r w:rsidRPr="001646C9">
        <w:rPr>
          <w:rStyle w:val="HervorhebenSCHWARZ"/>
        </w:rPr>
        <w:t>allgemein zugängliche Datenbestände</w:t>
      </w:r>
      <w:r>
        <w:t xml:space="preserve"> (z. B. ein Telefonbuch in elektronischer Form)</w:t>
      </w:r>
    </w:p>
    <w:p w:rsidR="00AD5243" w:rsidRDefault="00AD5243" w:rsidP="00AD5243">
      <w:pPr>
        <w:pStyle w:val="Aufzhlungszeichen"/>
        <w:ind w:left="1276" w:hanging="425"/>
      </w:pPr>
      <w:r w:rsidRPr="00417040">
        <w:rPr>
          <w:rStyle w:val="HervorhebungBLAU"/>
        </w:rPr>
        <w:t>Voraussetzung 2</w:t>
      </w:r>
      <w:r>
        <w:t xml:space="preserve">: Bei der Verwendung sind </w:t>
      </w:r>
      <w:r w:rsidRPr="001646C9">
        <w:rPr>
          <w:rStyle w:val="HervorhebenSCHWARZ"/>
        </w:rPr>
        <w:t>weder wirtschaftliche Gründe</w:t>
      </w:r>
      <w:r>
        <w:t xml:space="preserve"> für die Verwendung noch die </w:t>
      </w:r>
      <w:r w:rsidRPr="001646C9">
        <w:rPr>
          <w:rStyle w:val="HervorhebenSCHWARZ"/>
        </w:rPr>
        <w:t>Fähigkeit der Software zur Steuerung</w:t>
      </w:r>
      <w:r>
        <w:t xml:space="preserve"> von besonderer Bedeutung.</w:t>
      </w:r>
      <w:r>
        <w:rPr>
          <w:rStyle w:val="Funotenzeichen"/>
        </w:rPr>
        <w:footnoteReference w:id="11"/>
      </w:r>
      <w:r>
        <w:t xml:space="preserve"> </w:t>
      </w:r>
    </w:p>
    <w:p w:rsidR="00AD5243" w:rsidRDefault="00AD5243" w:rsidP="00AD5243">
      <w:pPr>
        <w:pStyle w:val="berschrift2"/>
      </w:pPr>
      <w:bookmarkStart w:id="19" w:name="_Toc510621525"/>
      <w:r>
        <w:t>Anschaffung oder Herstellung von Anwendungssoftware</w:t>
      </w:r>
      <w:bookmarkEnd w:id="19"/>
    </w:p>
    <w:p w:rsidR="00AD5243" w:rsidRDefault="00AD5243" w:rsidP="00AD5243">
      <w:pPr>
        <w:pStyle w:val="berschrift3"/>
      </w:pPr>
      <w:bookmarkStart w:id="20" w:name="_Toc510621526"/>
      <w:r>
        <w:t>Individualsoftware</w:t>
      </w:r>
      <w:bookmarkEnd w:id="20"/>
    </w:p>
    <w:p w:rsidR="00AD5243" w:rsidRDefault="00AD5243" w:rsidP="00AD5243">
      <w:pPr>
        <w:pStyle w:val="Standardeinzug"/>
      </w:pPr>
      <w:r>
        <w:t xml:space="preserve">Der </w:t>
      </w:r>
      <w:r w:rsidRPr="00417040">
        <w:rPr>
          <w:rStyle w:val="HervorhebungBLAU"/>
        </w:rPr>
        <w:t>Herstellungsvorgang</w:t>
      </w:r>
      <w:r>
        <w:t xml:space="preserve"> von </w:t>
      </w:r>
      <w:r w:rsidRPr="00917029">
        <w:rPr>
          <w:rStyle w:val="HervorhebenSCHWARZ"/>
        </w:rPr>
        <w:t>Individualsoftware</w:t>
      </w:r>
      <w:r>
        <w:t xml:space="preserve"> kann </w:t>
      </w:r>
    </w:p>
    <w:p w:rsidR="00AD5243" w:rsidRDefault="00AD5243" w:rsidP="00AD5243">
      <w:pPr>
        <w:pStyle w:val="Aufzhlungszeichen"/>
        <w:ind w:left="1276" w:hanging="425"/>
      </w:pPr>
      <w:r>
        <w:t xml:space="preserve">zur Anwendbarkeit des </w:t>
      </w:r>
      <w:r w:rsidRPr="00917029">
        <w:rPr>
          <w:rStyle w:val="HervorhebenSCHWARZ"/>
        </w:rPr>
        <w:t>Aktivierungswahlrechts für selbstgeschaffene immaterielle Vermögensgegenstände</w:t>
      </w:r>
      <w:r>
        <w:t xml:space="preserve"> nach §</w:t>
      </w:r>
      <w:r w:rsidR="000369A7">
        <w:t> </w:t>
      </w:r>
      <w:r>
        <w:t xml:space="preserve">248 Abs. 2 Satz 1 HGB, </w:t>
      </w:r>
    </w:p>
    <w:p w:rsidR="00AD5243" w:rsidRPr="001646C9" w:rsidRDefault="00AD5243" w:rsidP="00AD5243">
      <w:pPr>
        <w:pStyle w:val="Aufzhlungszeichen"/>
        <w:ind w:left="1276" w:hanging="425"/>
        <w:rPr>
          <w:rStyle w:val="HervorhebenSCHWARZ"/>
          <w:b w:val="0"/>
        </w:rPr>
      </w:pPr>
      <w:r w:rsidRPr="00917029">
        <w:rPr>
          <w:rStyle w:val="HervorhebenSCHWARZ"/>
        </w:rPr>
        <w:t>aber auch</w:t>
      </w:r>
      <w:r>
        <w:t xml:space="preserve"> zu einem </w:t>
      </w:r>
      <w:r w:rsidRPr="00917029">
        <w:rPr>
          <w:rStyle w:val="HervorhebenSCHWARZ"/>
        </w:rPr>
        <w:t>Aktivierungsgebot</w:t>
      </w:r>
    </w:p>
    <w:p w:rsidR="00AD5243" w:rsidRDefault="00AD5243" w:rsidP="00AD5243">
      <w:pPr>
        <w:pStyle w:val="Standardeinzug"/>
      </w:pPr>
      <w:r>
        <w:t xml:space="preserve">führen. </w:t>
      </w:r>
    </w:p>
    <w:p w:rsidR="00AD5243" w:rsidRDefault="00AD5243" w:rsidP="00AD5243">
      <w:pPr>
        <w:pStyle w:val="Standardeinzug"/>
      </w:pPr>
      <w:r w:rsidRPr="002553B2">
        <w:t>Eine Aktivierung ist dann vorzunehmen,</w:t>
      </w:r>
      <w:r>
        <w:t xml:space="preserve"> wenn der </w:t>
      </w:r>
      <w:r w:rsidRPr="00917029">
        <w:rPr>
          <w:rStyle w:val="HervorhebenSCHWARZ"/>
        </w:rPr>
        <w:t>Herstellungsvorgang als Anschaffung</w:t>
      </w:r>
      <w:r>
        <w:t xml:space="preserve"> einer Software </w:t>
      </w:r>
      <w:r w:rsidRPr="00917029">
        <w:rPr>
          <w:rStyle w:val="HervorhebenSCHWARZ"/>
        </w:rPr>
        <w:t>qualifiziert</w:t>
      </w:r>
      <w:r>
        <w:t xml:space="preserve"> wird.</w:t>
      </w:r>
    </w:p>
    <w:p w:rsidR="00AD5243" w:rsidRDefault="00AD5243" w:rsidP="00AD5243">
      <w:pPr>
        <w:pStyle w:val="Abbildung"/>
      </w:pPr>
      <w:r>
        <w:object w:dxaOrig="7218" w:dyaOrig="5410">
          <v:shape id="_x0000_i1027" type="#_x0000_t75" style="width:360.9pt;height:270.5pt" o:ole="" o:bordertopcolor="this" o:borderleftcolor="this" o:borderbottomcolor="this" o:borderrightcolor="this">
            <v:imagedata r:id="rId1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PowerPoint.Slide.12" ShapeID="_x0000_i1027" DrawAspect="Content" ObjectID="_1821447879" r:id="rId14"/>
        </w:object>
      </w:r>
    </w:p>
    <w:p w:rsidR="00AD5243" w:rsidRDefault="00AD5243" w:rsidP="00AD5243">
      <w:pPr>
        <w:pStyle w:val="Beschriftung"/>
      </w:pPr>
      <w:r>
        <w:t xml:space="preserve">Abbildung </w:t>
      </w:r>
      <w:fldSimple w:instr=" SEQ Abbildung \* ARABIC ">
        <w:r w:rsidR="00192324">
          <w:rPr>
            <w:noProof/>
          </w:rPr>
          <w:t>3</w:t>
        </w:r>
      </w:fldSimple>
      <w:r>
        <w:t xml:space="preserve">: </w:t>
      </w:r>
      <w:r w:rsidRPr="00AD6B74">
        <w:t>Regelung</w:t>
      </w:r>
      <w:r w:rsidRPr="00FF2D86">
        <w:t xml:space="preserve"> zur Aktivierbarkeit von Individualsoftware</w:t>
      </w:r>
    </w:p>
    <w:p w:rsidR="00AD5243" w:rsidRDefault="00AD5243" w:rsidP="00AD5243">
      <w:pPr>
        <w:pStyle w:val="Standardeinzug"/>
      </w:pPr>
      <w:r>
        <w:t xml:space="preserve">Folgende </w:t>
      </w:r>
      <w:r w:rsidRPr="00917029">
        <w:rPr>
          <w:rStyle w:val="HervorhebenSCHWARZ"/>
        </w:rPr>
        <w:t>Alternativen</w:t>
      </w:r>
      <w:r>
        <w:t xml:space="preserve"> führen zu einem </w:t>
      </w:r>
      <w:r w:rsidRPr="00917029">
        <w:rPr>
          <w:rStyle w:val="HervorhebenSCHWARZ"/>
        </w:rPr>
        <w:t>Aktivierungswahlrecht</w:t>
      </w:r>
      <w:r>
        <w:t xml:space="preserve"> im Sinne von § 248 Abs. 2 Satz 1 HGB: Herstellung der Individualsoftware unter</w:t>
      </w:r>
    </w:p>
    <w:p w:rsidR="00AD5243" w:rsidRDefault="00AD5243" w:rsidP="00AD5243">
      <w:pPr>
        <w:pStyle w:val="Aufzhlungszeichen"/>
        <w:ind w:left="1276" w:hanging="425"/>
      </w:pPr>
      <w:r>
        <w:rPr>
          <w:rStyle w:val="HervorhebenSCHWARZ"/>
        </w:rPr>
        <w:t>Verwendung</w:t>
      </w:r>
      <w:r w:rsidRPr="00917029">
        <w:rPr>
          <w:rStyle w:val="HervorhebenSCHWARZ"/>
        </w:rPr>
        <w:t xml:space="preserve"> von eigenen materiellen und personellen Ressourcen des Anwenders</w:t>
      </w:r>
      <w:r>
        <w:rPr>
          <w:rStyle w:val="HervorhebenSCHWARZ"/>
        </w:rPr>
        <w:t xml:space="preserve"> </w:t>
      </w:r>
      <w:r w:rsidRPr="0057474A">
        <w:rPr>
          <w:rStyle w:val="HervorhebungBLAU"/>
        </w:rPr>
        <w:t>(Fall 1)</w:t>
      </w:r>
    </w:p>
    <w:p w:rsidR="00AD5243" w:rsidRDefault="00AD5243" w:rsidP="00AD5243">
      <w:pPr>
        <w:pStyle w:val="Aufzhlungszeichen"/>
        <w:ind w:left="1276" w:hanging="425"/>
      </w:pPr>
      <w:r>
        <w:rPr>
          <w:rStyle w:val="HervorhebenSCHWARZ"/>
        </w:rPr>
        <w:t>Einsatz</w:t>
      </w:r>
      <w:r w:rsidRPr="00917029">
        <w:rPr>
          <w:rStyle w:val="HervorhebenSCHWARZ"/>
        </w:rPr>
        <w:t xml:space="preserve"> eines mit dem Softwareanbieter geschlossenen Dienstvertrages</w:t>
      </w:r>
      <w:r>
        <w:rPr>
          <w:rStyle w:val="HervorhebenSCHWARZ"/>
        </w:rPr>
        <w:t xml:space="preserve"> </w:t>
      </w:r>
      <w:r w:rsidRPr="0057474A">
        <w:rPr>
          <w:rStyle w:val="HervorhebungBLAU"/>
        </w:rPr>
        <w:t>(Fall 2)</w:t>
      </w:r>
    </w:p>
    <w:p w:rsidR="00AD5243" w:rsidRDefault="00AD5243" w:rsidP="00AD5243">
      <w:pPr>
        <w:pStyle w:val="Standardeinzug"/>
      </w:pPr>
      <w:r>
        <w:t xml:space="preserve">Bei der zweiten Alternative ist das </w:t>
      </w:r>
      <w:r w:rsidRPr="00A268CA">
        <w:rPr>
          <w:rStyle w:val="HervorhebenSCHWARZ"/>
        </w:rPr>
        <w:t>entscheidende</w:t>
      </w:r>
      <w:r>
        <w:t xml:space="preserve"> </w:t>
      </w:r>
      <w:r w:rsidRPr="00A268CA">
        <w:rPr>
          <w:rStyle w:val="HervorhebenSCHWARZ"/>
        </w:rPr>
        <w:t>Kriterium</w:t>
      </w:r>
      <w:r>
        <w:t xml:space="preserve"> der Abschluss eines </w:t>
      </w:r>
      <w:r w:rsidRPr="00917029">
        <w:rPr>
          <w:rStyle w:val="HervorhebenSCHWARZ"/>
        </w:rPr>
        <w:t>Dienstvertrages</w:t>
      </w:r>
      <w:r>
        <w:rPr>
          <w:rStyle w:val="HervorhebenSCHWARZ"/>
        </w:rPr>
        <w:t xml:space="preserve"> </w:t>
      </w:r>
      <w:r w:rsidRPr="0057474A">
        <w:rPr>
          <w:rStyle w:val="HervorhebungBLAU"/>
        </w:rPr>
        <w:t>(Fall 2).</w:t>
      </w:r>
      <w:r>
        <w:t xml:space="preserve"> Dieser hat zur </w:t>
      </w:r>
      <w:r w:rsidRPr="00917029">
        <w:rPr>
          <w:rStyle w:val="HervorhebenSCHWARZ"/>
        </w:rPr>
        <w:t>Folge</w:t>
      </w:r>
      <w:r>
        <w:t xml:space="preserve">, dass der Dienstherr, also hier </w:t>
      </w:r>
      <w:r w:rsidRPr="00917029">
        <w:rPr>
          <w:rStyle w:val="HervorhebenSCHWARZ"/>
        </w:rPr>
        <w:t>der Softwareanwender, das Herstellungsrisiko</w:t>
      </w:r>
      <w:r>
        <w:t xml:space="preserve"> der herzustellenden Individualsoftware </w:t>
      </w:r>
      <w:r w:rsidRPr="00917029">
        <w:rPr>
          <w:rStyle w:val="HervorhebenSCHWARZ"/>
        </w:rPr>
        <w:t>trägt</w:t>
      </w:r>
      <w:r>
        <w:t>.</w:t>
      </w:r>
    </w:p>
    <w:p w:rsidR="00AD5243" w:rsidRDefault="00AD5243" w:rsidP="00AD5243">
      <w:pPr>
        <w:pStyle w:val="Standardeinzug"/>
      </w:pPr>
      <w:r>
        <w:t xml:space="preserve">Hingegen ist nur </w:t>
      </w:r>
      <w:r w:rsidRPr="002945C0">
        <w:rPr>
          <w:b/>
        </w:rPr>
        <w:t xml:space="preserve">eine Konstellation </w:t>
      </w:r>
      <w:r w:rsidRPr="0057474A">
        <w:rPr>
          <w:rStyle w:val="HervorhebungBLAU"/>
        </w:rPr>
        <w:t>(Fall 3)</w:t>
      </w:r>
      <w:r>
        <w:t xml:space="preserve"> denkbar, die zu einem </w:t>
      </w:r>
      <w:r w:rsidRPr="00917029">
        <w:rPr>
          <w:rStyle w:val="HervorhebenSCHWARZ"/>
        </w:rPr>
        <w:t>Aktivierungsgebot</w:t>
      </w:r>
      <w:r>
        <w:t xml:space="preserve"> der </w:t>
      </w:r>
      <w:r w:rsidRPr="00A268CA">
        <w:rPr>
          <w:rStyle w:val="HervorhebenSCHWARZ"/>
        </w:rPr>
        <w:t>Individualsoftware</w:t>
      </w:r>
      <w:r>
        <w:t xml:space="preserve"> führt. Das ist dann der Fall, wenn der Herstellungsvorgang als Anschaffung zu qualifizieren ist.</w:t>
      </w:r>
    </w:p>
    <w:p w:rsidR="00AD5243" w:rsidRDefault="00AD5243" w:rsidP="00AD5243">
      <w:pPr>
        <w:pStyle w:val="Standardeinzug"/>
      </w:pPr>
      <w:r>
        <w:t xml:space="preserve">Voraussetzung für Fall 3 ist, dass die Software </w:t>
      </w:r>
      <w:r w:rsidRPr="00917029">
        <w:rPr>
          <w:rStyle w:val="HervorhebenSCHWARZ"/>
        </w:rPr>
        <w:t xml:space="preserve">unter </w:t>
      </w:r>
      <w:r>
        <w:rPr>
          <w:rStyle w:val="HervorhebenSCHWARZ"/>
        </w:rPr>
        <w:t>Einsatz</w:t>
      </w:r>
      <w:r w:rsidRPr="00917029">
        <w:rPr>
          <w:rStyle w:val="HervorhebenSCHWARZ"/>
        </w:rPr>
        <w:t xml:space="preserve"> eines Softwareanbieters hergestellt wird</w:t>
      </w:r>
      <w:r>
        <w:t xml:space="preserve"> und der Vertrag zwischen Anwender und Softwareanbieter </w:t>
      </w:r>
    </w:p>
    <w:p w:rsidR="00AD5243" w:rsidRDefault="00AD5243" w:rsidP="00AD5243">
      <w:pPr>
        <w:pStyle w:val="Aufzhlungszeichen"/>
        <w:ind w:left="1276" w:hanging="425"/>
      </w:pPr>
      <w:r w:rsidRPr="00A268CA">
        <w:t>in Form eines</w:t>
      </w:r>
      <w:r w:rsidRPr="00917029">
        <w:rPr>
          <w:rStyle w:val="HervorhebenSCHWARZ"/>
        </w:rPr>
        <w:t xml:space="preserve"> Werkvertrages geschlossen</w:t>
      </w:r>
      <w:r>
        <w:t xml:space="preserve"> wird und</w:t>
      </w:r>
    </w:p>
    <w:p w:rsidR="00AD5243" w:rsidRDefault="00AD5243" w:rsidP="00AD5243">
      <w:pPr>
        <w:pStyle w:val="Aufzhlungszeichen"/>
        <w:ind w:left="1276" w:hanging="425"/>
      </w:pPr>
      <w:r>
        <w:t xml:space="preserve">die </w:t>
      </w:r>
      <w:r w:rsidRPr="00917029">
        <w:rPr>
          <w:rStyle w:val="HervorhebenSCHWARZ"/>
        </w:rPr>
        <w:t>Projektleitung und Federführung beim Softwareanbieter</w:t>
      </w:r>
      <w:r>
        <w:t xml:space="preserve"> liegen. </w:t>
      </w:r>
    </w:p>
    <w:p w:rsidR="00AD5243" w:rsidRDefault="00AD5243" w:rsidP="00AD5243">
      <w:pPr>
        <w:pStyle w:val="Standardeinzug"/>
      </w:pPr>
      <w:r>
        <w:lastRenderedPageBreak/>
        <w:t xml:space="preserve">Aufgrund eines solchen </w:t>
      </w:r>
      <w:r w:rsidRPr="002945C0">
        <w:rPr>
          <w:rStyle w:val="HervorhebungROT"/>
        </w:rPr>
        <w:t>Werkvertrages</w:t>
      </w:r>
      <w:r>
        <w:t xml:space="preserve">, der beide Voraussetzungen erfüllt, geht das </w:t>
      </w:r>
      <w:r w:rsidRPr="00917029">
        <w:rPr>
          <w:rStyle w:val="HervorhebenSCHWARZ"/>
        </w:rPr>
        <w:t>Herstellungsrisiko</w:t>
      </w:r>
      <w:r>
        <w:t xml:space="preserve"> auf den </w:t>
      </w:r>
      <w:r w:rsidRPr="00917029">
        <w:rPr>
          <w:rStyle w:val="HervorhebenSCHWARZ"/>
        </w:rPr>
        <w:t>Softwareanbieter</w:t>
      </w:r>
      <w:r>
        <w:t xml:space="preserve"> über. Der Herstellungsvorgang wird dann als Anschaffung qualifiziert mit der Folge, dass ein Aktivierungsgebot vorliegt. </w:t>
      </w:r>
    </w:p>
    <w:p w:rsidR="00AD5243" w:rsidRDefault="00AD5243" w:rsidP="00AD5243">
      <w:pPr>
        <w:pStyle w:val="Standardeinzug"/>
      </w:pPr>
      <w:r>
        <w:t xml:space="preserve">Wird im Rahmen eines Herstellungsvorgangs von </w:t>
      </w:r>
      <w:r w:rsidRPr="00A268CA">
        <w:rPr>
          <w:rStyle w:val="HervorhebenSCHWARZ"/>
        </w:rPr>
        <w:t>Individualsoftware</w:t>
      </w:r>
      <w:r>
        <w:t xml:space="preserve"> eine bestimmte Software vom Softwareanbieter </w:t>
      </w:r>
      <w:r w:rsidRPr="00A268CA">
        <w:rPr>
          <w:rStyle w:val="HervorhebenSCHWARZ"/>
        </w:rPr>
        <w:t>erworben</w:t>
      </w:r>
      <w:r>
        <w:rPr>
          <w:rStyle w:val="HervorhebenSCHWARZ"/>
        </w:rPr>
        <w:t xml:space="preserve"> </w:t>
      </w:r>
      <w:r w:rsidRPr="002945C0">
        <w:rPr>
          <w:rStyle w:val="HervorhebenSCHWARZ"/>
          <w:b w:val="0"/>
        </w:rPr>
        <w:t>z.</w:t>
      </w:r>
      <w:r>
        <w:rPr>
          <w:rStyle w:val="HervorhebenSCHWARZ"/>
          <w:b w:val="0"/>
        </w:rPr>
        <w:t xml:space="preserve"> </w:t>
      </w:r>
      <w:r w:rsidRPr="002945C0">
        <w:rPr>
          <w:rStyle w:val="HervorhebenSCHWARZ"/>
          <w:b w:val="0"/>
        </w:rPr>
        <w:t>B. ein einge</w:t>
      </w:r>
      <w:r>
        <w:rPr>
          <w:rStyle w:val="HervorhebenSCHWARZ"/>
          <w:b w:val="0"/>
        </w:rPr>
        <w:t>bautes</w:t>
      </w:r>
      <w:r w:rsidRPr="002945C0">
        <w:rPr>
          <w:rStyle w:val="HervorhebenSCHWARZ"/>
          <w:b w:val="0"/>
        </w:rPr>
        <w:t xml:space="preserve"> Programmmodul (</w:t>
      </w:r>
      <w:r>
        <w:rPr>
          <w:rStyle w:val="HervorhebenSCHWARZ"/>
          <w:b w:val="0"/>
        </w:rPr>
        <w:t xml:space="preserve">z. B. </w:t>
      </w:r>
      <w:r w:rsidRPr="002945C0">
        <w:rPr>
          <w:rStyle w:val="HervorhebenSCHWARZ"/>
          <w:b w:val="0"/>
        </w:rPr>
        <w:t>Benutzerkontoverwaltung in www.)</w:t>
      </w:r>
      <w:r w:rsidRPr="002945C0">
        <w:rPr>
          <w:b/>
        </w:rPr>
        <w:t>,</w:t>
      </w:r>
      <w:r>
        <w:t xml:space="preserve"> ist diese </w:t>
      </w:r>
      <w:r w:rsidRPr="00A268CA">
        <w:rPr>
          <w:rStyle w:val="HervorhebenSCHWARZ"/>
        </w:rPr>
        <w:t xml:space="preserve">nur dann </w:t>
      </w:r>
      <w:r w:rsidRPr="002945C0">
        <w:rPr>
          <w:rStyle w:val="HervorhebungROT"/>
        </w:rPr>
        <w:t>selbständig</w:t>
      </w:r>
      <w:r w:rsidRPr="00A268CA">
        <w:rPr>
          <w:rStyle w:val="HervorhebenSCHWARZ"/>
        </w:rPr>
        <w:t xml:space="preserve"> zu aktivieren,</w:t>
      </w:r>
      <w:r>
        <w:t xml:space="preserve"> wenn sie auch </w:t>
      </w:r>
      <w:r w:rsidRPr="00A268CA">
        <w:rPr>
          <w:rStyle w:val="HervorhebenSCHWARZ"/>
        </w:rPr>
        <w:t>künftig noch selbständig</w:t>
      </w:r>
      <w:r>
        <w:t xml:space="preserve"> genutzt werden kann. Ist das nicht der Fall, gehören die Aufwendungen für den Erwerb der Software zu den Herstellungs- bzw. Anschaffungskosten der Individualsoftware.</w:t>
      </w:r>
      <w:r>
        <w:rPr>
          <w:rStyle w:val="Funotenzeichen"/>
        </w:rPr>
        <w:footnoteReference w:id="12"/>
      </w:r>
    </w:p>
    <w:p w:rsidR="00AD5243" w:rsidRDefault="00AD5243" w:rsidP="00AD5243">
      <w:pPr>
        <w:pStyle w:val="Standardeinzug"/>
      </w:pPr>
      <w:r>
        <w:t>Die vorherigen Ausführungen werden in der nachfolgenden Abbildung zusammengefasst:</w:t>
      </w:r>
    </w:p>
    <w:p w:rsidR="00AD5243" w:rsidRDefault="00AD5243" w:rsidP="00AD5243">
      <w:pPr>
        <w:pStyle w:val="berschrift3"/>
      </w:pPr>
      <w:bookmarkStart w:id="21" w:name="_Toc510621527"/>
      <w:r>
        <w:t>Standardsoftware</w:t>
      </w:r>
      <w:bookmarkEnd w:id="21"/>
    </w:p>
    <w:p w:rsidR="00AD5243" w:rsidRDefault="00AD5243" w:rsidP="00AD5243">
      <w:pPr>
        <w:pStyle w:val="Standardeinzug"/>
      </w:pPr>
      <w:r>
        <w:t xml:space="preserve">Bei einem </w:t>
      </w:r>
      <w:r w:rsidRPr="00917029">
        <w:rPr>
          <w:rStyle w:val="HervorhebungBLAU"/>
        </w:rPr>
        <w:t>Kauf von Standardsoftware</w:t>
      </w:r>
      <w:r>
        <w:t xml:space="preserve"> liegt ein </w:t>
      </w:r>
      <w:r w:rsidRPr="00917029">
        <w:rPr>
          <w:rStyle w:val="HervorhebenSCHWARZ"/>
        </w:rPr>
        <w:t>entgeltlicher Erwerb</w:t>
      </w:r>
      <w:r>
        <w:t xml:space="preserve"> vor, mit der Folge, dass die </w:t>
      </w:r>
      <w:r w:rsidRPr="00917029">
        <w:rPr>
          <w:rStyle w:val="HervorhebenSCHWARZ"/>
        </w:rPr>
        <w:t>Software zu aktivieren ist</w:t>
      </w:r>
      <w:r>
        <w:t xml:space="preserve">. </w:t>
      </w:r>
    </w:p>
    <w:p w:rsidR="00AD5243" w:rsidRDefault="00AD5243" w:rsidP="00AD5243">
      <w:pPr>
        <w:pStyle w:val="Standardeinzug"/>
      </w:pPr>
      <w:r>
        <w:t xml:space="preserve">Das gilt selbst dann, wenn die Software noch </w:t>
      </w:r>
      <w:r w:rsidRPr="00917029">
        <w:rPr>
          <w:rStyle w:val="HervorhebenSCHWARZ"/>
        </w:rPr>
        <w:t>auf die individuellen Bedürfnisse des Erwerbers angepasst</w:t>
      </w:r>
      <w:r>
        <w:t xml:space="preserve"> werden muss.</w:t>
      </w:r>
    </w:p>
    <w:p w:rsidR="00AD5243" w:rsidRDefault="00AD5243" w:rsidP="00AD5243">
      <w:pPr>
        <w:pStyle w:val="Standardeinzug"/>
      </w:pPr>
      <w:r>
        <w:t xml:space="preserve">Jedoch darf die </w:t>
      </w:r>
      <w:r w:rsidRPr="00917029">
        <w:rPr>
          <w:rStyle w:val="HervorhebenSCHWARZ"/>
        </w:rPr>
        <w:t>Anpassung nicht so weit</w:t>
      </w:r>
      <w:r>
        <w:t xml:space="preserve"> gehen, dass die </w:t>
      </w:r>
      <w:r w:rsidRPr="00917029">
        <w:rPr>
          <w:rStyle w:val="HervorhebenSCHWARZ"/>
        </w:rPr>
        <w:t>Software untergeht</w:t>
      </w:r>
      <w:r>
        <w:t xml:space="preserve">. </w:t>
      </w:r>
    </w:p>
    <w:p w:rsidR="00AD5243" w:rsidRDefault="00AD5243" w:rsidP="00AD5243">
      <w:pPr>
        <w:pStyle w:val="Standardeinzug"/>
      </w:pPr>
      <w:r>
        <w:t xml:space="preserve">Es liegt dann eine </w:t>
      </w:r>
      <w:r w:rsidRPr="001F522E">
        <w:rPr>
          <w:rStyle w:val="HervorhebenSCHWARZ"/>
        </w:rPr>
        <w:t>Wesensänderung</w:t>
      </w:r>
      <w:r>
        <w:t xml:space="preserve"> der Software vor. In dem Fall ist für die weitere </w:t>
      </w:r>
      <w:r w:rsidRPr="00917029">
        <w:rPr>
          <w:rStyle w:val="HervorhebenSCHWARZ"/>
        </w:rPr>
        <w:t>Bilanzierung</w:t>
      </w:r>
      <w:r>
        <w:t xml:space="preserve"> der Software entscheidend, </w:t>
      </w:r>
      <w:r w:rsidRPr="00917029">
        <w:rPr>
          <w:rStyle w:val="HervorhebenSCHWARZ"/>
        </w:rPr>
        <w:t xml:space="preserve">wer das Herstellungsrisiko </w:t>
      </w:r>
      <w:r>
        <w:rPr>
          <w:rStyle w:val="HervorhebenSCHWARZ"/>
        </w:rPr>
        <w:t xml:space="preserve">der grundlegenden Anpassungen </w:t>
      </w:r>
      <w:r w:rsidRPr="00917029">
        <w:rPr>
          <w:rStyle w:val="HervorhebenSCHWARZ"/>
        </w:rPr>
        <w:t>trägt</w:t>
      </w:r>
      <w:r>
        <w:rPr>
          <w:rStyle w:val="HervorhebenSCHWARZ"/>
        </w:rPr>
        <w:t xml:space="preserve"> </w:t>
      </w:r>
      <w:r w:rsidRPr="0057474A">
        <w:t xml:space="preserve">(Risiko bei Softwareunternehmen </w:t>
      </w:r>
      <w:r w:rsidRPr="0057474A">
        <w:sym w:font="Wingdings" w:char="F0E0"/>
      </w:r>
      <w:r w:rsidRPr="0057474A">
        <w:t xml:space="preserve"> Aktivierung; Risiko bei Anwender </w:t>
      </w:r>
      <w:r w:rsidRPr="0057474A">
        <w:sym w:font="Wingdings" w:char="F0E0"/>
      </w:r>
      <w:r w:rsidRPr="0057474A">
        <w:t xml:space="preserve"> Aufwand), </w:t>
      </w:r>
      <w:r>
        <w:t>was unter dem vorherigen Gliederungspunkt erläutert wurde.</w:t>
      </w:r>
      <w:r>
        <w:rPr>
          <w:rStyle w:val="Funotenzeichen"/>
        </w:rPr>
        <w:footnoteReference w:id="13"/>
      </w:r>
    </w:p>
    <w:p w:rsidR="00AD5243" w:rsidRDefault="00AD5243" w:rsidP="00AD5243">
      <w:pPr>
        <w:pStyle w:val="berschrift2"/>
      </w:pPr>
      <w:bookmarkStart w:id="22" w:name="_Toc510621528"/>
      <w:r>
        <w:t>Modifikationsaufwendungen</w:t>
      </w:r>
      <w:bookmarkEnd w:id="22"/>
    </w:p>
    <w:p w:rsidR="00AD5243" w:rsidRPr="002974E9" w:rsidRDefault="00AD5243" w:rsidP="00AD5243">
      <w:pPr>
        <w:pStyle w:val="berschrift3"/>
      </w:pPr>
      <w:bookmarkStart w:id="23" w:name="_Toc510621529"/>
      <w:r>
        <w:t xml:space="preserve">Nach Maßgabe des IDW RS HFA 11 in der Fassung vom 23.06.2010 </w:t>
      </w:r>
      <w:r w:rsidRPr="00A44C75">
        <w:rPr>
          <w:rStyle w:val="HervorhebungROT"/>
          <w:b/>
        </w:rPr>
        <w:t>– alte Fassung</w:t>
      </w:r>
      <w:bookmarkEnd w:id="23"/>
    </w:p>
    <w:p w:rsidR="00AD5243" w:rsidRDefault="00AD5243" w:rsidP="00AD5243">
      <w:pPr>
        <w:pStyle w:val="Standardeinzug"/>
      </w:pPr>
      <w:r>
        <w:t xml:space="preserve">Die </w:t>
      </w:r>
      <w:r w:rsidRPr="00917029">
        <w:rPr>
          <w:rStyle w:val="HervorhebungBLAU"/>
        </w:rPr>
        <w:t>Maßnahmen zur Erweiterung oder Verbesserung von Software</w:t>
      </w:r>
      <w:r>
        <w:t xml:space="preserve">, die in der neuen Fassung </w:t>
      </w:r>
      <w:r w:rsidRPr="00917029">
        <w:rPr>
          <w:rStyle w:val="HervorhebungBLAU"/>
        </w:rPr>
        <w:t>analog zum DRS 24</w:t>
      </w:r>
      <w:r>
        <w:t xml:space="preserve"> unter dem Begriff </w:t>
      </w:r>
      <w:r w:rsidRPr="00917029">
        <w:rPr>
          <w:rStyle w:val="HervorhebungBLAU"/>
        </w:rPr>
        <w:t>Modifikationen</w:t>
      </w:r>
      <w:r>
        <w:t xml:space="preserve"> zusammengefasst werden</w:t>
      </w:r>
      <w:r>
        <w:rPr>
          <w:rStyle w:val="Funotenzeichen"/>
        </w:rPr>
        <w:footnoteReference w:id="14"/>
      </w:r>
      <w:r>
        <w:t xml:space="preserve">, werden in der Fassung der Stellungnahme von 23.06.2010 </w:t>
      </w:r>
      <w:r w:rsidRPr="00A268CA">
        <w:rPr>
          <w:rStyle w:val="HervorhebenSCHWARZ"/>
        </w:rPr>
        <w:t xml:space="preserve">allein danach beurteilt, wer das </w:t>
      </w:r>
      <w:r w:rsidRPr="00A44C75">
        <w:rPr>
          <w:rStyle w:val="HervorhebungROT"/>
        </w:rPr>
        <w:t>Herstellungsrisiko</w:t>
      </w:r>
      <w:r w:rsidRPr="00A268CA">
        <w:rPr>
          <w:rStyle w:val="HervorhebenSCHWARZ"/>
        </w:rPr>
        <w:t xml:space="preserve"> dieser Maßnahmen trägt</w:t>
      </w:r>
      <w:r>
        <w:t xml:space="preserve">. </w:t>
      </w:r>
    </w:p>
    <w:p w:rsidR="00AD5243" w:rsidRDefault="00AD5243" w:rsidP="00AD5243">
      <w:pPr>
        <w:pStyle w:val="Standardeinzug"/>
      </w:pPr>
      <w:r>
        <w:lastRenderedPageBreak/>
        <w:t xml:space="preserve">Die Beurteilung ist </w:t>
      </w:r>
      <w:r w:rsidRPr="00A44C75">
        <w:rPr>
          <w:rStyle w:val="HervorhebungROT"/>
        </w:rPr>
        <w:t>losgelöst</w:t>
      </w:r>
      <w:r>
        <w:t xml:space="preserve"> davon, ob die </w:t>
      </w:r>
      <w:r w:rsidRPr="00E60E02">
        <w:rPr>
          <w:rStyle w:val="HervorhebenSCHWARZ"/>
        </w:rPr>
        <w:t>ursprünglichen Aufwendungen</w:t>
      </w:r>
      <w:r>
        <w:t xml:space="preserve"> für den Erwerb der Software als Anschaffung oder Herstellung qualifiziert wurden. </w:t>
      </w:r>
    </w:p>
    <w:p w:rsidR="00AD5243" w:rsidRDefault="00AD5243" w:rsidP="00AD5243">
      <w:pPr>
        <w:pStyle w:val="Aufzhlungszeichen"/>
        <w:ind w:left="1276" w:hanging="425"/>
      </w:pPr>
      <w:r>
        <w:t xml:space="preserve">Liegt das </w:t>
      </w:r>
      <w:r w:rsidRPr="00401BCE">
        <w:rPr>
          <w:rStyle w:val="HervorhebenSCHWARZ"/>
        </w:rPr>
        <w:t>Herstellungsrisiko</w:t>
      </w:r>
      <w:r>
        <w:t xml:space="preserve"> </w:t>
      </w:r>
      <w:r w:rsidRPr="00401BCE">
        <w:rPr>
          <w:rStyle w:val="HervorhebenSCHWARZ"/>
        </w:rPr>
        <w:t>der Modifikation</w:t>
      </w:r>
      <w:r>
        <w:t xml:space="preserve"> beim </w:t>
      </w:r>
      <w:r w:rsidRPr="00401BCE">
        <w:rPr>
          <w:rStyle w:val="HervorhebenSCHWARZ"/>
        </w:rPr>
        <w:t>Softwareanbieter</w:t>
      </w:r>
      <w:r>
        <w:t xml:space="preserve">, werden die </w:t>
      </w:r>
      <w:r w:rsidRPr="00401BCE">
        <w:rPr>
          <w:rStyle w:val="HervorhebenSCHWARZ"/>
        </w:rPr>
        <w:t>Aufwendungen als nachträgliche Anschaffungskosten</w:t>
      </w:r>
      <w:r>
        <w:t xml:space="preserve"> qualifiziert, die dann zu </w:t>
      </w:r>
      <w:r w:rsidRPr="00401BCE">
        <w:rPr>
          <w:rStyle w:val="HervorhebenSCHWARZ"/>
        </w:rPr>
        <w:t>aktivieren</w:t>
      </w:r>
      <w:r>
        <w:t xml:space="preserve"> sind.</w:t>
      </w:r>
    </w:p>
    <w:p w:rsidR="00AD5243" w:rsidRDefault="00AD5243" w:rsidP="00AD5243">
      <w:pPr>
        <w:pStyle w:val="Aufzhlungszeichen"/>
        <w:ind w:left="1276" w:hanging="425"/>
      </w:pPr>
      <w:r>
        <w:t xml:space="preserve">Liegt hingegen das </w:t>
      </w:r>
      <w:r w:rsidRPr="00401BCE">
        <w:rPr>
          <w:rStyle w:val="HervorhebenSCHWARZ"/>
        </w:rPr>
        <w:t>Herstellungsrisiko der Modifikation</w:t>
      </w:r>
      <w:r>
        <w:t xml:space="preserve"> beim </w:t>
      </w:r>
      <w:r w:rsidRPr="00401BCE">
        <w:rPr>
          <w:rStyle w:val="HervorhebenSCHWARZ"/>
        </w:rPr>
        <w:t>Softwareanwender</w:t>
      </w:r>
      <w:r>
        <w:t xml:space="preserve">, handelt es sich bei den Modifikationsaufwendungen um </w:t>
      </w:r>
      <w:r w:rsidRPr="00401BCE">
        <w:rPr>
          <w:rStyle w:val="HervorhebenSCHWARZ"/>
        </w:rPr>
        <w:t>nachträgliche Herstellungskosten</w:t>
      </w:r>
      <w:r>
        <w:t xml:space="preserve">. </w:t>
      </w:r>
    </w:p>
    <w:p w:rsidR="00AD5243" w:rsidRDefault="00AD5243" w:rsidP="00AD5243">
      <w:pPr>
        <w:pStyle w:val="Aufzhlungszeichen"/>
        <w:numPr>
          <w:ilvl w:val="0"/>
          <w:numId w:val="0"/>
        </w:numPr>
        <w:ind w:left="851"/>
      </w:pPr>
      <w:r>
        <w:t xml:space="preserve">Für diese Aufwendungen kann der Anwender dann </w:t>
      </w:r>
      <w:r w:rsidRPr="00401BCE">
        <w:rPr>
          <w:rStyle w:val="HervorhebenSCHWARZ"/>
        </w:rPr>
        <w:t>grundsätzlich das Aktivierungswahlrecht</w:t>
      </w:r>
      <w:r>
        <w:t xml:space="preserve"> nach § 248 Abs. 2 Satz 1 HGB anwenden. Dabei hat er allerdings den Grundsatz der </w:t>
      </w:r>
      <w:r w:rsidRPr="00401BCE">
        <w:rPr>
          <w:rStyle w:val="HervorhebenSCHWARZ"/>
        </w:rPr>
        <w:t>Ansatzstetigkeit</w:t>
      </w:r>
      <w:r>
        <w:t xml:space="preserve"> im Sinne von § 246 Abs. 3 HGB zu beachten.</w:t>
      </w:r>
    </w:p>
    <w:p w:rsidR="00AD5243" w:rsidRDefault="00AD5243" w:rsidP="00AD5243">
      <w:pPr>
        <w:pStyle w:val="Aufzhlungszeichen2"/>
        <w:numPr>
          <w:ilvl w:val="0"/>
          <w:numId w:val="0"/>
        </w:numPr>
        <w:ind w:left="851"/>
      </w:pPr>
      <w:r>
        <w:t xml:space="preserve">Das bedeutet, dass </w:t>
      </w:r>
      <w:r w:rsidRPr="00401BCE">
        <w:rPr>
          <w:rStyle w:val="HervorhebenSCHWARZ"/>
        </w:rPr>
        <w:t>Modifikationsaufwendungen</w:t>
      </w:r>
      <w:r>
        <w:t xml:space="preserve"> für Software, die </w:t>
      </w:r>
      <w:r w:rsidRPr="00401BCE">
        <w:rPr>
          <w:rStyle w:val="HervorhebenSCHWARZ"/>
        </w:rPr>
        <w:t xml:space="preserve">ursprünglich als selbstgeschaffener immaterieller Vermögensgegenstand aktiviert </w:t>
      </w:r>
      <w:r>
        <w:t xml:space="preserve">wurden, </w:t>
      </w:r>
      <w:r w:rsidRPr="00401BCE">
        <w:rPr>
          <w:rStyle w:val="HervorhebenSCHWARZ"/>
        </w:rPr>
        <w:t>ebenfalls zu aktivieren sind</w:t>
      </w:r>
      <w:r>
        <w:t>, und zwar als nachträgliche Ausgaben für Herstellungskosten.</w:t>
      </w:r>
      <w:r>
        <w:rPr>
          <w:rStyle w:val="Funotenzeichen"/>
        </w:rPr>
        <w:footnoteReference w:id="15"/>
      </w:r>
      <w:r>
        <w:t xml:space="preserve"> </w:t>
      </w:r>
    </w:p>
    <w:p w:rsidR="00AD5243" w:rsidRDefault="00AD5243" w:rsidP="00AD5243">
      <w:pPr>
        <w:pStyle w:val="berschrift3"/>
      </w:pPr>
      <w:bookmarkStart w:id="24" w:name="_Toc510621530"/>
      <w:r>
        <w:t xml:space="preserve">Nach Maßgabe des IDW RS HFA 11 in der Fassung vom 18.12.2017 </w:t>
      </w:r>
      <w:r w:rsidRPr="00970EA9">
        <w:rPr>
          <w:color w:val="FF0000"/>
        </w:rPr>
        <w:t>– neue Fassung</w:t>
      </w:r>
      <w:bookmarkEnd w:id="24"/>
    </w:p>
    <w:p w:rsidR="00AD5243" w:rsidRDefault="00AD5243" w:rsidP="00AD5243">
      <w:pPr>
        <w:pStyle w:val="Standardeinzug"/>
      </w:pPr>
      <w:r>
        <w:t xml:space="preserve">In der </w:t>
      </w:r>
      <w:r w:rsidRPr="00401BCE">
        <w:rPr>
          <w:rStyle w:val="HervorhebungBLAU"/>
        </w:rPr>
        <w:t>neuen Fassung des IDW RS HFA 11</w:t>
      </w:r>
      <w:r>
        <w:t xml:space="preserve"> spielt es </w:t>
      </w:r>
      <w:r w:rsidRPr="00401BCE">
        <w:rPr>
          <w:rStyle w:val="HervorhebenSCHWARZ"/>
        </w:rPr>
        <w:t>keine Rolle</w:t>
      </w:r>
      <w:r>
        <w:t xml:space="preserve"> mehr, wer das </w:t>
      </w:r>
      <w:r w:rsidRPr="00401BCE">
        <w:rPr>
          <w:rStyle w:val="HervorhebenSCHWARZ"/>
        </w:rPr>
        <w:t>Risiko der Modifikationen</w:t>
      </w:r>
      <w:r>
        <w:t xml:space="preserve"> trägt. </w:t>
      </w:r>
    </w:p>
    <w:p w:rsidR="00AD5243" w:rsidRDefault="00AD5243" w:rsidP="00AD5243">
      <w:pPr>
        <w:pStyle w:val="Standardeinzug"/>
      </w:pPr>
      <w:r>
        <w:t xml:space="preserve">Unter dem </w:t>
      </w:r>
      <w:r w:rsidRPr="00401BCE">
        <w:rPr>
          <w:rStyle w:val="HervorhebenSCHWARZ"/>
        </w:rPr>
        <w:t>Grundsatz der Ansatzstetigkeit</w:t>
      </w:r>
      <w:r>
        <w:t xml:space="preserve"> ist für die bilanzielle Behandlung der Modifikationsaufwendungen</w:t>
      </w:r>
      <w:r w:rsidRPr="00466484">
        <w:rPr>
          <w:rStyle w:val="HervorhebenSCHWARZ"/>
        </w:rPr>
        <w:t xml:space="preserve"> </w:t>
      </w:r>
      <w:r w:rsidRPr="00970EA9">
        <w:rPr>
          <w:rStyle w:val="HervorhebungROT"/>
        </w:rPr>
        <w:t>die bilanzielle Behandlung der Aufwendungen für den Erwerb</w:t>
      </w:r>
      <w:r w:rsidRPr="00401BCE">
        <w:rPr>
          <w:rStyle w:val="HervorhebenSCHWARZ"/>
        </w:rPr>
        <w:t xml:space="preserve"> der ursprünglichen Software</w:t>
      </w:r>
      <w:r>
        <w:rPr>
          <w:rStyle w:val="HervorhebenSCHWARZ"/>
        </w:rPr>
        <w:t xml:space="preserve"> </w:t>
      </w:r>
      <w:r w:rsidRPr="00970EA9">
        <w:rPr>
          <w:rStyle w:val="HervorhebungROT"/>
        </w:rPr>
        <w:t>entscheidend</w:t>
      </w:r>
      <w:r>
        <w:t xml:space="preserve">, die dann modifiziert wird. </w:t>
      </w:r>
    </w:p>
    <w:p w:rsidR="000369A7" w:rsidRDefault="000369A7">
      <w:pPr>
        <w:spacing w:before="0"/>
        <w:jc w:val="left"/>
      </w:pPr>
      <w:r>
        <w:br w:type="page"/>
      </w:r>
    </w:p>
    <w:p w:rsidR="00AD5243" w:rsidRDefault="00AD5243" w:rsidP="00AD5243">
      <w:pPr>
        <w:pStyle w:val="Standardeinzug"/>
      </w:pPr>
      <w:r>
        <w:lastRenderedPageBreak/>
        <w:t>Danach sind drei Fälle denkbar:</w:t>
      </w:r>
    </w:p>
    <w:p w:rsidR="00AD5243" w:rsidRPr="00970EA9" w:rsidRDefault="00AD5243" w:rsidP="00AD5243">
      <w:pPr>
        <w:pStyle w:val="Standardeinzug"/>
        <w:ind w:left="1843" w:hanging="992"/>
        <w:rPr>
          <w:rStyle w:val="HervorhebenSCHWARZ"/>
        </w:rPr>
      </w:pPr>
      <w:r>
        <w:rPr>
          <w:rStyle w:val="HervorhebenSCHWARZ"/>
        </w:rPr>
        <w:t>Fall 1:</w:t>
      </w:r>
      <w:r>
        <w:rPr>
          <w:rStyle w:val="HervorhebenSCHWARZ"/>
        </w:rPr>
        <w:tab/>
      </w:r>
      <w:r>
        <w:rPr>
          <w:rStyle w:val="HervorhebenSCHWARZ"/>
        </w:rPr>
        <w:tab/>
      </w:r>
      <w:r>
        <w:rPr>
          <w:rStyle w:val="HervorhebenSCHWARZ"/>
        </w:rPr>
        <w:tab/>
      </w:r>
      <w:r>
        <w:rPr>
          <w:rStyle w:val="HervorhebenSCHWARZ"/>
        </w:rPr>
        <w:tab/>
      </w:r>
      <w:r>
        <w:rPr>
          <w:rStyle w:val="HervorhebenSCHWARZ"/>
        </w:rPr>
        <w:tab/>
      </w:r>
      <w:r>
        <w:rPr>
          <w:rStyle w:val="HervorhebenSCHWARZ"/>
        </w:rPr>
        <w:tab/>
      </w:r>
      <w:r w:rsidRPr="00401BCE">
        <w:rPr>
          <w:rStyle w:val="HervorhebenSCHWARZ"/>
        </w:rPr>
        <w:t>Anschaffung</w:t>
      </w:r>
      <w:r w:rsidRPr="00970EA9">
        <w:rPr>
          <w:rStyle w:val="HervorhebenSCHWARZ"/>
        </w:rPr>
        <w:t xml:space="preserve"> </w:t>
      </w:r>
      <w:r w:rsidRPr="00970EA9">
        <w:rPr>
          <w:rStyle w:val="HervorhebenSCHWARZ"/>
          <w:b w:val="0"/>
        </w:rPr>
        <w:t>der ursprünglichen Software</w:t>
      </w:r>
      <w:r>
        <w:rPr>
          <w:rStyle w:val="HervorhebenSCHWARZ"/>
          <w:b w:val="0"/>
        </w:rPr>
        <w:t xml:space="preserve"> </w:t>
      </w:r>
      <w:r w:rsidRPr="0057474A">
        <w:rPr>
          <w:rStyle w:val="HervorhebenSCHWARZ"/>
          <w:b w:val="0"/>
        </w:rPr>
        <w:sym w:font="Wingdings" w:char="F0E0"/>
      </w:r>
      <w:r>
        <w:rPr>
          <w:rStyle w:val="HervorhebenSCHWARZ"/>
          <w:b w:val="0"/>
        </w:rPr>
        <w:t xml:space="preserve"> d.h. Aktivierung</w:t>
      </w:r>
    </w:p>
    <w:p w:rsidR="00AD5243" w:rsidRDefault="00AD5243" w:rsidP="00AD5243">
      <w:pPr>
        <w:pStyle w:val="Standardeinzug"/>
        <w:ind w:left="1843" w:hanging="992"/>
      </w:pPr>
      <w:r>
        <w:rPr>
          <w:rStyle w:val="HervorhebenSCHWARZ"/>
        </w:rPr>
        <w:t xml:space="preserve">Fall 2: </w:t>
      </w:r>
      <w:r>
        <w:rPr>
          <w:rStyle w:val="HervorhebenSCHWARZ"/>
        </w:rPr>
        <w:tab/>
      </w:r>
      <w:r w:rsidRPr="00401BCE">
        <w:rPr>
          <w:rStyle w:val="HervorhebenSCHWARZ"/>
        </w:rPr>
        <w:t>Herstellung und Aktivierung</w:t>
      </w:r>
      <w:r>
        <w:t xml:space="preserve"> der ursprünglichen Software</w:t>
      </w:r>
    </w:p>
    <w:p w:rsidR="00AD5243" w:rsidRPr="00401BCE" w:rsidRDefault="00AD5243" w:rsidP="00AD5243">
      <w:pPr>
        <w:pStyle w:val="Standardeinzug"/>
        <w:ind w:left="1843" w:hanging="992"/>
        <w:rPr>
          <w:rStyle w:val="HervorhebenSCHWARZ"/>
        </w:rPr>
      </w:pPr>
      <w:r>
        <w:rPr>
          <w:rStyle w:val="HervorhebenSCHWARZ"/>
        </w:rPr>
        <w:t xml:space="preserve">Fall 3: </w:t>
      </w:r>
      <w:r>
        <w:rPr>
          <w:rStyle w:val="HervorhebenSCHWARZ"/>
        </w:rPr>
        <w:tab/>
      </w:r>
      <w:r w:rsidRPr="00401BCE">
        <w:rPr>
          <w:rStyle w:val="HervorhebenSCHWARZ"/>
        </w:rPr>
        <w:t>Herstellung</w:t>
      </w:r>
      <w:r>
        <w:t xml:space="preserve"> der ursprünglichen Software </w:t>
      </w:r>
      <w:r w:rsidRPr="001F522E">
        <w:rPr>
          <w:rStyle w:val="HervorhebenSCHWARZ"/>
        </w:rPr>
        <w:t>und</w:t>
      </w:r>
      <w:r>
        <w:t xml:space="preserve"> </w:t>
      </w:r>
      <w:r w:rsidRPr="00401BCE">
        <w:rPr>
          <w:rStyle w:val="HervorhebenSCHWARZ"/>
        </w:rPr>
        <w:t>Verbuchung als Aufwand</w:t>
      </w:r>
    </w:p>
    <w:p w:rsidR="00AD5243" w:rsidRDefault="00AD5243" w:rsidP="00AD5243">
      <w:pPr>
        <w:pStyle w:val="Standardeinzug"/>
        <w:ind w:left="1985" w:hanging="1134"/>
      </w:pPr>
      <w:r w:rsidRPr="0057474A">
        <w:rPr>
          <w:rStyle w:val="HervorhebenSCHWARZ"/>
        </w:rPr>
        <w:t>zu Fall 1:</w:t>
      </w:r>
      <w:r>
        <w:t xml:space="preserve"> </w:t>
      </w:r>
      <w:r>
        <w:tab/>
        <w:t xml:space="preserve">Ist die zu </w:t>
      </w:r>
      <w:r w:rsidRPr="00401BCE">
        <w:rPr>
          <w:rStyle w:val="HervorhebenSCHWARZ"/>
        </w:rPr>
        <w:t>modifizierende Software ursprünglich angeschafft</w:t>
      </w:r>
      <w:r>
        <w:t xml:space="preserve"> worden </w:t>
      </w:r>
      <w:r w:rsidRPr="00401BCE">
        <w:rPr>
          <w:rStyle w:val="HervorhebenSCHWARZ"/>
        </w:rPr>
        <w:t>und</w:t>
      </w:r>
      <w:r>
        <w:t xml:space="preserve"> </w:t>
      </w:r>
      <w:r w:rsidRPr="00401BCE">
        <w:rPr>
          <w:rStyle w:val="HervorhebenSCHWARZ"/>
        </w:rPr>
        <w:t>war</w:t>
      </w:r>
      <w:r>
        <w:t xml:space="preserve"> deshalb </w:t>
      </w:r>
      <w:r w:rsidRPr="00401BCE">
        <w:rPr>
          <w:rStyle w:val="HervorhebenSCHWARZ"/>
        </w:rPr>
        <w:t>zu aktivieren</w:t>
      </w:r>
      <w:r>
        <w:t xml:space="preserve">, </w:t>
      </w:r>
      <w:r w:rsidRPr="00970EA9">
        <w:rPr>
          <w:rStyle w:val="HervorhebenSCHWARZ"/>
        </w:rPr>
        <w:t>so</w:t>
      </w:r>
      <w:r>
        <w:t xml:space="preserve"> </w:t>
      </w:r>
      <w:r w:rsidRPr="00401BCE">
        <w:rPr>
          <w:rStyle w:val="HervorhebenSCHWARZ"/>
        </w:rPr>
        <w:t>erhöhen</w:t>
      </w:r>
      <w:r>
        <w:t xml:space="preserve"> die die </w:t>
      </w:r>
      <w:r w:rsidRPr="00401BCE">
        <w:rPr>
          <w:rStyle w:val="HervorhebenSCHWARZ"/>
        </w:rPr>
        <w:t>Aufwendungen für die Modifikat</w:t>
      </w:r>
      <w:r w:rsidRPr="00970EA9">
        <w:rPr>
          <w:rStyle w:val="HervorhebenSCHWARZ"/>
        </w:rPr>
        <w:t xml:space="preserve">ionen </w:t>
      </w:r>
      <w:r>
        <w:t xml:space="preserve">nachträglich den </w:t>
      </w:r>
      <w:r w:rsidRPr="00401BCE">
        <w:rPr>
          <w:rStyle w:val="HervorhebenSCHWARZ"/>
        </w:rPr>
        <w:t>Restbuchwert</w:t>
      </w:r>
      <w:r>
        <w:t xml:space="preserve"> der Software. Die so aktivierten nachträglichen </w:t>
      </w:r>
      <w:r w:rsidRPr="00401BCE">
        <w:rPr>
          <w:rStyle w:val="HervorhebenSCHWARZ"/>
        </w:rPr>
        <w:t>Aufwendungen</w:t>
      </w:r>
      <w:r>
        <w:t xml:space="preserve"> </w:t>
      </w:r>
      <w:r w:rsidRPr="00401BCE">
        <w:rPr>
          <w:rStyle w:val="HervorhebenSCHWARZ"/>
        </w:rPr>
        <w:t>unterliegen</w:t>
      </w:r>
      <w:r>
        <w:t xml:space="preserve"> </w:t>
      </w:r>
      <w:r w:rsidRPr="00401BCE">
        <w:rPr>
          <w:rStyle w:val="HervorhebenSCHWARZ"/>
        </w:rPr>
        <w:t xml:space="preserve">nicht der Ausschüttungssperre </w:t>
      </w:r>
      <w:r>
        <w:t>nach § 268 Abs. 8 Satz 1 HGB.</w:t>
      </w:r>
    </w:p>
    <w:p w:rsidR="00AD5243" w:rsidRDefault="00AD5243" w:rsidP="00AD5243">
      <w:pPr>
        <w:pStyle w:val="Standardeinzug"/>
        <w:ind w:left="1985" w:hanging="1134"/>
      </w:pPr>
      <w:r w:rsidRPr="0057474A">
        <w:rPr>
          <w:rStyle w:val="HervorhebenSCHWARZ"/>
        </w:rPr>
        <w:t>zu Fall 2:</w:t>
      </w:r>
      <w:r>
        <w:tab/>
        <w:t xml:space="preserve">Wurden die </w:t>
      </w:r>
      <w:r w:rsidRPr="00401BCE">
        <w:rPr>
          <w:rStyle w:val="HervorhebenSCHWARZ"/>
        </w:rPr>
        <w:t>ursprüngliche Software</w:t>
      </w:r>
      <w:r>
        <w:t xml:space="preserve"> hingegen </w:t>
      </w:r>
      <w:r w:rsidRPr="00401BCE">
        <w:rPr>
          <w:rStyle w:val="HervorhebenSCHWARZ"/>
        </w:rPr>
        <w:t xml:space="preserve">selbst geschaffen und </w:t>
      </w:r>
      <w:r>
        <w:t xml:space="preserve">wurde von dem </w:t>
      </w:r>
      <w:r w:rsidRPr="00401BCE">
        <w:rPr>
          <w:rStyle w:val="HervorhebenSCHWARZ"/>
        </w:rPr>
        <w:t>Aktivierungswahlrecht</w:t>
      </w:r>
      <w:r>
        <w:t xml:space="preserve"> nach § 248 Abs. 2 Satz 1 HGB Gebrauch gemacht, </w:t>
      </w:r>
      <w:r w:rsidRPr="00401BCE">
        <w:rPr>
          <w:rStyle w:val="HervorhebenSCHWARZ"/>
        </w:rPr>
        <w:t>müssen</w:t>
      </w:r>
      <w:r>
        <w:t xml:space="preserve"> auch die </w:t>
      </w:r>
      <w:r w:rsidRPr="00401BCE">
        <w:rPr>
          <w:rStyle w:val="HervorhebenSCHWARZ"/>
        </w:rPr>
        <w:t>Modifikationsaufwendungen</w:t>
      </w:r>
      <w:r>
        <w:t xml:space="preserve"> </w:t>
      </w:r>
      <w:r w:rsidRPr="00401BCE">
        <w:rPr>
          <w:rStyle w:val="HervorhebenSCHWARZ"/>
        </w:rPr>
        <w:t>aktiviert</w:t>
      </w:r>
      <w:r>
        <w:t xml:space="preserve"> werden.</w:t>
      </w:r>
    </w:p>
    <w:p w:rsidR="00AD5243" w:rsidRDefault="00AD5243" w:rsidP="00AD5243">
      <w:pPr>
        <w:pStyle w:val="Standardeinzug"/>
        <w:ind w:left="1985" w:hanging="1134"/>
      </w:pPr>
      <w:r w:rsidRPr="0057474A">
        <w:rPr>
          <w:rStyle w:val="HervorhebenSCHWARZ"/>
        </w:rPr>
        <w:t>zu Fall 3:</w:t>
      </w:r>
      <w:r>
        <w:t xml:space="preserve"> </w:t>
      </w:r>
      <w:r>
        <w:tab/>
        <w:t xml:space="preserve">Wurde bei einer </w:t>
      </w:r>
      <w:r w:rsidRPr="00486E33">
        <w:rPr>
          <w:rStyle w:val="HervorhebenSCHWARZ"/>
        </w:rPr>
        <w:t>ursprünglich selbst geschaffenen Software</w:t>
      </w:r>
      <w:r>
        <w:t xml:space="preserve"> hingegen von dem </w:t>
      </w:r>
      <w:r w:rsidRPr="00401BCE">
        <w:rPr>
          <w:rStyle w:val="HervorhebenSCHWARZ"/>
        </w:rPr>
        <w:t>Aktivierungswahlrecht</w:t>
      </w:r>
      <w:r>
        <w:t xml:space="preserve"> nach § 248 Abs. 2 Satz 1 HGB </w:t>
      </w:r>
      <w:r w:rsidRPr="00401BCE">
        <w:rPr>
          <w:rStyle w:val="HervorhebenSCHWARZ"/>
        </w:rPr>
        <w:t>kein Gebrauch</w:t>
      </w:r>
      <w:r>
        <w:t xml:space="preserve"> gemacht, sind auch die </w:t>
      </w:r>
      <w:r w:rsidRPr="00401BCE">
        <w:rPr>
          <w:rStyle w:val="HervorhebenSCHWARZ"/>
        </w:rPr>
        <w:t>Aufwendungen für Modifikationen sofort in voller Höhe erfolgswirksam</w:t>
      </w:r>
      <w:r>
        <w:t xml:space="preserve"> zu erfassen.</w:t>
      </w:r>
    </w:p>
    <w:p w:rsidR="00AD5243" w:rsidRDefault="00AD5243" w:rsidP="00AD5243">
      <w:pPr>
        <w:pStyle w:val="Standardeinzug"/>
      </w:pPr>
      <w:r>
        <w:t xml:space="preserve">Das gilt </w:t>
      </w:r>
      <w:r w:rsidRPr="00970EA9">
        <w:rPr>
          <w:rStyle w:val="HervorhebungROT"/>
        </w:rPr>
        <w:t>unabhängig davon</w:t>
      </w:r>
      <w:r>
        <w:t xml:space="preserve">, wer das </w:t>
      </w:r>
      <w:r w:rsidRPr="00970EA9">
        <w:rPr>
          <w:rStyle w:val="HervorhebungROT"/>
        </w:rPr>
        <w:t>Herstellungsrisiko der Modifikation</w:t>
      </w:r>
      <w:r>
        <w:t xml:space="preserve"> trägt.</w:t>
      </w:r>
      <w:r>
        <w:rPr>
          <w:rStyle w:val="Funotenzeichen"/>
        </w:rPr>
        <w:footnoteReference w:id="16"/>
      </w:r>
    </w:p>
    <w:p w:rsidR="00AD5243" w:rsidRDefault="00AD5243" w:rsidP="00AD5243">
      <w:pPr>
        <w:pStyle w:val="berschrift2"/>
      </w:pPr>
      <w:bookmarkStart w:id="25" w:name="_Toc510621531"/>
      <w:r>
        <w:t>Aufwendungen für sonstige Anpassungen</w:t>
      </w:r>
      <w:bookmarkEnd w:id="25"/>
    </w:p>
    <w:p w:rsidR="00AD5243" w:rsidRDefault="00AD5243" w:rsidP="00AD5243">
      <w:pPr>
        <w:pStyle w:val="Standardeinzug"/>
      </w:pPr>
      <w:r>
        <w:t xml:space="preserve">Sonstige Anpassungen lassen sich unter den Punkten </w:t>
      </w:r>
      <w:r w:rsidRPr="00C7486E">
        <w:rPr>
          <w:rStyle w:val="HervorhebungBLAU"/>
        </w:rPr>
        <w:t>Customizing</w:t>
      </w:r>
      <w:r>
        <w:t xml:space="preserve"> und </w:t>
      </w:r>
      <w:r w:rsidRPr="00C7486E">
        <w:rPr>
          <w:rStyle w:val="HervorhebungBLAU"/>
        </w:rPr>
        <w:t>Updates bzw. Release-Wechsel</w:t>
      </w:r>
      <w:r>
        <w:t xml:space="preserve"> zusammenfassen. </w:t>
      </w:r>
    </w:p>
    <w:p w:rsidR="00AD5243" w:rsidRDefault="00AD5243" w:rsidP="00AD5243">
      <w:pPr>
        <w:pStyle w:val="berschrift3"/>
      </w:pPr>
      <w:bookmarkStart w:id="26" w:name="_Toc510621532"/>
      <w:r>
        <w:lastRenderedPageBreak/>
        <w:t>Behandlung von Customizing</w:t>
      </w:r>
      <w:bookmarkEnd w:id="26"/>
    </w:p>
    <w:p w:rsidR="00AD5243" w:rsidRDefault="00AD5243" w:rsidP="00AD5243">
      <w:pPr>
        <w:pStyle w:val="Abbildung"/>
      </w:pPr>
      <w:r>
        <w:object w:dxaOrig="7160" w:dyaOrig="5367">
          <v:shape id="_x0000_i1028" type="#_x0000_t75" style="width:358pt;height:268.35pt" o:ole="" o:bordertopcolor="this" o:borderleftcolor="this" o:borderbottomcolor="this" o:borderrightcolor="this">
            <v:imagedata r:id="rId1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PowerPoint.Slide.12" ShapeID="_x0000_i1028" DrawAspect="Content" ObjectID="_1821447880" r:id="rId16"/>
        </w:object>
      </w:r>
    </w:p>
    <w:p w:rsidR="00AD5243" w:rsidRPr="00CA079C" w:rsidRDefault="00AD5243" w:rsidP="00AD5243">
      <w:pPr>
        <w:pStyle w:val="Beschriftung"/>
      </w:pPr>
      <w:r>
        <w:t xml:space="preserve">Abbildung 4: </w:t>
      </w:r>
      <w:r w:rsidRPr="00AD6B74">
        <w:t>Behandlung</w:t>
      </w:r>
      <w:r>
        <w:t xml:space="preserve"> von Customizing</w:t>
      </w:r>
    </w:p>
    <w:p w:rsidR="00AD5243" w:rsidRDefault="00AD5243" w:rsidP="00AD5243">
      <w:pPr>
        <w:pStyle w:val="Standardeinzug"/>
      </w:pPr>
      <w:r w:rsidRPr="00C7486E">
        <w:rPr>
          <w:rStyle w:val="HervorhebungBLAU"/>
        </w:rPr>
        <w:t>Customizing</w:t>
      </w:r>
      <w:r>
        <w:t xml:space="preserve"> umfasst Maßnahmen zur </w:t>
      </w:r>
      <w:r w:rsidRPr="00401BCE">
        <w:rPr>
          <w:rStyle w:val="HervorhebenSCHWARZ"/>
        </w:rPr>
        <w:t>Einbettung einer Software in das konkrete betriebliche Umfeld</w:t>
      </w:r>
      <w:r>
        <w:t>, wie zum Beispiel die Programmierung oder Errichtung von Schnittstellen oder die Installation der Software auf den Computern der Mitarbeiter.</w:t>
      </w:r>
    </w:p>
    <w:p w:rsidR="00AD5243" w:rsidRDefault="00AD5243" w:rsidP="00AD5243">
      <w:pPr>
        <w:pStyle w:val="Standardeinzug"/>
      </w:pPr>
      <w:r>
        <w:t xml:space="preserve">Bei den </w:t>
      </w:r>
      <w:r w:rsidRPr="00401BCE">
        <w:rPr>
          <w:rStyle w:val="HervorhebenSCHWARZ"/>
        </w:rPr>
        <w:t>Aufwendungen</w:t>
      </w:r>
      <w:r>
        <w:t xml:space="preserve"> ist zu </w:t>
      </w:r>
      <w:r w:rsidRPr="00401BCE">
        <w:rPr>
          <w:rStyle w:val="HervorhebenSCHWARZ"/>
        </w:rPr>
        <w:t>unterscheiden</w:t>
      </w:r>
      <w:r>
        <w:t>, ob es sich um Aufwendungen handelt, um</w:t>
      </w:r>
    </w:p>
    <w:p w:rsidR="00AD5243" w:rsidRDefault="00AD5243" w:rsidP="00AD5243">
      <w:pPr>
        <w:pStyle w:val="Aufzhlungszeichen"/>
        <w:ind w:left="1276" w:hanging="425"/>
      </w:pPr>
      <w:r w:rsidRPr="00401BCE">
        <w:rPr>
          <w:rStyle w:val="HervorhebenSCHWARZ"/>
        </w:rPr>
        <w:t xml:space="preserve">Standardsoftware in einen </w:t>
      </w:r>
      <w:r w:rsidRPr="00BD1C4E">
        <w:rPr>
          <w:rStyle w:val="HervorhebungBLAU"/>
        </w:rPr>
        <w:t>betriebsbereiten Zustand</w:t>
      </w:r>
      <w:r w:rsidRPr="00401BCE">
        <w:rPr>
          <w:rStyle w:val="HervorhebenSCHWARZ"/>
        </w:rPr>
        <w:t xml:space="preserve"> zu versetzen</w:t>
      </w:r>
    </w:p>
    <w:p w:rsidR="00AD5243" w:rsidRDefault="00AD5243" w:rsidP="00AD5243">
      <w:pPr>
        <w:pStyle w:val="Aufzhlungszeichen"/>
        <w:ind w:left="1276" w:hanging="425"/>
      </w:pPr>
      <w:r w:rsidRPr="00BD1C4E">
        <w:rPr>
          <w:rStyle w:val="HervorhebungBLAU"/>
        </w:rPr>
        <w:t>zusätzliche Funktionalitäten</w:t>
      </w:r>
      <w:r w:rsidRPr="00401BCE">
        <w:rPr>
          <w:rStyle w:val="HervorhebenSCHWARZ"/>
        </w:rPr>
        <w:t xml:space="preserve"> zu schaffen</w:t>
      </w:r>
      <w:r>
        <w:t>, wie zum Beispiel neue Auswertungen.</w:t>
      </w:r>
    </w:p>
    <w:p w:rsidR="00AD5243" w:rsidRDefault="00AD5243" w:rsidP="00AD5243">
      <w:pPr>
        <w:pStyle w:val="Standardeinzug"/>
      </w:pPr>
      <w:r>
        <w:t xml:space="preserve">Die Aufwendungen für das Versetzen in einen </w:t>
      </w:r>
      <w:r w:rsidRPr="00C7486E">
        <w:rPr>
          <w:rStyle w:val="HervorhebenSCHWARZ"/>
        </w:rPr>
        <w:t>betriebsbereiten Zustand</w:t>
      </w:r>
      <w:r>
        <w:t xml:space="preserve"> gehören zu den </w:t>
      </w:r>
      <w:r w:rsidRPr="00C7486E">
        <w:rPr>
          <w:rStyle w:val="HervorhebenSCHWARZ"/>
        </w:rPr>
        <w:t>Anschaffungs- bzw. Herstellungskosten</w:t>
      </w:r>
      <w:r>
        <w:t xml:space="preserve">, sofern von dem Wahlrecht des § 248 Abs. 2 Satz 1 HGB Gebrauch gemacht wird. </w:t>
      </w:r>
    </w:p>
    <w:p w:rsidR="00AD5243" w:rsidRDefault="00AD5243" w:rsidP="00AD5243">
      <w:pPr>
        <w:pStyle w:val="Standardeinzug"/>
      </w:pPr>
      <w:r>
        <w:t xml:space="preserve">Hingegen ist bei der </w:t>
      </w:r>
      <w:r w:rsidRPr="00C7486E">
        <w:rPr>
          <w:rStyle w:val="HervorhebenSCHWARZ"/>
        </w:rPr>
        <w:t>Schaffung zusätzlicher Funktionalitäten</w:t>
      </w:r>
      <w:r>
        <w:t xml:space="preserve"> eine Prüfung analog den </w:t>
      </w:r>
      <w:r w:rsidRPr="00C7486E">
        <w:rPr>
          <w:rStyle w:val="HervorhebenSCHWARZ"/>
        </w:rPr>
        <w:t>Ausführungen zur Behandlung der Modifikationsaufwendungen</w:t>
      </w:r>
      <w:r>
        <w:t xml:space="preserve"> vorzunehmen.</w:t>
      </w:r>
      <w:r>
        <w:rPr>
          <w:rStyle w:val="Funotenzeichen"/>
        </w:rPr>
        <w:footnoteReference w:id="17"/>
      </w:r>
    </w:p>
    <w:p w:rsidR="00AD5243" w:rsidRDefault="00AD5243" w:rsidP="00AD5243">
      <w:pPr>
        <w:pStyle w:val="berschrift3"/>
      </w:pPr>
      <w:bookmarkStart w:id="27" w:name="_Toc510621533"/>
      <w:r>
        <w:lastRenderedPageBreak/>
        <w:t>Behandlung von Update und Release-Wechseln</w:t>
      </w:r>
      <w:bookmarkEnd w:id="27"/>
    </w:p>
    <w:p w:rsidR="00AD5243" w:rsidRDefault="00AD5243" w:rsidP="00AD5243">
      <w:pPr>
        <w:pStyle w:val="Abbildung"/>
      </w:pPr>
      <w:r>
        <w:object w:dxaOrig="7171" w:dyaOrig="5374">
          <v:shape id="_x0000_i1029" type="#_x0000_t75" style="width:358.55pt;height:268.7pt" o:ole="" o:bordertopcolor="this" o:borderleftcolor="this" o:borderbottomcolor="this" o:borderrightcolor="this">
            <v:imagedata r:id="rId17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PowerPoint.Slide.12" ShapeID="_x0000_i1029" DrawAspect="Content" ObjectID="_1821447881" r:id="rId18"/>
        </w:object>
      </w:r>
    </w:p>
    <w:p w:rsidR="00AD5243" w:rsidRPr="00BD1C4E" w:rsidRDefault="00AD5243" w:rsidP="00AD5243">
      <w:pPr>
        <w:pStyle w:val="Beschriftung"/>
      </w:pPr>
      <w:r>
        <w:t xml:space="preserve">Abbildung 5: Behandlung von </w:t>
      </w:r>
      <w:r w:rsidRPr="00AD6B74">
        <w:t>Update</w:t>
      </w:r>
      <w:r>
        <w:t xml:space="preserve"> und Release-Wechsel</w:t>
      </w:r>
    </w:p>
    <w:p w:rsidR="00AD5243" w:rsidRDefault="00AD5243" w:rsidP="00AD5243">
      <w:pPr>
        <w:pStyle w:val="Standardeinzug"/>
      </w:pPr>
      <w:r>
        <w:t xml:space="preserve">Bei </w:t>
      </w:r>
      <w:r w:rsidRPr="00C7486E">
        <w:rPr>
          <w:rStyle w:val="HervorhebungBLAU"/>
        </w:rPr>
        <w:t>Updates und Release-Wechseln</w:t>
      </w:r>
      <w:r>
        <w:t xml:space="preserve"> geht es entsprechend um die Prüfung, ob es nur </w:t>
      </w:r>
    </w:p>
    <w:p w:rsidR="00AD5243" w:rsidRDefault="00AD5243" w:rsidP="00AD5243">
      <w:pPr>
        <w:pStyle w:val="Aufzhlungszeichen"/>
        <w:ind w:left="1276" w:hanging="425"/>
      </w:pPr>
      <w:r>
        <w:t xml:space="preserve">um die </w:t>
      </w:r>
      <w:r>
        <w:rPr>
          <w:rStyle w:val="HervorhebenSCHWARZ"/>
        </w:rPr>
        <w:t xml:space="preserve">Aufrechterhaltung der </w:t>
      </w:r>
      <w:r w:rsidRPr="00C7486E">
        <w:rPr>
          <w:rStyle w:val="HervorhebenSCHWARZ"/>
        </w:rPr>
        <w:t>Funktionsfähigkeit</w:t>
      </w:r>
      <w:r>
        <w:t xml:space="preserve"> der bestehenden Software geht, </w:t>
      </w:r>
    </w:p>
    <w:p w:rsidR="00AD5243" w:rsidRPr="001F522E" w:rsidRDefault="00AD5243" w:rsidP="00AD5243">
      <w:pPr>
        <w:pStyle w:val="Aufzhlungszeichen"/>
        <w:numPr>
          <w:ilvl w:val="0"/>
          <w:numId w:val="0"/>
        </w:numPr>
        <w:ind w:left="1208"/>
        <w:rPr>
          <w:rStyle w:val="HervorhebenSCHWARZ"/>
        </w:rPr>
      </w:pPr>
      <w:r w:rsidRPr="001F522E">
        <w:rPr>
          <w:rStyle w:val="HervorhebenSCHWARZ"/>
        </w:rPr>
        <w:t xml:space="preserve">oder </w:t>
      </w:r>
    </w:p>
    <w:p w:rsidR="00AD5243" w:rsidRDefault="00AD5243" w:rsidP="00AD5243">
      <w:pPr>
        <w:pStyle w:val="Aufzhlungszeichen"/>
        <w:ind w:left="1276" w:hanging="425"/>
      </w:pPr>
      <w:r>
        <w:t xml:space="preserve">ob diese zu einer </w:t>
      </w:r>
      <w:r w:rsidRPr="00C7486E">
        <w:rPr>
          <w:rStyle w:val="HervorhebenSCHWARZ"/>
        </w:rPr>
        <w:t>Modifikation der Software</w:t>
      </w:r>
      <w:r>
        <w:t xml:space="preserve"> führen. </w:t>
      </w:r>
    </w:p>
    <w:p w:rsidR="00AD5243" w:rsidRDefault="00AD5243" w:rsidP="00AD5243">
      <w:pPr>
        <w:pStyle w:val="Standardeinzug"/>
      </w:pPr>
      <w:r>
        <w:t xml:space="preserve">Während hier im </w:t>
      </w:r>
      <w:r w:rsidRPr="00C7486E">
        <w:rPr>
          <w:rStyle w:val="HervorhebenSCHWARZ"/>
        </w:rPr>
        <w:t>ersten Fall</w:t>
      </w:r>
      <w:r>
        <w:t xml:space="preserve"> die Aufwendungen als </w:t>
      </w:r>
      <w:r w:rsidRPr="00C7486E">
        <w:rPr>
          <w:rStyle w:val="HervorhebenSCHWARZ"/>
        </w:rPr>
        <w:t xml:space="preserve">laufender Erhaltungsaufwand </w:t>
      </w:r>
      <w:r>
        <w:t xml:space="preserve">zu verbuchen sind, sind die Aufwendungen im </w:t>
      </w:r>
      <w:r w:rsidRPr="00C7486E">
        <w:rPr>
          <w:rStyle w:val="HervorhebenSCHWARZ"/>
        </w:rPr>
        <w:t>zweiten Fall</w:t>
      </w:r>
      <w:r>
        <w:t xml:space="preserve"> analog den Ausführungen zur </w:t>
      </w:r>
      <w:r w:rsidRPr="00C7486E">
        <w:rPr>
          <w:rStyle w:val="HervorhebenSCHWARZ"/>
        </w:rPr>
        <w:t>Behandlung</w:t>
      </w:r>
      <w:r>
        <w:rPr>
          <w:rStyle w:val="HervorhebenSCHWARZ"/>
        </w:rPr>
        <w:t>,</w:t>
      </w:r>
      <w:r w:rsidRPr="00C7486E">
        <w:rPr>
          <w:rStyle w:val="HervorhebenSCHWARZ"/>
        </w:rPr>
        <w:t xml:space="preserve"> </w:t>
      </w:r>
      <w:r>
        <w:rPr>
          <w:rStyle w:val="HervorhebenSCHWARZ"/>
        </w:rPr>
        <w:t>d</w:t>
      </w:r>
      <w:r w:rsidRPr="00C7486E">
        <w:rPr>
          <w:rStyle w:val="HervorhebenSCHWARZ"/>
        </w:rPr>
        <w:t>er Modifikationsaufwendungen</w:t>
      </w:r>
      <w:r>
        <w:t xml:space="preserve"> anzuwenden. </w:t>
      </w:r>
    </w:p>
    <w:p w:rsidR="00AD5243" w:rsidRDefault="00AD5243" w:rsidP="00AD5243">
      <w:pPr>
        <w:pStyle w:val="Standardeinzug"/>
      </w:pPr>
      <w:r>
        <w:t xml:space="preserve">Sofern die </w:t>
      </w:r>
      <w:r w:rsidRPr="0057474A">
        <w:rPr>
          <w:rStyle w:val="HervorhebungBLAU"/>
        </w:rPr>
        <w:t>Modifikationsaufwendungen grundlegend</w:t>
      </w:r>
      <w:r>
        <w:t xml:space="preserve"> </w:t>
      </w:r>
      <w:r w:rsidRPr="0057474A">
        <w:rPr>
          <w:rStyle w:val="HervorhebungBLAU"/>
        </w:rPr>
        <w:t>sind</w:t>
      </w:r>
      <w:r>
        <w:t>, wird das unter Umständen als Wesensänderung und somit als Erwerb eines neuen Vermögensgegenstandes angesehen.</w:t>
      </w:r>
      <w:r>
        <w:rPr>
          <w:rStyle w:val="Funotenzeichen"/>
        </w:rPr>
        <w:footnoteReference w:id="18"/>
      </w:r>
    </w:p>
    <w:p w:rsidR="00AD5243" w:rsidRDefault="00AD5243" w:rsidP="00AD5243">
      <w:pPr>
        <w:pStyle w:val="berschrift2"/>
      </w:pPr>
      <w:bookmarkStart w:id="28" w:name="_Toc510621534"/>
      <w:r>
        <w:t>Umfang der Anschaffungskosten</w:t>
      </w:r>
      <w:bookmarkEnd w:id="28"/>
    </w:p>
    <w:p w:rsidR="00AD5243" w:rsidRDefault="00AD5243" w:rsidP="00AD5243">
      <w:pPr>
        <w:pStyle w:val="Zitat"/>
      </w:pPr>
      <w:r>
        <w:t xml:space="preserve">„Nach </w:t>
      </w:r>
      <w:r w:rsidRPr="00C7486E">
        <w:rPr>
          <w:rStyle w:val="HervorhebungBLAU"/>
        </w:rPr>
        <w:t>§ 255 Abs. 1 HGB</w:t>
      </w:r>
      <w:r>
        <w:t xml:space="preserve"> sind Anschaffungskosten „die Aufwendungen, die geleistet werden, um einen Vermögensgegenstand zu erwerben und ihn in einen betriebsbereiten Zustand zu versetzen, soweit sie einem Vermögens</w:t>
      </w:r>
      <w:r>
        <w:lastRenderedPageBreak/>
        <w:t>gegenstand einzeln zugerechnet werden können. Zu den Anschaffungskosten gehören auch die Nebenkosten sowie die nachträglichen Anschaffungskosten. Anschaffungspreisminderungen, die dem Vermögensgegenstand einzeln zugeordnet werden können, sind abzusetzen.“</w:t>
      </w:r>
    </w:p>
    <w:p w:rsidR="00AD5243" w:rsidRDefault="00AD5243" w:rsidP="00AD5243">
      <w:pPr>
        <w:pStyle w:val="Standardeinzug"/>
      </w:pPr>
      <w:r>
        <w:t xml:space="preserve">Hier erfolgte in der aktuellen Stellungnahme nur eine Anpassung, die die </w:t>
      </w:r>
      <w:proofErr w:type="spellStart"/>
      <w:r w:rsidRPr="005E2AE3">
        <w:rPr>
          <w:rStyle w:val="HervorhebungBLAU"/>
        </w:rPr>
        <w:t>Einzelzuordenbarkeit</w:t>
      </w:r>
      <w:proofErr w:type="spellEnd"/>
      <w:r w:rsidRPr="005E2AE3">
        <w:rPr>
          <w:rStyle w:val="HervorhebungBLAU"/>
        </w:rPr>
        <w:t xml:space="preserve"> von Anschaffungspreisminderungen</w:t>
      </w:r>
      <w:r>
        <w:t xml:space="preserve"> betrifft.</w:t>
      </w:r>
      <w:r>
        <w:rPr>
          <w:rStyle w:val="Funotenzeichen"/>
        </w:rPr>
        <w:footnoteReference w:id="19"/>
      </w:r>
      <w:r>
        <w:t xml:space="preserve">  </w:t>
      </w:r>
    </w:p>
    <w:p w:rsidR="00AD5243" w:rsidRDefault="00AD5243" w:rsidP="00AD5243">
      <w:pPr>
        <w:pStyle w:val="Standardeinzug"/>
      </w:pPr>
      <w:r>
        <w:t xml:space="preserve">Die Berücksichtigung von </w:t>
      </w:r>
      <w:r w:rsidRPr="00C7486E">
        <w:rPr>
          <w:rStyle w:val="HervorhebenSCHWARZ"/>
        </w:rPr>
        <w:t xml:space="preserve">Kosten zur </w:t>
      </w:r>
      <w:r w:rsidRPr="005E2AE3">
        <w:rPr>
          <w:rStyle w:val="HervorhebungBLAU"/>
        </w:rPr>
        <w:t>Anbahnung der Anschaffung</w:t>
      </w:r>
      <w:r>
        <w:t xml:space="preserve"> von Software ist </w:t>
      </w:r>
      <w:r w:rsidRPr="00C7486E">
        <w:rPr>
          <w:rStyle w:val="HervorhebenSCHWARZ"/>
        </w:rPr>
        <w:t>nach wirtschaftlichen Gesichtspunkt</w:t>
      </w:r>
      <w:r w:rsidRPr="00486E33">
        <w:rPr>
          <w:rStyle w:val="HervorhebenSCHWARZ"/>
        </w:rPr>
        <w:t>en</w:t>
      </w:r>
      <w:r>
        <w:t xml:space="preserve"> vorzunehmen.</w:t>
      </w:r>
    </w:p>
    <w:p w:rsidR="00AD5243" w:rsidRDefault="00AD5243" w:rsidP="00AD5243">
      <w:pPr>
        <w:pStyle w:val="Standardeinzug"/>
      </w:pPr>
      <w:r>
        <w:t xml:space="preserve">So sind insbesondere Aufwendungen, die für das Erkennen und Bewerten von Alternativen notwendig sind, </w:t>
      </w:r>
      <w:r w:rsidRPr="0057474A">
        <w:rPr>
          <w:rStyle w:val="HervorhebungROT"/>
        </w:rPr>
        <w:t>nicht</w:t>
      </w:r>
      <w:r w:rsidRPr="0057474A">
        <w:rPr>
          <w:b/>
        </w:rPr>
        <w:t xml:space="preserve"> </w:t>
      </w:r>
      <w:r>
        <w:t>zu aktivieren.</w:t>
      </w:r>
    </w:p>
    <w:p w:rsidR="00AD5243" w:rsidRDefault="00AD5243" w:rsidP="00AD5243">
      <w:pPr>
        <w:pStyle w:val="Standardeinzug"/>
      </w:pPr>
      <w:r>
        <w:t>Dabei handelt es sich zum Beispiel um Aufwendungen zur Vorbereitung einer Investitionsentscheidung, z. B. Analyse und Optimierung von Geschäftsprozessen.</w:t>
      </w:r>
      <w:r>
        <w:rPr>
          <w:rStyle w:val="Funotenzeichen"/>
        </w:rPr>
        <w:footnoteReference w:id="20"/>
      </w:r>
    </w:p>
    <w:p w:rsidR="00AD5243" w:rsidRDefault="00AD5243" w:rsidP="00AD5243">
      <w:pPr>
        <w:pStyle w:val="Aufzhlungszeichen"/>
        <w:numPr>
          <w:ilvl w:val="0"/>
          <w:numId w:val="16"/>
        </w:numPr>
        <w:ind w:left="1276" w:hanging="425"/>
      </w:pPr>
      <w:r>
        <w:t xml:space="preserve">Auch </w:t>
      </w:r>
      <w:r w:rsidRPr="00C7486E">
        <w:rPr>
          <w:rStyle w:val="HervorhebenSCHWARZ"/>
        </w:rPr>
        <w:t>Aufwendungen zur Herstellung der Betriebsbereitschaft</w:t>
      </w:r>
      <w:r>
        <w:t xml:space="preserve"> gehören zu den in § 255 Abs. 1 HGB genannten Bestandteilen von </w:t>
      </w:r>
      <w:r w:rsidRPr="00C7486E">
        <w:rPr>
          <w:rStyle w:val="HervorhebenSCHWARZ"/>
        </w:rPr>
        <w:t>Anschaffungskosten</w:t>
      </w:r>
      <w:r>
        <w:t xml:space="preserve">, sofern sie dem Vermögensgegenstand </w:t>
      </w:r>
      <w:r w:rsidRPr="00C7486E">
        <w:rPr>
          <w:rStyle w:val="HervorhebenSCHWARZ"/>
        </w:rPr>
        <w:t>einzeln zugerechnet werden</w:t>
      </w:r>
      <w:r>
        <w:t xml:space="preserve"> können.</w:t>
      </w:r>
      <w:r>
        <w:rPr>
          <w:rStyle w:val="Funotenzeichen"/>
        </w:rPr>
        <w:footnoteReference w:id="21"/>
      </w:r>
      <w:r>
        <w:t xml:space="preserve"> </w:t>
      </w:r>
    </w:p>
    <w:p w:rsidR="00AD5243" w:rsidRDefault="00AD5243" w:rsidP="00AD5243">
      <w:pPr>
        <w:pStyle w:val="Aufzhlungszeichen"/>
        <w:numPr>
          <w:ilvl w:val="0"/>
          <w:numId w:val="17"/>
        </w:numPr>
        <w:ind w:left="1276" w:hanging="425"/>
      </w:pPr>
      <w:r>
        <w:t xml:space="preserve">Zu den einzeln zurechenbaren Aufwendungen gehören </w:t>
      </w:r>
      <w:r w:rsidRPr="00C7486E">
        <w:rPr>
          <w:rStyle w:val="HervorhebenSCHWARZ"/>
        </w:rPr>
        <w:t>unmittelbare</w:t>
      </w:r>
      <w:r>
        <w:t xml:space="preserve"> </w:t>
      </w:r>
      <w:r w:rsidRPr="00C7486E">
        <w:rPr>
          <w:rStyle w:val="HervorhebenSCHWARZ"/>
        </w:rPr>
        <w:t>Aufwendungen</w:t>
      </w:r>
      <w:r>
        <w:t xml:space="preserve">, wie beispielsweise die Aufwendungen für das zuvor erläuterte Customizing. </w:t>
      </w:r>
      <w:r w:rsidRPr="00C7486E">
        <w:rPr>
          <w:rStyle w:val="HervorhebenSCHWARZ"/>
        </w:rPr>
        <w:t>Nicht zu berücksichtigen</w:t>
      </w:r>
      <w:r>
        <w:t xml:space="preserve"> sind hingegen </w:t>
      </w:r>
      <w:r w:rsidRPr="00C7486E">
        <w:rPr>
          <w:rStyle w:val="HervorhebenSCHWARZ"/>
        </w:rPr>
        <w:t>mittelbare</w:t>
      </w:r>
      <w:r>
        <w:t xml:space="preserve"> </w:t>
      </w:r>
      <w:r w:rsidRPr="00C7486E">
        <w:rPr>
          <w:rStyle w:val="HervorhebenSCHWARZ"/>
        </w:rPr>
        <w:t>Aufwendungen</w:t>
      </w:r>
      <w:r>
        <w:t xml:space="preserve"> wie beispielsweise Schulungsmaßnahmen für Anwender.</w:t>
      </w:r>
      <w:r>
        <w:rPr>
          <w:rStyle w:val="Funotenzeichen"/>
        </w:rPr>
        <w:footnoteReference w:id="22"/>
      </w:r>
      <w:r>
        <w:t xml:space="preserve">  </w:t>
      </w:r>
    </w:p>
    <w:p w:rsidR="00AD5243" w:rsidRDefault="00AD5243" w:rsidP="00AD5243">
      <w:pPr>
        <w:pStyle w:val="Aufzhlungszeichen"/>
        <w:numPr>
          <w:ilvl w:val="0"/>
          <w:numId w:val="17"/>
        </w:numPr>
        <w:ind w:left="1276" w:hanging="425"/>
      </w:pPr>
      <w:r>
        <w:t xml:space="preserve">Bei Software liegt dann </w:t>
      </w:r>
      <w:r w:rsidRPr="0057474A">
        <w:rPr>
          <w:b/>
        </w:rPr>
        <w:t>Betriebsbereitschaft</w:t>
      </w:r>
      <w:r>
        <w:t xml:space="preserve"> vor, wenn alles erfüllt ist, so dass die </w:t>
      </w:r>
      <w:r w:rsidRPr="0057474A">
        <w:rPr>
          <w:b/>
        </w:rPr>
        <w:t>Software für das Unternehmen nach ihrer Zweckbestimmung genutzt werden kann</w:t>
      </w:r>
      <w:r>
        <w:t xml:space="preserve">. Nach Vorliegen der Betriebsbereitschaft wird der </w:t>
      </w:r>
      <w:r w:rsidRPr="0057474A">
        <w:rPr>
          <w:b/>
        </w:rPr>
        <w:t>Anschaffungsvorgang als beendet</w:t>
      </w:r>
      <w:r>
        <w:t xml:space="preserve"> betrachtet. </w:t>
      </w:r>
    </w:p>
    <w:p w:rsidR="00AD5243" w:rsidRDefault="00AD5243" w:rsidP="00AD5243">
      <w:pPr>
        <w:pStyle w:val="Standardeinzug"/>
        <w:ind w:left="1418"/>
      </w:pPr>
      <w:r>
        <w:t xml:space="preserve">Die Betriebsbereitschaft hat zur </w:t>
      </w:r>
      <w:r w:rsidRPr="00486E33">
        <w:rPr>
          <w:rStyle w:val="HervorhebenSCHWARZ"/>
        </w:rPr>
        <w:t>Folge</w:t>
      </w:r>
      <w:r>
        <w:t xml:space="preserve">, dass </w:t>
      </w:r>
      <w:r w:rsidRPr="00486E33">
        <w:rPr>
          <w:rStyle w:val="HervorhebenSCHWARZ"/>
        </w:rPr>
        <w:t>nachfolgende Aufwendungen</w:t>
      </w:r>
      <w:r>
        <w:t xml:space="preserve"> </w:t>
      </w:r>
      <w:r w:rsidRPr="00486E33">
        <w:rPr>
          <w:rStyle w:val="HervorhebenSCHWARZ"/>
        </w:rPr>
        <w:t>laufenden Aufwand</w:t>
      </w:r>
      <w:r>
        <w:t xml:space="preserve"> darstellen, </w:t>
      </w:r>
      <w:r w:rsidRPr="00486E33">
        <w:rPr>
          <w:rStyle w:val="HervorhebenSCHWARZ"/>
        </w:rPr>
        <w:t>außer</w:t>
      </w:r>
      <w:r>
        <w:t xml:space="preserve"> es handelt sich um </w:t>
      </w:r>
      <w:r w:rsidRPr="00486E33">
        <w:rPr>
          <w:rStyle w:val="HervorhebenSCHWARZ"/>
        </w:rPr>
        <w:t>Modifikationsaufwendungen</w:t>
      </w:r>
      <w:r>
        <w:t>.</w:t>
      </w:r>
      <w:r>
        <w:rPr>
          <w:rStyle w:val="Funotenzeichen"/>
        </w:rPr>
        <w:footnoteReference w:id="23"/>
      </w:r>
      <w:r>
        <w:t xml:space="preserve"> </w:t>
      </w:r>
    </w:p>
    <w:p w:rsidR="00AD5243" w:rsidRDefault="00AD5243" w:rsidP="00AD5243">
      <w:pPr>
        <w:pStyle w:val="berschrift2"/>
      </w:pPr>
      <w:bookmarkStart w:id="29" w:name="_Toc510621535"/>
      <w:r>
        <w:lastRenderedPageBreak/>
        <w:t>Bewertung entgeltlich erworbener Software zum Abschlussstichtag</w:t>
      </w:r>
      <w:bookmarkEnd w:id="29"/>
    </w:p>
    <w:p w:rsidR="00AD5243" w:rsidRDefault="00AD5243" w:rsidP="00AD5243">
      <w:pPr>
        <w:pStyle w:val="Standardeinzug"/>
      </w:pPr>
      <w:r>
        <w:t xml:space="preserve">Gemäß § 253 Abs. 3 Satz 1 HGB sind die Anschaffungskosten der entgeltlich erworbenen Software </w:t>
      </w:r>
      <w:r w:rsidRPr="00C7486E">
        <w:rPr>
          <w:rStyle w:val="HervorhebenSCHWARZ"/>
        </w:rPr>
        <w:t>um planmäßige Abschreibungen</w:t>
      </w:r>
      <w:r>
        <w:t xml:space="preserve"> unter Zugrundelegung der </w:t>
      </w:r>
      <w:r w:rsidRPr="00C7486E">
        <w:rPr>
          <w:rStyle w:val="HervorhebenSCHWARZ"/>
        </w:rPr>
        <w:t>betriebsgewöhnlichen Nutzungsdauer</w:t>
      </w:r>
      <w:r>
        <w:t xml:space="preserve"> zu mindern, und zwar </w:t>
      </w:r>
      <w:r w:rsidRPr="00C7486E">
        <w:rPr>
          <w:rStyle w:val="HervorhebenSCHWARZ"/>
        </w:rPr>
        <w:t>beginnend mit dem Vorliegen der Betriebsbereitschaft</w:t>
      </w:r>
      <w:r>
        <w:t>.</w:t>
      </w:r>
    </w:p>
    <w:p w:rsidR="00AD5243" w:rsidRDefault="00AD5243" w:rsidP="00AD5243">
      <w:pPr>
        <w:pStyle w:val="berschrift3"/>
      </w:pPr>
      <w:bookmarkStart w:id="30" w:name="_Toc510621536"/>
      <w:r>
        <w:t>Regelfall: Nutzungsdauer bleibt</w:t>
      </w:r>
      <w:bookmarkEnd w:id="30"/>
    </w:p>
    <w:p w:rsidR="00AD5243" w:rsidRDefault="00AD5243" w:rsidP="00AD5243">
      <w:pPr>
        <w:pStyle w:val="Standardeinzug"/>
      </w:pPr>
      <w:r>
        <w:t xml:space="preserve">Sofern sich </w:t>
      </w:r>
      <w:r w:rsidRPr="00C7486E">
        <w:rPr>
          <w:rStyle w:val="HervorhebenSCHWARZ"/>
        </w:rPr>
        <w:t>nachträgliche Erhöhungen des Restbuchwertes</w:t>
      </w:r>
      <w:r>
        <w:t xml:space="preserve"> ergeben, sind diese ab dem Zeitpunkt der Aktivierung </w:t>
      </w:r>
      <w:r w:rsidRPr="005E2AE3">
        <w:rPr>
          <w:rStyle w:val="HervorhebungROT"/>
        </w:rPr>
        <w:t xml:space="preserve">innerhalb der </w:t>
      </w:r>
      <w:r>
        <w:rPr>
          <w:rStyle w:val="HervorhebungROT"/>
        </w:rPr>
        <w:t xml:space="preserve">vorgegebenen </w:t>
      </w:r>
      <w:r w:rsidRPr="005E2AE3">
        <w:rPr>
          <w:rStyle w:val="HervorhebungROT"/>
        </w:rPr>
        <w:t>Restnutzungsdauer</w:t>
      </w:r>
      <w:r w:rsidRPr="00C7486E">
        <w:rPr>
          <w:rStyle w:val="HervorhebenSCHWARZ"/>
        </w:rPr>
        <w:t xml:space="preserve"> der modifizierten Software planmäßig abzuschreiben</w:t>
      </w:r>
      <w:r>
        <w:t>.</w:t>
      </w:r>
    </w:p>
    <w:p w:rsidR="00AD5243" w:rsidRDefault="00AD5243" w:rsidP="00AD5243">
      <w:pPr>
        <w:pStyle w:val="berschrift3"/>
      </w:pPr>
      <w:bookmarkStart w:id="31" w:name="_Toc510621537"/>
      <w:r>
        <w:t>Ausnahmefall 1: Verlängerung der Nutzungsdauer</w:t>
      </w:r>
      <w:bookmarkEnd w:id="31"/>
    </w:p>
    <w:p w:rsidR="00AD5243" w:rsidRDefault="00AD5243" w:rsidP="00AD5243">
      <w:pPr>
        <w:pStyle w:val="Standardeinzug"/>
      </w:pPr>
      <w:r>
        <w:t>Es ist dabei auch denkbar, dass sich die Nutzungsdauer bei wesentlichen Modifikationen verlängert haben kann.</w:t>
      </w:r>
    </w:p>
    <w:p w:rsidR="00AD5243" w:rsidRDefault="00AD5243" w:rsidP="00AD5243">
      <w:pPr>
        <w:pStyle w:val="berschrift3"/>
      </w:pPr>
      <w:bookmarkStart w:id="32" w:name="_Toc510621538"/>
      <w:r>
        <w:t>Ausnahmefall 2: Dauerhafte Wertminderung</w:t>
      </w:r>
      <w:bookmarkEnd w:id="32"/>
    </w:p>
    <w:p w:rsidR="00AD5243" w:rsidRPr="009E4F04" w:rsidRDefault="00AD5243" w:rsidP="00AD5243">
      <w:pPr>
        <w:pStyle w:val="Standardeinzug"/>
      </w:pPr>
      <w:r>
        <w:t xml:space="preserve">Für den Fall einer </w:t>
      </w:r>
      <w:r w:rsidRPr="00C7486E">
        <w:rPr>
          <w:rStyle w:val="HervorhebenSCHWARZ"/>
        </w:rPr>
        <w:t>voraussichtlich dauerhaften Wertminderung</w:t>
      </w:r>
      <w:r>
        <w:t xml:space="preserve"> ist eine </w:t>
      </w:r>
      <w:r w:rsidRPr="00C7486E">
        <w:rPr>
          <w:rStyle w:val="HervorhebenSCHWARZ"/>
        </w:rPr>
        <w:t>außerplanmäßige Abschreibung</w:t>
      </w:r>
      <w:r>
        <w:t xml:space="preserve"> im Sinne von § 253 Abs. 3 Satz 5 HGB vorzunehmen. Sofern der </w:t>
      </w:r>
      <w:r w:rsidRPr="00C7486E">
        <w:rPr>
          <w:rStyle w:val="HervorhebenSCHWARZ"/>
        </w:rPr>
        <w:t>Grund</w:t>
      </w:r>
      <w:r>
        <w:t xml:space="preserve"> für eine solche </w:t>
      </w:r>
      <w:r w:rsidRPr="00C7486E">
        <w:rPr>
          <w:rStyle w:val="HervorhebenSCHWARZ"/>
        </w:rPr>
        <w:t>Wertminderung in späteren Jahren entfällt</w:t>
      </w:r>
      <w:r>
        <w:t xml:space="preserve">, ist gemäß § 253 Abs. 5 Satz 1 HGB bis </w:t>
      </w:r>
      <w:r w:rsidRPr="00C7486E">
        <w:rPr>
          <w:rStyle w:val="HervorhebenSCHWARZ"/>
        </w:rPr>
        <w:t>maximal</w:t>
      </w:r>
      <w:r>
        <w:t xml:space="preserve"> zum </w:t>
      </w:r>
      <w:r w:rsidRPr="00C7486E">
        <w:rPr>
          <w:rStyle w:val="HervorhebenSCHWARZ"/>
        </w:rPr>
        <w:t>planmäßigen Restbuchwert</w:t>
      </w:r>
      <w:r>
        <w:t xml:space="preserve"> </w:t>
      </w:r>
      <w:r w:rsidRPr="005E2AE3">
        <w:rPr>
          <w:rStyle w:val="HervorhebungROT"/>
        </w:rPr>
        <w:t>zuzuschreiben</w:t>
      </w:r>
      <w:r>
        <w:t>.</w:t>
      </w:r>
      <w:r>
        <w:rPr>
          <w:rStyle w:val="Funotenzeichen"/>
        </w:rPr>
        <w:footnoteReference w:id="24"/>
      </w:r>
      <w:r>
        <w:t xml:space="preserve"> </w:t>
      </w:r>
    </w:p>
    <w:p w:rsidR="006845FF" w:rsidRPr="006845FF" w:rsidRDefault="006845FF" w:rsidP="006845FF">
      <w:pPr>
        <w:pStyle w:val="Standardeinzug"/>
      </w:pPr>
    </w:p>
    <w:sectPr w:rsidR="006845FF" w:rsidRPr="006845FF" w:rsidSect="00D2476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39" w:code="9"/>
      <w:pgMar w:top="1418" w:right="2551" w:bottom="1134" w:left="1134" w:header="68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243" w:rsidRDefault="00AD5243">
      <w:pPr>
        <w:spacing w:before="0"/>
      </w:pPr>
      <w:r>
        <w:separator/>
      </w:r>
    </w:p>
  </w:endnote>
  <w:endnote w:type="continuationSeparator" w:id="0">
    <w:p w:rsidR="00AD5243" w:rsidRDefault="00AD524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324" w:rsidRDefault="001923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264"/>
      <w:gridCol w:w="3816"/>
      <w:gridCol w:w="2358"/>
    </w:tblGrid>
    <w:tr w:rsidR="00996154" w:rsidRPr="0009625D" w:rsidTr="00CF1C02">
      <w:trPr>
        <w:trHeight w:hRule="exact" w:val="1333"/>
      </w:trPr>
      <w:tc>
        <w:tcPr>
          <w:tcW w:w="2331" w:type="dxa"/>
          <w:vAlign w:val="bottom"/>
        </w:tcPr>
        <w:p w:rsidR="00996154" w:rsidRPr="005F3383" w:rsidRDefault="00996154" w:rsidP="00996154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996154" w:rsidRPr="005F3383" w:rsidRDefault="00996154" w:rsidP="00996154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3589" w:type="dxa"/>
          <w:vAlign w:val="bottom"/>
        </w:tcPr>
        <w:p w:rsidR="00996154" w:rsidRDefault="00996154" w:rsidP="00996154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D0C39FD" wp14:editId="791968C9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bottom"/>
        </w:tcPr>
        <w:p w:rsidR="00996154" w:rsidRPr="0009625D" w:rsidRDefault="00996154" w:rsidP="00996154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Fachlicher Beitrag 3/</w:t>
          </w:r>
          <w:r w:rsidR="00192324">
            <w:rPr>
              <w:rFonts w:eastAsiaTheme="minorHAnsi" w:cstheme="minorBidi"/>
              <w:b/>
              <w:color w:val="00B0F0"/>
              <w:sz w:val="20"/>
              <w:lang w:eastAsia="en-US"/>
            </w:rPr>
            <w:t>2</w:t>
          </w:r>
        </w:p>
      </w:tc>
    </w:tr>
  </w:tbl>
  <w:p w:rsidR="00F17619" w:rsidRPr="00996154" w:rsidRDefault="00F17619" w:rsidP="00996154">
    <w:pPr>
      <w:pStyle w:val="Fuzeile"/>
      <w:rPr>
        <w:rFonts w:eastAsiaTheme="minorHAns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324" w:rsidRDefault="001923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243" w:rsidRPr="00027F72" w:rsidRDefault="00AD5243" w:rsidP="00A57184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AD5243" w:rsidRPr="00027F72" w:rsidRDefault="00AD5243" w:rsidP="00027F72">
      <w:pPr>
        <w:spacing w:before="0"/>
        <w:jc w:val="center"/>
      </w:pPr>
      <w:r w:rsidRPr="00027F72">
        <w:t>--------------------------------------------</w:t>
      </w:r>
      <w:r w:rsidRPr="00027F72">
        <w:separator/>
      </w:r>
      <w:r w:rsidRPr="00027F72">
        <w:t>--------</w:t>
      </w:r>
    </w:p>
  </w:footnote>
  <w:footnote w:id="1">
    <w:p w:rsidR="00AD5243" w:rsidRPr="001049AC" w:rsidRDefault="00AD5243" w:rsidP="00AD5243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1049AC">
        <w:rPr>
          <w:lang w:val="en-US"/>
        </w:rPr>
        <w:t xml:space="preserve"> Vgl.  WP Praxis 2/2018, St. 66</w:t>
      </w:r>
    </w:p>
  </w:footnote>
  <w:footnote w:id="2">
    <w:p w:rsidR="00AD5243" w:rsidRPr="001049AC" w:rsidRDefault="00AD5243" w:rsidP="00AD5243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1049AC">
        <w:rPr>
          <w:lang w:val="en-US"/>
        </w:rPr>
        <w:t xml:space="preserve"> Vgl. IDW LIFE 02.2018, S. 269</w:t>
      </w:r>
    </w:p>
  </w:footnote>
  <w:footnote w:id="3">
    <w:p w:rsidR="00AD5243" w:rsidRPr="00AC24D5" w:rsidRDefault="00AD5243" w:rsidP="00AD5243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AC24D5">
        <w:rPr>
          <w:lang w:val="en-US"/>
        </w:rPr>
        <w:t xml:space="preserve"> Vgl. IDW LIFE 02..2018, S. 270</w:t>
      </w:r>
    </w:p>
  </w:footnote>
  <w:footnote w:id="4">
    <w:p w:rsidR="00AD5243" w:rsidRPr="00AC24D5" w:rsidRDefault="00AD5243" w:rsidP="00AD5243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AC24D5">
        <w:rPr>
          <w:lang w:val="en-US"/>
        </w:rPr>
        <w:t xml:space="preserve"> Vgl. WP Praxis 2/2018, S. 66</w:t>
      </w:r>
    </w:p>
  </w:footnote>
  <w:footnote w:id="5">
    <w:p w:rsidR="00AD5243" w:rsidRDefault="00AD5243" w:rsidP="00AD5243">
      <w:pPr>
        <w:pStyle w:val="Funotentext"/>
      </w:pPr>
      <w:r>
        <w:rPr>
          <w:rStyle w:val="Funotenzeichen"/>
        </w:rPr>
        <w:footnoteRef/>
      </w:r>
      <w:r>
        <w:t xml:space="preserve"> Vgl. Tz. 16 zum IDW RS HFA 11 n.F. in IDW LIFE 02.2018, S. 270</w:t>
      </w:r>
    </w:p>
  </w:footnote>
  <w:footnote w:id="6">
    <w:p w:rsidR="00AD5243" w:rsidRPr="00725731" w:rsidRDefault="00AD5243" w:rsidP="00AD5243">
      <w:pPr>
        <w:pStyle w:val="Funotentext"/>
      </w:pPr>
      <w:r>
        <w:rPr>
          <w:rStyle w:val="Funotenzeichen"/>
        </w:rPr>
        <w:footnoteRef/>
      </w:r>
      <w:r w:rsidRPr="00725731">
        <w:t xml:space="preserve"> Vgl. Tz. 24 zum IDW RS HFA 11 n.F. in IDW LIFE 02.2018, S. 272</w:t>
      </w:r>
    </w:p>
  </w:footnote>
  <w:footnote w:id="7">
    <w:p w:rsidR="00AD5243" w:rsidRDefault="00AD5243" w:rsidP="00AD5243">
      <w:pPr>
        <w:pStyle w:val="Funotentext"/>
      </w:pPr>
      <w:r>
        <w:rPr>
          <w:rStyle w:val="Funotenzeichen"/>
        </w:rPr>
        <w:footnoteRef/>
      </w:r>
      <w:r>
        <w:t xml:space="preserve"> Vgl. Tz. 40 zum IDW RS HFA 11 n.F. in IDW LIFE 02.2018, S. 273</w:t>
      </w:r>
    </w:p>
  </w:footnote>
  <w:footnote w:id="8">
    <w:p w:rsidR="00AD5243" w:rsidRPr="00FE48CE" w:rsidRDefault="00AD5243" w:rsidP="00AD5243">
      <w:pPr>
        <w:pStyle w:val="Funotentext"/>
      </w:pPr>
      <w:r>
        <w:rPr>
          <w:rStyle w:val="Funotenzeichen"/>
        </w:rPr>
        <w:footnoteRef/>
      </w:r>
      <w:r w:rsidRPr="00FE48CE">
        <w:t xml:space="preserve"> Vgl. IDW LIFE 02.2018, S. 269</w:t>
      </w:r>
    </w:p>
  </w:footnote>
  <w:footnote w:id="9">
    <w:p w:rsidR="00AD5243" w:rsidRPr="00BD1C4E" w:rsidRDefault="00AD5243" w:rsidP="00AD5243">
      <w:pPr>
        <w:pStyle w:val="Funotentext"/>
      </w:pPr>
      <w:r>
        <w:rPr>
          <w:rStyle w:val="Funotenzeichen"/>
        </w:rPr>
        <w:footnoteRef/>
      </w:r>
      <w:r w:rsidRPr="00BD1C4E">
        <w:t xml:space="preserve"> Vgl. Tz. 3 und Tz. 4 des IDW RS HFA 11 n.F. in IDW LIFE 02.2018, S. 269</w:t>
      </w:r>
    </w:p>
  </w:footnote>
  <w:footnote w:id="10">
    <w:p w:rsidR="00AD5243" w:rsidRDefault="00AD5243" w:rsidP="00AD5243">
      <w:pPr>
        <w:pStyle w:val="Funotentext"/>
      </w:pPr>
      <w:r>
        <w:rPr>
          <w:rStyle w:val="Funotenzeichen"/>
        </w:rPr>
        <w:footnoteRef/>
      </w:r>
      <w:r>
        <w:t xml:space="preserve"> Vgl. Tz. 3, Tz. 5 und Tz. 6 des IDW RS HFA 11 n.F. in IDW LIFE 02.2018, S. 269</w:t>
      </w:r>
    </w:p>
  </w:footnote>
  <w:footnote w:id="11">
    <w:p w:rsidR="00AD5243" w:rsidRDefault="00AD5243" w:rsidP="00AD5243">
      <w:pPr>
        <w:pStyle w:val="Funotentext"/>
      </w:pPr>
      <w:r>
        <w:rPr>
          <w:rStyle w:val="Funotenzeichen"/>
        </w:rPr>
        <w:footnoteRef/>
      </w:r>
      <w:r>
        <w:t xml:space="preserve"> Vgl. Tz. 3, Tz. 5 und Tz. 7 des IDW RS HFA 11 n.F. in IDW LIFE 02.2018, S. 269 f. </w:t>
      </w:r>
    </w:p>
  </w:footnote>
  <w:footnote w:id="12">
    <w:p w:rsidR="00AD5243" w:rsidRDefault="00AD5243" w:rsidP="00AD5243">
      <w:pPr>
        <w:pStyle w:val="Funotentext"/>
      </w:pPr>
      <w:r>
        <w:rPr>
          <w:rStyle w:val="Funotenzeichen"/>
        </w:rPr>
        <w:footnoteRef/>
      </w:r>
      <w:r>
        <w:t xml:space="preserve"> Vgl. Tz. 9 bis Tz. 11des  IDW RS HFA 11 n.F. in IDW LIFE 02.2018, S. 270</w:t>
      </w:r>
    </w:p>
  </w:footnote>
  <w:footnote w:id="13">
    <w:p w:rsidR="00AD5243" w:rsidRDefault="00AD5243" w:rsidP="00AD5243">
      <w:pPr>
        <w:pStyle w:val="Funotentext"/>
      </w:pPr>
      <w:r>
        <w:rPr>
          <w:rStyle w:val="Funotenzeichen"/>
        </w:rPr>
        <w:footnoteRef/>
      </w:r>
      <w:r>
        <w:t xml:space="preserve"> Vgl. Tz. 13 bis Tz. 15 des IDW RS HFA 11 n.F. in IDW LIFE 02.2018, S. 270</w:t>
      </w:r>
    </w:p>
  </w:footnote>
  <w:footnote w:id="14">
    <w:p w:rsidR="00AD5243" w:rsidRDefault="00AD5243" w:rsidP="00AD5243">
      <w:pPr>
        <w:pStyle w:val="Funotentext"/>
      </w:pPr>
      <w:r>
        <w:rPr>
          <w:rStyle w:val="Funotenzeichen"/>
        </w:rPr>
        <w:footnoteRef/>
      </w:r>
      <w:r>
        <w:t xml:space="preserve"> Vgl. Tz. 16 des IDW RS HFA 11n.F.  in IDW LIFE 02.2018, S. 270</w:t>
      </w:r>
    </w:p>
  </w:footnote>
  <w:footnote w:id="15">
    <w:p w:rsidR="00AD5243" w:rsidRDefault="00AD5243" w:rsidP="00AD5243">
      <w:pPr>
        <w:pStyle w:val="Funotentext"/>
      </w:pPr>
      <w:r>
        <w:rPr>
          <w:rStyle w:val="Funotenzeichen"/>
        </w:rPr>
        <w:footnoteRef/>
      </w:r>
      <w:r>
        <w:t xml:space="preserve"> Vgl. Tz. 16 des IDW RS HFA 11 a.F., </w:t>
      </w:r>
    </w:p>
  </w:footnote>
  <w:footnote w:id="16">
    <w:p w:rsidR="00AD5243" w:rsidRPr="000602FF" w:rsidRDefault="00AD5243" w:rsidP="00AD5243">
      <w:pPr>
        <w:pStyle w:val="Funotentext"/>
      </w:pPr>
      <w:r>
        <w:rPr>
          <w:rStyle w:val="Funotenzeichen"/>
        </w:rPr>
        <w:footnoteRef/>
      </w:r>
      <w:r w:rsidRPr="000602FF">
        <w:t xml:space="preserve"> Vgl. Tz. 16 des IDW RS HFA 11 </w:t>
      </w:r>
      <w:r>
        <w:t xml:space="preserve">n.F. </w:t>
      </w:r>
      <w:r w:rsidRPr="000602FF">
        <w:t>in IDW LIFE 02.2018, S. 270 f.</w:t>
      </w:r>
    </w:p>
  </w:footnote>
  <w:footnote w:id="17">
    <w:p w:rsidR="00AD5243" w:rsidRDefault="00AD5243" w:rsidP="00AD5243">
      <w:pPr>
        <w:pStyle w:val="Funotentext"/>
      </w:pPr>
      <w:r>
        <w:rPr>
          <w:rStyle w:val="Funotenzeichen"/>
        </w:rPr>
        <w:footnoteRef/>
      </w:r>
      <w:r>
        <w:t xml:space="preserve"> Vgl. Tz. 17 bis Tz. 20 des IDW RS HFA 11 n.F. in IDW LIFE 02.2018, S. 271</w:t>
      </w:r>
    </w:p>
  </w:footnote>
  <w:footnote w:id="18">
    <w:p w:rsidR="00AD5243" w:rsidRPr="004517EC" w:rsidRDefault="00AD5243" w:rsidP="00AD5243">
      <w:pPr>
        <w:pStyle w:val="Funotentext"/>
        <w:rPr>
          <w:lang w:val="en-US"/>
        </w:rPr>
      </w:pPr>
      <w:r>
        <w:rPr>
          <w:rStyle w:val="Funotenzeichen"/>
        </w:rPr>
        <w:footnoteRef/>
      </w:r>
      <w:r>
        <w:t xml:space="preserve"> Vgl. Tz. 21 des IDW RS HFA 11n.F.  </w:t>
      </w:r>
      <w:r w:rsidRPr="004517EC">
        <w:rPr>
          <w:lang w:val="en-US"/>
        </w:rPr>
        <w:t>in IDW LIFE 02.2018, S. 271f.</w:t>
      </w:r>
    </w:p>
  </w:footnote>
  <w:footnote w:id="19">
    <w:p w:rsidR="00AD5243" w:rsidRPr="004517EC" w:rsidRDefault="00AD5243" w:rsidP="00AD5243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4517EC">
        <w:rPr>
          <w:lang w:val="en-US"/>
        </w:rPr>
        <w:t xml:space="preserve"> Vgl. Tz. 24 des IDW RS HFA 11 n.F. in IDW LIFE 02.2018, S. 272</w:t>
      </w:r>
    </w:p>
  </w:footnote>
  <w:footnote w:id="20">
    <w:p w:rsidR="00AD5243" w:rsidRPr="004517EC" w:rsidRDefault="00AD5243" w:rsidP="00AD5243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4517EC">
        <w:rPr>
          <w:lang w:val="en-US"/>
        </w:rPr>
        <w:t xml:space="preserve"> Vgl. Tz. 25 bis Tz. 27 des IDW RS HFA n.F. in IDW LIFE 02.2018, S. 272</w:t>
      </w:r>
    </w:p>
  </w:footnote>
  <w:footnote w:id="21">
    <w:p w:rsidR="00AD5243" w:rsidRPr="004517EC" w:rsidRDefault="00AD5243" w:rsidP="00AD5243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4517EC">
        <w:rPr>
          <w:lang w:val="en-US"/>
        </w:rPr>
        <w:t xml:space="preserve"> Vgl. Tz. 28 des IDW RS HFA n.F. in IDW LIFE 02,2018, S. 272</w:t>
      </w:r>
    </w:p>
  </w:footnote>
  <w:footnote w:id="22">
    <w:p w:rsidR="00AD5243" w:rsidRPr="004517EC" w:rsidRDefault="00AD5243" w:rsidP="00AD5243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4517EC">
        <w:rPr>
          <w:lang w:val="en-US"/>
        </w:rPr>
        <w:t xml:space="preserve"> Vgl. Tz. 31 bis Tz. 33 des IDW RS HFA n.F. in IDW LIFE 02.2018, S. 273</w:t>
      </w:r>
    </w:p>
  </w:footnote>
  <w:footnote w:id="23">
    <w:p w:rsidR="00AD5243" w:rsidRDefault="00AD5243" w:rsidP="00AD5243">
      <w:pPr>
        <w:pStyle w:val="Funotentext"/>
      </w:pPr>
      <w:r>
        <w:rPr>
          <w:rStyle w:val="Funotenzeichen"/>
        </w:rPr>
        <w:footnoteRef/>
      </w:r>
      <w:r>
        <w:t xml:space="preserve"> Vgl. Tz. 34 bis Tz. 35 des IDW RS HFA n.F. in IDW LIFE 02.2018, S. 273</w:t>
      </w:r>
    </w:p>
  </w:footnote>
  <w:footnote w:id="24">
    <w:p w:rsidR="00AD5243" w:rsidRDefault="00AD5243" w:rsidP="00AD5243">
      <w:pPr>
        <w:pStyle w:val="Funotentext"/>
      </w:pPr>
      <w:r>
        <w:rPr>
          <w:rStyle w:val="Funotenzeichen"/>
        </w:rPr>
        <w:footnoteRef/>
      </w:r>
      <w:r>
        <w:t xml:space="preserve"> Vgl. Tz. 36 bis Tz. 40 des IDW RS HFA n.F. in IDW LIFE 02.2018, S. 273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324" w:rsidRDefault="001923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822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</w:tblGrid>
    <w:tr w:rsidR="00F17619" w:rsidRPr="00E57793" w:rsidTr="00EE791E">
      <w:trPr>
        <w:trHeight w:val="515"/>
      </w:trPr>
      <w:tc>
        <w:tcPr>
          <w:tcW w:w="8222" w:type="dxa"/>
        </w:tcPr>
        <w:p w:rsidR="00F17619" w:rsidRPr="00543458" w:rsidRDefault="00F17619" w:rsidP="0067329A">
          <w:pPr>
            <w:pStyle w:val="Kopfzeile"/>
            <w:pBdr>
              <w:bottom w:val="none" w:sz="0" w:space="0" w:color="auto"/>
            </w:pBdr>
            <w:tabs>
              <w:tab w:val="clear" w:pos="7938"/>
              <w:tab w:val="right" w:pos="8184"/>
            </w:tabs>
            <w:jc w:val="left"/>
            <w:rPr>
              <w:smallCaps/>
              <w:sz w:val="26"/>
              <w:szCs w:val="26"/>
            </w:rPr>
          </w:pPr>
          <w:r w:rsidRPr="00B55CE8">
            <w:rPr>
              <w:smallCaps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714560" behindDoc="0" locked="0" layoutInCell="1" allowOverlap="1" wp14:anchorId="3D1235B5" wp14:editId="7EA3448E">
                    <wp:simplePos x="0" y="0"/>
                    <wp:positionH relativeFrom="column">
                      <wp:posOffset>5473700</wp:posOffset>
                    </wp:positionH>
                    <wp:positionV relativeFrom="paragraph">
                      <wp:posOffset>-492760</wp:posOffset>
                    </wp:positionV>
                    <wp:extent cx="0" cy="10800000"/>
                    <wp:effectExtent l="0" t="0" r="19050" b="20955"/>
                    <wp:wrapNone/>
                    <wp:docPr id="168" name="Gerade Verbindung 1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800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3BA321E" id="Gerade Verbindung 16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pt,-38.8pt" to="431pt,8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" strokecolor="#bfbfbf [2412]" strokeweight="1pt"/>
                </w:pict>
              </mc:Fallback>
            </mc:AlternateContent>
          </w:r>
        </w:p>
      </w:tc>
    </w:tr>
  </w:tbl>
  <w:p w:rsidR="00F17619" w:rsidRPr="00E57793" w:rsidRDefault="00F17619" w:rsidP="00AD5243">
    <w:pPr>
      <w:pStyle w:val="Kopfzeile"/>
      <w:pBdr>
        <w:bottom w:val="none" w:sz="0" w:space="0" w:color="auto"/>
      </w:pBdr>
      <w:tabs>
        <w:tab w:val="clear" w:pos="7938"/>
        <w:tab w:val="right" w:pos="9214"/>
      </w:tabs>
      <w:spacing w:before="0"/>
    </w:pPr>
    <w:bookmarkStart w:id="33" w:name="_GoBack"/>
    <w:bookmarkEnd w:id="3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324" w:rsidRDefault="001923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B515072"/>
    <w:multiLevelType w:val="hybridMultilevel"/>
    <w:tmpl w:val="EFA4017E"/>
    <w:lvl w:ilvl="0" w:tplc="0407000B">
      <w:start w:val="1"/>
      <w:numFmt w:val="bullet"/>
      <w:lvlText w:val=""/>
      <w:lvlJc w:val="left"/>
      <w:pPr>
        <w:ind w:left="1078" w:hanging="360"/>
      </w:pPr>
      <w:rPr>
        <w:rFonts w:ascii="Wingdings" w:hAnsi="Wingding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9" w15:restartNumberingAfterBreak="0">
    <w:nsid w:val="10AC517C"/>
    <w:multiLevelType w:val="hybridMultilevel"/>
    <w:tmpl w:val="2CC01128"/>
    <w:lvl w:ilvl="0" w:tplc="6A12C4B6">
      <w:start w:val="1"/>
      <w:numFmt w:val="bullet"/>
      <w:pStyle w:val="Aufzhlungszeichen"/>
      <w:lvlText w:val=""/>
      <w:lvlJc w:val="left"/>
      <w:pPr>
        <w:ind w:left="1078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C55E13"/>
    <w:multiLevelType w:val="hybridMultilevel"/>
    <w:tmpl w:val="B860BA40"/>
    <w:lvl w:ilvl="0" w:tplc="0407000B">
      <w:start w:val="1"/>
      <w:numFmt w:val="bullet"/>
      <w:lvlText w:val=""/>
      <w:lvlJc w:val="left"/>
      <w:pPr>
        <w:ind w:left="1078" w:hanging="360"/>
      </w:pPr>
      <w:rPr>
        <w:rFonts w:ascii="Wingdings" w:hAnsi="Wingding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2" w15:restartNumberingAfterBreak="0">
    <w:nsid w:val="62255FA1"/>
    <w:multiLevelType w:val="multilevel"/>
    <w:tmpl w:val="3F56580C"/>
    <w:numStyleLink w:val="Aufzhlungszeichena"/>
  </w:abstractNum>
  <w:abstractNum w:abstractNumId="13" w15:restartNumberingAfterBreak="0">
    <w:nsid w:val="62CB553E"/>
    <w:multiLevelType w:val="hybridMultilevel"/>
    <w:tmpl w:val="CD3E431C"/>
    <w:lvl w:ilvl="0" w:tplc="0407000B">
      <w:start w:val="1"/>
      <w:numFmt w:val="bullet"/>
      <w:lvlText w:val=""/>
      <w:lvlJc w:val="left"/>
      <w:pPr>
        <w:ind w:left="1078" w:hanging="360"/>
      </w:pPr>
      <w:rPr>
        <w:rFonts w:ascii="Wingdings" w:hAnsi="Wingding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4" w15:restartNumberingAfterBreak="0">
    <w:nsid w:val="650C432A"/>
    <w:multiLevelType w:val="multilevel"/>
    <w:tmpl w:val="3F56580C"/>
    <w:styleLink w:val="Aufzhlungszeichena"/>
    <w:lvl w:ilvl="0">
      <w:start w:val="1"/>
      <w:numFmt w:val="lowerLetter"/>
      <w:pStyle w:val="Aufzhlungszeichen2"/>
      <w:lvlText w:val="%1."/>
      <w:lvlJc w:val="left"/>
      <w:pPr>
        <w:ind w:left="177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500CC4"/>
    <w:multiLevelType w:val="hybridMultilevel"/>
    <w:tmpl w:val="BFA48AB0"/>
    <w:lvl w:ilvl="0" w:tplc="0407000B">
      <w:start w:val="1"/>
      <w:numFmt w:val="bullet"/>
      <w:lvlText w:val=""/>
      <w:lvlJc w:val="left"/>
      <w:pPr>
        <w:ind w:left="1078" w:hanging="360"/>
      </w:pPr>
      <w:rPr>
        <w:rFonts w:ascii="Wingdings" w:hAnsi="Wingdings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6" w15:restartNumberingAfterBreak="0">
    <w:nsid w:val="7D8A6FE6"/>
    <w:multiLevelType w:val="multilevel"/>
    <w:tmpl w:val="4F7A7A90"/>
    <w:lvl w:ilvl="0">
      <w:start w:val="1"/>
      <w:numFmt w:val="decimal"/>
      <w:pStyle w:val="berschrift1"/>
      <w:lvlText w:val="%1."/>
      <w:lvlJc w:val="left"/>
      <w:pPr>
        <w:tabs>
          <w:tab w:val="num" w:pos="964"/>
        </w:tabs>
        <w:ind w:left="964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389"/>
        </w:tabs>
        <w:ind w:left="1389" w:hanging="680"/>
      </w:pPr>
      <w:rPr>
        <w:rFonts w:ascii="Century Gothic" w:hAnsi="Century Gothic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389"/>
        </w:tabs>
        <w:ind w:left="1389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869"/>
        </w:tabs>
        <w:ind w:left="2293" w:hanging="1584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4"/>
  </w:num>
  <w:num w:numId="13">
    <w:abstractNumId w:val="12"/>
    <w:lvlOverride w:ilvl="0">
      <w:lvl w:ilvl="0">
        <w:start w:val="1"/>
        <w:numFmt w:val="lowerLetter"/>
        <w:pStyle w:val="Aufzhlungszeichen2"/>
        <w:lvlText w:val="%1."/>
        <w:lvlJc w:val="left"/>
        <w:pPr>
          <w:ind w:left="1779" w:hanging="36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 w:themeColor="text1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520" w:hanging="18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14">
    <w:abstractNumId w:val="8"/>
  </w:num>
  <w:num w:numId="15">
    <w:abstractNumId w:val="11"/>
  </w:num>
  <w:num w:numId="16">
    <w:abstractNumId w:val="15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D5243"/>
    <w:rsid w:val="00002230"/>
    <w:rsid w:val="000030A9"/>
    <w:rsid w:val="000037E7"/>
    <w:rsid w:val="0001477C"/>
    <w:rsid w:val="00017053"/>
    <w:rsid w:val="00023347"/>
    <w:rsid w:val="00027F72"/>
    <w:rsid w:val="0003242D"/>
    <w:rsid w:val="0003459D"/>
    <w:rsid w:val="000369A7"/>
    <w:rsid w:val="000403E8"/>
    <w:rsid w:val="0004061E"/>
    <w:rsid w:val="0004384E"/>
    <w:rsid w:val="000506E8"/>
    <w:rsid w:val="0005326E"/>
    <w:rsid w:val="000570E5"/>
    <w:rsid w:val="00064F40"/>
    <w:rsid w:val="00071D42"/>
    <w:rsid w:val="00073CD0"/>
    <w:rsid w:val="00080B9A"/>
    <w:rsid w:val="000867DA"/>
    <w:rsid w:val="00086B8A"/>
    <w:rsid w:val="00097B2B"/>
    <w:rsid w:val="000B3FD8"/>
    <w:rsid w:val="000C6D0B"/>
    <w:rsid w:val="000D3169"/>
    <w:rsid w:val="000E1C6F"/>
    <w:rsid w:val="000E1D34"/>
    <w:rsid w:val="000E26F7"/>
    <w:rsid w:val="000E468C"/>
    <w:rsid w:val="000F2AE5"/>
    <w:rsid w:val="000F6E0C"/>
    <w:rsid w:val="00111AC6"/>
    <w:rsid w:val="0011238E"/>
    <w:rsid w:val="00114D77"/>
    <w:rsid w:val="0011587E"/>
    <w:rsid w:val="00132B84"/>
    <w:rsid w:val="00134253"/>
    <w:rsid w:val="00141E51"/>
    <w:rsid w:val="001468F6"/>
    <w:rsid w:val="001553DD"/>
    <w:rsid w:val="00165A53"/>
    <w:rsid w:val="001909B6"/>
    <w:rsid w:val="00191889"/>
    <w:rsid w:val="00192324"/>
    <w:rsid w:val="00193E38"/>
    <w:rsid w:val="0019585B"/>
    <w:rsid w:val="001A37C2"/>
    <w:rsid w:val="001A5A55"/>
    <w:rsid w:val="001B3A82"/>
    <w:rsid w:val="001B3F50"/>
    <w:rsid w:val="001B69A6"/>
    <w:rsid w:val="001B7E25"/>
    <w:rsid w:val="001C0D6B"/>
    <w:rsid w:val="001D22E2"/>
    <w:rsid w:val="001D2C55"/>
    <w:rsid w:val="001E06CD"/>
    <w:rsid w:val="001E0CF6"/>
    <w:rsid w:val="001E2F32"/>
    <w:rsid w:val="001E5AE9"/>
    <w:rsid w:val="001E6C99"/>
    <w:rsid w:val="001E7A82"/>
    <w:rsid w:val="001F04DD"/>
    <w:rsid w:val="001F3EFB"/>
    <w:rsid w:val="001F5E74"/>
    <w:rsid w:val="00216347"/>
    <w:rsid w:val="00222611"/>
    <w:rsid w:val="00222F6B"/>
    <w:rsid w:val="00232849"/>
    <w:rsid w:val="00233A62"/>
    <w:rsid w:val="00235C76"/>
    <w:rsid w:val="00240D83"/>
    <w:rsid w:val="00257647"/>
    <w:rsid w:val="0026535C"/>
    <w:rsid w:val="00273C16"/>
    <w:rsid w:val="00277990"/>
    <w:rsid w:val="00282720"/>
    <w:rsid w:val="0028392A"/>
    <w:rsid w:val="00284FA6"/>
    <w:rsid w:val="00285560"/>
    <w:rsid w:val="002947FE"/>
    <w:rsid w:val="0029592F"/>
    <w:rsid w:val="002965B4"/>
    <w:rsid w:val="002A064F"/>
    <w:rsid w:val="002B17CE"/>
    <w:rsid w:val="002B298F"/>
    <w:rsid w:val="002B2ED1"/>
    <w:rsid w:val="002B5431"/>
    <w:rsid w:val="002C48EB"/>
    <w:rsid w:val="002D0908"/>
    <w:rsid w:val="002D10F6"/>
    <w:rsid w:val="002E21AE"/>
    <w:rsid w:val="002E2D9E"/>
    <w:rsid w:val="002E47A1"/>
    <w:rsid w:val="002F09D8"/>
    <w:rsid w:val="002F6B99"/>
    <w:rsid w:val="002F771F"/>
    <w:rsid w:val="003031D0"/>
    <w:rsid w:val="00326B58"/>
    <w:rsid w:val="0033212B"/>
    <w:rsid w:val="00335356"/>
    <w:rsid w:val="00340216"/>
    <w:rsid w:val="00344F54"/>
    <w:rsid w:val="00347EB4"/>
    <w:rsid w:val="00364269"/>
    <w:rsid w:val="00372498"/>
    <w:rsid w:val="00376DCD"/>
    <w:rsid w:val="0038659C"/>
    <w:rsid w:val="003932A1"/>
    <w:rsid w:val="00393514"/>
    <w:rsid w:val="003A5CB1"/>
    <w:rsid w:val="003A6FEB"/>
    <w:rsid w:val="003B0816"/>
    <w:rsid w:val="003B7B20"/>
    <w:rsid w:val="003D144E"/>
    <w:rsid w:val="003E348F"/>
    <w:rsid w:val="003F5E1A"/>
    <w:rsid w:val="0040208D"/>
    <w:rsid w:val="00412262"/>
    <w:rsid w:val="0041402E"/>
    <w:rsid w:val="004151D2"/>
    <w:rsid w:val="00417826"/>
    <w:rsid w:val="00423E95"/>
    <w:rsid w:val="00425B13"/>
    <w:rsid w:val="00431704"/>
    <w:rsid w:val="00437250"/>
    <w:rsid w:val="00440D21"/>
    <w:rsid w:val="004413E3"/>
    <w:rsid w:val="00442DAC"/>
    <w:rsid w:val="004454EC"/>
    <w:rsid w:val="004459C7"/>
    <w:rsid w:val="00445BB8"/>
    <w:rsid w:val="0044742E"/>
    <w:rsid w:val="0045388B"/>
    <w:rsid w:val="00454705"/>
    <w:rsid w:val="004569B6"/>
    <w:rsid w:val="004577C6"/>
    <w:rsid w:val="00461F88"/>
    <w:rsid w:val="0046431F"/>
    <w:rsid w:val="00465DB3"/>
    <w:rsid w:val="00466E14"/>
    <w:rsid w:val="00470141"/>
    <w:rsid w:val="0047036A"/>
    <w:rsid w:val="0047595D"/>
    <w:rsid w:val="004761D1"/>
    <w:rsid w:val="00484D1C"/>
    <w:rsid w:val="004867BC"/>
    <w:rsid w:val="00490E25"/>
    <w:rsid w:val="00494464"/>
    <w:rsid w:val="004A0FD9"/>
    <w:rsid w:val="004A60A1"/>
    <w:rsid w:val="004B047B"/>
    <w:rsid w:val="004B3606"/>
    <w:rsid w:val="004B5526"/>
    <w:rsid w:val="004C60FF"/>
    <w:rsid w:val="004D2C10"/>
    <w:rsid w:val="004D6C91"/>
    <w:rsid w:val="004E5FF2"/>
    <w:rsid w:val="004E699D"/>
    <w:rsid w:val="004F0E99"/>
    <w:rsid w:val="004F1E92"/>
    <w:rsid w:val="00500ABC"/>
    <w:rsid w:val="0050152B"/>
    <w:rsid w:val="005060F4"/>
    <w:rsid w:val="00510FD6"/>
    <w:rsid w:val="00511B0D"/>
    <w:rsid w:val="00516B82"/>
    <w:rsid w:val="00523B09"/>
    <w:rsid w:val="00525278"/>
    <w:rsid w:val="005375A2"/>
    <w:rsid w:val="00540AFC"/>
    <w:rsid w:val="00541172"/>
    <w:rsid w:val="00543458"/>
    <w:rsid w:val="00545197"/>
    <w:rsid w:val="00546136"/>
    <w:rsid w:val="005479AE"/>
    <w:rsid w:val="00547A6B"/>
    <w:rsid w:val="0055156D"/>
    <w:rsid w:val="00554725"/>
    <w:rsid w:val="00563647"/>
    <w:rsid w:val="00566F02"/>
    <w:rsid w:val="005801C0"/>
    <w:rsid w:val="00581018"/>
    <w:rsid w:val="00583AA1"/>
    <w:rsid w:val="005921A2"/>
    <w:rsid w:val="005967E6"/>
    <w:rsid w:val="0059713E"/>
    <w:rsid w:val="005975D2"/>
    <w:rsid w:val="005B0091"/>
    <w:rsid w:val="005B0816"/>
    <w:rsid w:val="005B57D7"/>
    <w:rsid w:val="005B7F7F"/>
    <w:rsid w:val="005C5E63"/>
    <w:rsid w:val="005D1023"/>
    <w:rsid w:val="005D1672"/>
    <w:rsid w:val="005D24A8"/>
    <w:rsid w:val="005D26BD"/>
    <w:rsid w:val="005D7B1D"/>
    <w:rsid w:val="005E432D"/>
    <w:rsid w:val="005E59A2"/>
    <w:rsid w:val="005F04BE"/>
    <w:rsid w:val="005F28E1"/>
    <w:rsid w:val="005F2D37"/>
    <w:rsid w:val="005F6A11"/>
    <w:rsid w:val="005F6F40"/>
    <w:rsid w:val="006048A7"/>
    <w:rsid w:val="00607A8D"/>
    <w:rsid w:val="00616DED"/>
    <w:rsid w:val="006208BA"/>
    <w:rsid w:val="006232B9"/>
    <w:rsid w:val="006261BA"/>
    <w:rsid w:val="00626A31"/>
    <w:rsid w:val="0063448E"/>
    <w:rsid w:val="006454CF"/>
    <w:rsid w:val="00652CE1"/>
    <w:rsid w:val="00656287"/>
    <w:rsid w:val="0066763B"/>
    <w:rsid w:val="00670110"/>
    <w:rsid w:val="006728F1"/>
    <w:rsid w:val="0067329A"/>
    <w:rsid w:val="006845FF"/>
    <w:rsid w:val="00684B37"/>
    <w:rsid w:val="00685E3C"/>
    <w:rsid w:val="006A0BE2"/>
    <w:rsid w:val="006C4228"/>
    <w:rsid w:val="006C61B8"/>
    <w:rsid w:val="006C6C28"/>
    <w:rsid w:val="006D00C7"/>
    <w:rsid w:val="006D45A1"/>
    <w:rsid w:val="006E24F6"/>
    <w:rsid w:val="006E28A4"/>
    <w:rsid w:val="006E7126"/>
    <w:rsid w:val="006F55FC"/>
    <w:rsid w:val="007026D1"/>
    <w:rsid w:val="007039EB"/>
    <w:rsid w:val="00703A54"/>
    <w:rsid w:val="007141EB"/>
    <w:rsid w:val="0071605E"/>
    <w:rsid w:val="00716DD5"/>
    <w:rsid w:val="00720E5C"/>
    <w:rsid w:val="00722BA7"/>
    <w:rsid w:val="007300B2"/>
    <w:rsid w:val="00744772"/>
    <w:rsid w:val="007515F6"/>
    <w:rsid w:val="00752231"/>
    <w:rsid w:val="007530D0"/>
    <w:rsid w:val="00762B69"/>
    <w:rsid w:val="00763FC1"/>
    <w:rsid w:val="007648E0"/>
    <w:rsid w:val="00764E63"/>
    <w:rsid w:val="00771808"/>
    <w:rsid w:val="007803E9"/>
    <w:rsid w:val="0078728B"/>
    <w:rsid w:val="00790130"/>
    <w:rsid w:val="007A060E"/>
    <w:rsid w:val="007A5D7D"/>
    <w:rsid w:val="007A7B7A"/>
    <w:rsid w:val="007B0B45"/>
    <w:rsid w:val="007B37B1"/>
    <w:rsid w:val="007C66C6"/>
    <w:rsid w:val="007D3976"/>
    <w:rsid w:val="007D633C"/>
    <w:rsid w:val="007D7414"/>
    <w:rsid w:val="007E5CCC"/>
    <w:rsid w:val="007F1010"/>
    <w:rsid w:val="007F3A7C"/>
    <w:rsid w:val="00805892"/>
    <w:rsid w:val="00806935"/>
    <w:rsid w:val="008156A3"/>
    <w:rsid w:val="008236B2"/>
    <w:rsid w:val="00827350"/>
    <w:rsid w:val="00837DD0"/>
    <w:rsid w:val="0084416A"/>
    <w:rsid w:val="00845883"/>
    <w:rsid w:val="00846149"/>
    <w:rsid w:val="008531CE"/>
    <w:rsid w:val="00862DDF"/>
    <w:rsid w:val="00872764"/>
    <w:rsid w:val="00872C95"/>
    <w:rsid w:val="00872F5F"/>
    <w:rsid w:val="008745B9"/>
    <w:rsid w:val="008816CA"/>
    <w:rsid w:val="00882CCC"/>
    <w:rsid w:val="00891425"/>
    <w:rsid w:val="008A488E"/>
    <w:rsid w:val="008A6A36"/>
    <w:rsid w:val="008C44B0"/>
    <w:rsid w:val="008D50B0"/>
    <w:rsid w:val="008E0FBB"/>
    <w:rsid w:val="008E2654"/>
    <w:rsid w:val="008E4393"/>
    <w:rsid w:val="008F084E"/>
    <w:rsid w:val="008F48EA"/>
    <w:rsid w:val="0090026A"/>
    <w:rsid w:val="00902404"/>
    <w:rsid w:val="00904226"/>
    <w:rsid w:val="00905CEC"/>
    <w:rsid w:val="00910C99"/>
    <w:rsid w:val="0091287A"/>
    <w:rsid w:val="00917F0A"/>
    <w:rsid w:val="00924AFF"/>
    <w:rsid w:val="009267E4"/>
    <w:rsid w:val="009335FD"/>
    <w:rsid w:val="00940388"/>
    <w:rsid w:val="00946C21"/>
    <w:rsid w:val="00952F22"/>
    <w:rsid w:val="00963115"/>
    <w:rsid w:val="00965954"/>
    <w:rsid w:val="00974B58"/>
    <w:rsid w:val="009776C1"/>
    <w:rsid w:val="009835F6"/>
    <w:rsid w:val="00991EF7"/>
    <w:rsid w:val="009926EE"/>
    <w:rsid w:val="009930E3"/>
    <w:rsid w:val="0099537F"/>
    <w:rsid w:val="00996154"/>
    <w:rsid w:val="009965D2"/>
    <w:rsid w:val="009A6E64"/>
    <w:rsid w:val="009B1927"/>
    <w:rsid w:val="009B4952"/>
    <w:rsid w:val="009D429E"/>
    <w:rsid w:val="009D5F47"/>
    <w:rsid w:val="009D605C"/>
    <w:rsid w:val="009E0DCC"/>
    <w:rsid w:val="009E1C62"/>
    <w:rsid w:val="009E1FB1"/>
    <w:rsid w:val="009F01FB"/>
    <w:rsid w:val="009F30A3"/>
    <w:rsid w:val="009F431F"/>
    <w:rsid w:val="009F45BD"/>
    <w:rsid w:val="009F5DCE"/>
    <w:rsid w:val="009F6E01"/>
    <w:rsid w:val="009F77E6"/>
    <w:rsid w:val="00A05E84"/>
    <w:rsid w:val="00A06317"/>
    <w:rsid w:val="00A10116"/>
    <w:rsid w:val="00A14FA0"/>
    <w:rsid w:val="00A2084C"/>
    <w:rsid w:val="00A22BE5"/>
    <w:rsid w:val="00A237ED"/>
    <w:rsid w:val="00A25799"/>
    <w:rsid w:val="00A31197"/>
    <w:rsid w:val="00A425F8"/>
    <w:rsid w:val="00A4735B"/>
    <w:rsid w:val="00A50AB7"/>
    <w:rsid w:val="00A5114A"/>
    <w:rsid w:val="00A57184"/>
    <w:rsid w:val="00A613A1"/>
    <w:rsid w:val="00A624AE"/>
    <w:rsid w:val="00A65AFC"/>
    <w:rsid w:val="00A67F0F"/>
    <w:rsid w:val="00A874E6"/>
    <w:rsid w:val="00AA1FAD"/>
    <w:rsid w:val="00AA39A0"/>
    <w:rsid w:val="00AA4EC0"/>
    <w:rsid w:val="00AA58B9"/>
    <w:rsid w:val="00AB20C1"/>
    <w:rsid w:val="00AC15B9"/>
    <w:rsid w:val="00AC17EE"/>
    <w:rsid w:val="00AD317B"/>
    <w:rsid w:val="00AD5243"/>
    <w:rsid w:val="00AE290A"/>
    <w:rsid w:val="00AE39E2"/>
    <w:rsid w:val="00AE4CEE"/>
    <w:rsid w:val="00AE5334"/>
    <w:rsid w:val="00AF1983"/>
    <w:rsid w:val="00AF495C"/>
    <w:rsid w:val="00B01C37"/>
    <w:rsid w:val="00B03D95"/>
    <w:rsid w:val="00B06B8F"/>
    <w:rsid w:val="00B07EC7"/>
    <w:rsid w:val="00B15817"/>
    <w:rsid w:val="00B22993"/>
    <w:rsid w:val="00B24193"/>
    <w:rsid w:val="00B261B2"/>
    <w:rsid w:val="00B40B55"/>
    <w:rsid w:val="00B4530B"/>
    <w:rsid w:val="00B53393"/>
    <w:rsid w:val="00B54BE9"/>
    <w:rsid w:val="00B55CE8"/>
    <w:rsid w:val="00B5731C"/>
    <w:rsid w:val="00B6345C"/>
    <w:rsid w:val="00B705B7"/>
    <w:rsid w:val="00B76317"/>
    <w:rsid w:val="00B83E6B"/>
    <w:rsid w:val="00B91F1E"/>
    <w:rsid w:val="00B93CF3"/>
    <w:rsid w:val="00B9545D"/>
    <w:rsid w:val="00BA02EC"/>
    <w:rsid w:val="00BA1564"/>
    <w:rsid w:val="00BA2913"/>
    <w:rsid w:val="00BA4B39"/>
    <w:rsid w:val="00BA7590"/>
    <w:rsid w:val="00BB0109"/>
    <w:rsid w:val="00BB03DE"/>
    <w:rsid w:val="00BC272E"/>
    <w:rsid w:val="00BD2864"/>
    <w:rsid w:val="00BD37FF"/>
    <w:rsid w:val="00BD62C0"/>
    <w:rsid w:val="00BE16A9"/>
    <w:rsid w:val="00BE368B"/>
    <w:rsid w:val="00BF0354"/>
    <w:rsid w:val="00BF1171"/>
    <w:rsid w:val="00BF7EB9"/>
    <w:rsid w:val="00C037AB"/>
    <w:rsid w:val="00C042C4"/>
    <w:rsid w:val="00C06BD2"/>
    <w:rsid w:val="00C11278"/>
    <w:rsid w:val="00C24E59"/>
    <w:rsid w:val="00C26B71"/>
    <w:rsid w:val="00C277FF"/>
    <w:rsid w:val="00C3201E"/>
    <w:rsid w:val="00C43D74"/>
    <w:rsid w:val="00C50498"/>
    <w:rsid w:val="00C50F20"/>
    <w:rsid w:val="00C51ED6"/>
    <w:rsid w:val="00C53F0B"/>
    <w:rsid w:val="00C57397"/>
    <w:rsid w:val="00C70B11"/>
    <w:rsid w:val="00C711C4"/>
    <w:rsid w:val="00C72A85"/>
    <w:rsid w:val="00C7377F"/>
    <w:rsid w:val="00C73C44"/>
    <w:rsid w:val="00C902E6"/>
    <w:rsid w:val="00C91AC1"/>
    <w:rsid w:val="00C962F8"/>
    <w:rsid w:val="00CA11C2"/>
    <w:rsid w:val="00CA4418"/>
    <w:rsid w:val="00CA6A0A"/>
    <w:rsid w:val="00CB24C7"/>
    <w:rsid w:val="00CC19EF"/>
    <w:rsid w:val="00CC21B3"/>
    <w:rsid w:val="00CC3B83"/>
    <w:rsid w:val="00CD1A9A"/>
    <w:rsid w:val="00CE1AA4"/>
    <w:rsid w:val="00CE1CB9"/>
    <w:rsid w:val="00CE73C2"/>
    <w:rsid w:val="00CF08C6"/>
    <w:rsid w:val="00CF2B92"/>
    <w:rsid w:val="00CF4EE6"/>
    <w:rsid w:val="00CF501C"/>
    <w:rsid w:val="00CF688B"/>
    <w:rsid w:val="00D1214B"/>
    <w:rsid w:val="00D17DCF"/>
    <w:rsid w:val="00D2434C"/>
    <w:rsid w:val="00D24768"/>
    <w:rsid w:val="00D316AD"/>
    <w:rsid w:val="00D33455"/>
    <w:rsid w:val="00D440E4"/>
    <w:rsid w:val="00D44256"/>
    <w:rsid w:val="00D47E3D"/>
    <w:rsid w:val="00D51348"/>
    <w:rsid w:val="00D57E84"/>
    <w:rsid w:val="00D57FED"/>
    <w:rsid w:val="00D61222"/>
    <w:rsid w:val="00D627A0"/>
    <w:rsid w:val="00D6302F"/>
    <w:rsid w:val="00D701F5"/>
    <w:rsid w:val="00D73B52"/>
    <w:rsid w:val="00D82052"/>
    <w:rsid w:val="00D84B12"/>
    <w:rsid w:val="00D90239"/>
    <w:rsid w:val="00D92930"/>
    <w:rsid w:val="00D93B7E"/>
    <w:rsid w:val="00DA497E"/>
    <w:rsid w:val="00DA5BE9"/>
    <w:rsid w:val="00DB290E"/>
    <w:rsid w:val="00DD3447"/>
    <w:rsid w:val="00DD5810"/>
    <w:rsid w:val="00DF4F10"/>
    <w:rsid w:val="00DF7082"/>
    <w:rsid w:val="00E0000F"/>
    <w:rsid w:val="00E00ED6"/>
    <w:rsid w:val="00E016C0"/>
    <w:rsid w:val="00E01B3D"/>
    <w:rsid w:val="00E02DE3"/>
    <w:rsid w:val="00E10505"/>
    <w:rsid w:val="00E12B54"/>
    <w:rsid w:val="00E152F8"/>
    <w:rsid w:val="00E36E03"/>
    <w:rsid w:val="00E40826"/>
    <w:rsid w:val="00E40B8E"/>
    <w:rsid w:val="00E50734"/>
    <w:rsid w:val="00E53A34"/>
    <w:rsid w:val="00E57237"/>
    <w:rsid w:val="00E57522"/>
    <w:rsid w:val="00E57793"/>
    <w:rsid w:val="00E61BCD"/>
    <w:rsid w:val="00E64884"/>
    <w:rsid w:val="00E725F8"/>
    <w:rsid w:val="00E82409"/>
    <w:rsid w:val="00E86EA0"/>
    <w:rsid w:val="00E87B45"/>
    <w:rsid w:val="00E91D82"/>
    <w:rsid w:val="00EA370C"/>
    <w:rsid w:val="00EA3C8D"/>
    <w:rsid w:val="00EA6E9F"/>
    <w:rsid w:val="00EA74B3"/>
    <w:rsid w:val="00EC05EC"/>
    <w:rsid w:val="00EC3CE5"/>
    <w:rsid w:val="00EC6A28"/>
    <w:rsid w:val="00ED025F"/>
    <w:rsid w:val="00ED1747"/>
    <w:rsid w:val="00EE3CAA"/>
    <w:rsid w:val="00EE791E"/>
    <w:rsid w:val="00EF1AE7"/>
    <w:rsid w:val="00EF2558"/>
    <w:rsid w:val="00EF3611"/>
    <w:rsid w:val="00F029CC"/>
    <w:rsid w:val="00F03E63"/>
    <w:rsid w:val="00F04156"/>
    <w:rsid w:val="00F17619"/>
    <w:rsid w:val="00F20E45"/>
    <w:rsid w:val="00F236A4"/>
    <w:rsid w:val="00F2421E"/>
    <w:rsid w:val="00F2679E"/>
    <w:rsid w:val="00F279AA"/>
    <w:rsid w:val="00F3502B"/>
    <w:rsid w:val="00F350D8"/>
    <w:rsid w:val="00F35247"/>
    <w:rsid w:val="00F365C8"/>
    <w:rsid w:val="00F36769"/>
    <w:rsid w:val="00F508B7"/>
    <w:rsid w:val="00F51F9C"/>
    <w:rsid w:val="00F579A0"/>
    <w:rsid w:val="00F61E87"/>
    <w:rsid w:val="00F7445C"/>
    <w:rsid w:val="00F8237E"/>
    <w:rsid w:val="00F9366E"/>
    <w:rsid w:val="00F9679E"/>
    <w:rsid w:val="00FA0D7C"/>
    <w:rsid w:val="00FB74D4"/>
    <w:rsid w:val="00FC2177"/>
    <w:rsid w:val="00FC5013"/>
    <w:rsid w:val="00FC5FE5"/>
    <w:rsid w:val="00FD0600"/>
    <w:rsid w:val="00FD53E0"/>
    <w:rsid w:val="00FD6CCC"/>
    <w:rsid w:val="00FE4DBE"/>
    <w:rsid w:val="00FE65A7"/>
    <w:rsid w:val="00FF5D2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E6A4B76"/>
  <w15:docId w15:val="{26081F3A-0314-4BC0-85AC-4D4A4F47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D5243"/>
    <w:pPr>
      <w:spacing w:before="120"/>
      <w:jc w:val="both"/>
    </w:pPr>
    <w:rPr>
      <w:rFonts w:ascii="Century Gothic" w:hAnsi="Century Gothic"/>
      <w:sz w:val="24"/>
    </w:rPr>
  </w:style>
  <w:style w:type="paragraph" w:styleId="berschrift1">
    <w:name w:val="heading 1"/>
    <w:basedOn w:val="Standard"/>
    <w:next w:val="Standardeinzug"/>
    <w:link w:val="berschrift1Zchn"/>
    <w:qFormat/>
    <w:rsid w:val="00F3502B"/>
    <w:pPr>
      <w:keepNext/>
      <w:pageBreakBefore/>
      <w:numPr>
        <w:numId w:val="1"/>
      </w:numPr>
      <w:tabs>
        <w:tab w:val="clear" w:pos="964"/>
      </w:tabs>
      <w:suppressAutoHyphens/>
      <w:spacing w:before="0"/>
      <w:ind w:left="851" w:hanging="851"/>
      <w:jc w:val="left"/>
      <w:outlineLvl w:val="0"/>
    </w:pPr>
    <w:rPr>
      <w:b/>
      <w:color w:val="00B0F0"/>
      <w:kern w:val="28"/>
      <w:sz w:val="32"/>
    </w:rPr>
  </w:style>
  <w:style w:type="paragraph" w:styleId="berschrift2">
    <w:name w:val="heading 2"/>
    <w:basedOn w:val="berschrift1"/>
    <w:next w:val="Standardeinzug"/>
    <w:link w:val="berschrift2Zchn"/>
    <w:qFormat/>
    <w:rsid w:val="00F3502B"/>
    <w:pPr>
      <w:pageBreakBefore w:val="0"/>
      <w:numPr>
        <w:ilvl w:val="1"/>
      </w:numPr>
      <w:tabs>
        <w:tab w:val="clear" w:pos="1389"/>
      </w:tabs>
      <w:suppressAutoHyphens w:val="0"/>
      <w:spacing w:before="240"/>
      <w:ind w:left="851" w:hanging="851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link w:val="berschrift3Zchn"/>
    <w:qFormat/>
    <w:rsid w:val="00F3502B"/>
    <w:pPr>
      <w:numPr>
        <w:ilvl w:val="2"/>
      </w:numPr>
      <w:tabs>
        <w:tab w:val="clear" w:pos="1389"/>
      </w:tabs>
      <w:ind w:left="851" w:hanging="851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rsid w:val="00F3502B"/>
    <w:pPr>
      <w:numPr>
        <w:ilvl w:val="3"/>
      </w:numPr>
      <w:tabs>
        <w:tab w:val="clear" w:pos="1573"/>
      </w:tabs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link w:val="berschrift5Zchn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link w:val="berschrift6Zchn"/>
    <w:qFormat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link w:val="berschrift7Zchn"/>
    <w:qFormat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link w:val="berschrift8Zchn"/>
    <w:qFormat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link w:val="berschrift9Zchn"/>
    <w:qFormat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rsid w:val="00D24768"/>
    <w:pPr>
      <w:tabs>
        <w:tab w:val="right" w:leader="dot" w:pos="8222"/>
      </w:tabs>
      <w:spacing w:before="240"/>
      <w:ind w:left="680" w:right="283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D24768"/>
    <w:pPr>
      <w:tabs>
        <w:tab w:val="left" w:pos="680"/>
      </w:tabs>
      <w:spacing w:before="120"/>
      <w:ind w:right="425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9B4952"/>
    <w:pPr>
      <w:spacing w:after="240"/>
      <w:ind w:left="2456" w:hanging="1605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rsid w:val="00002230"/>
    <w:pPr>
      <w:jc w:val="left"/>
    </w:pPr>
  </w:style>
  <w:style w:type="paragraph" w:styleId="Funotentext">
    <w:name w:val="footnote text"/>
    <w:basedOn w:val="Standard"/>
    <w:link w:val="FunotentextZchn"/>
    <w:semiHidden/>
    <w:qFormat/>
    <w:rsid w:val="007A5D7D"/>
    <w:pPr>
      <w:tabs>
        <w:tab w:val="left" w:pos="142"/>
      </w:tabs>
      <w:spacing w:before="60"/>
      <w:ind w:left="142" w:hanging="142"/>
      <w:jc w:val="left"/>
    </w:pPr>
    <w:rPr>
      <w:sz w:val="14"/>
    </w:rPr>
  </w:style>
  <w:style w:type="paragraph" w:styleId="Kopfzeile">
    <w:name w:val="header"/>
    <w:basedOn w:val="Standard"/>
    <w:link w:val="KopfzeileZchn"/>
    <w:uiPriority w:val="99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7B37B1"/>
    <w:pPr>
      <w:numPr>
        <w:numId w:val="13"/>
      </w:numPr>
      <w:spacing w:before="60" w:after="60"/>
      <w:contextualSpacing w:val="0"/>
    </w:pPr>
    <w:rPr>
      <w:color w:val="000000" w:themeColor="text1"/>
    </w:rPr>
  </w:style>
  <w:style w:type="paragraph" w:customStyle="1" w:styleId="Abbildung">
    <w:name w:val="Abbildung"/>
    <w:basedOn w:val="Standard"/>
    <w:next w:val="Beschriftung"/>
    <w:qFormat/>
    <w:rsid w:val="00EA6E9F"/>
    <w:pPr>
      <w:keepNext/>
      <w:spacing w:before="180" w:after="180"/>
      <w:ind w:left="709"/>
      <w:jc w:val="center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E86EA0"/>
    <w:pPr>
      <w:numPr>
        <w:numId w:val="10"/>
      </w:numPr>
      <w:spacing w:before="60" w:after="60"/>
      <w:ind w:left="1208" w:hanging="357"/>
      <w:contextualSpacing w:val="0"/>
    </w:pPr>
  </w:style>
  <w:style w:type="paragraph" w:styleId="Zitat">
    <w:name w:val="Quote"/>
    <w:basedOn w:val="Standard"/>
    <w:qFormat/>
    <w:rsid w:val="004151D2"/>
    <w:pPr>
      <w:ind w:left="1361"/>
    </w:pPr>
    <w:rPr>
      <w:i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rsid w:val="00F04156"/>
    <w:pPr>
      <w:ind w:left="851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link w:val="Textkrper-Einzug3Zchn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uiPriority w:val="39"/>
  </w:style>
  <w:style w:type="paragraph" w:styleId="Verzeichnis5">
    <w:name w:val="toc 5"/>
    <w:basedOn w:val="Verzeichnis4"/>
    <w:next w:val="Standard"/>
    <w:autoRedefine/>
    <w:uiPriority w:val="39"/>
  </w:style>
  <w:style w:type="paragraph" w:styleId="Verzeichnis6">
    <w:name w:val="toc 6"/>
    <w:basedOn w:val="Verzeichnis5"/>
    <w:next w:val="Standard"/>
    <w:autoRedefine/>
    <w:uiPriority w:val="39"/>
  </w:style>
  <w:style w:type="paragraph" w:styleId="Verzeichnis7">
    <w:name w:val="toc 7"/>
    <w:basedOn w:val="Verzeichnis6"/>
    <w:next w:val="Standard"/>
    <w:autoRedefine/>
    <w:uiPriority w:val="39"/>
  </w:style>
  <w:style w:type="paragraph" w:styleId="Verzeichnis8">
    <w:name w:val="toc 8"/>
    <w:basedOn w:val="Verzeichnis7"/>
    <w:next w:val="Standard"/>
    <w:autoRedefine/>
    <w:uiPriority w:val="39"/>
  </w:style>
  <w:style w:type="paragraph" w:styleId="Verzeichnis9">
    <w:name w:val="toc 9"/>
    <w:basedOn w:val="Verzeichnis8"/>
    <w:next w:val="Standard"/>
    <w:autoRedefine/>
    <w:uiPriority w:val="39"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F7445C"/>
    <w:pPr>
      <w:keepNext/>
      <w:spacing w:after="360"/>
      <w:ind w:left="2127" w:hanging="1276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1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basedOn w:val="Absatz-Standardschriftart"/>
    <w:uiPriority w:val="1"/>
    <w:qFormat/>
    <w:rsid w:val="00B07EC7"/>
    <w:rPr>
      <w:rFonts w:ascii="Century Gothic" w:hAnsi="Century Gothic"/>
      <w:b/>
      <w:iCs w:val="0"/>
      <w:color w:val="FF0000"/>
      <w:u w:val="none"/>
    </w:rPr>
  </w:style>
  <w:style w:type="character" w:customStyle="1" w:styleId="HervorhebungBLAU">
    <w:name w:val="Hervorhebung BLAU"/>
    <w:basedOn w:val="Absatz-Standardschriftart"/>
    <w:uiPriority w:val="1"/>
    <w:qFormat/>
    <w:rsid w:val="007B0B45"/>
    <w:rPr>
      <w:rFonts w:ascii="Century Gothic" w:hAnsi="Century Gothic"/>
      <w:b/>
      <w:color w:val="00B0F0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B07EC7"/>
    <w:rPr>
      <w:rFonts w:ascii="Century Gothic" w:hAnsi="Century Gothic"/>
      <w:b/>
      <w:color w:val="auto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DB290E"/>
    <w:rPr>
      <w:rFonts w:ascii="Futura-Book" w:hAnsi="Futura-Book"/>
      <w:sz w:val="24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1468F6"/>
    <w:rPr>
      <w:rFonts w:ascii="Century Gothic" w:hAnsi="Century Gothic"/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5B0816"/>
    <w:rPr>
      <w:color w:val="800080" w:themeColor="followedHyperlink"/>
      <w:u w:val="single"/>
    </w:rPr>
  </w:style>
  <w:style w:type="numbering" w:customStyle="1" w:styleId="Aufzhlungszeichena">
    <w:name w:val="Aufzählungszeichen a"/>
    <w:uiPriority w:val="99"/>
    <w:rsid w:val="00BA4B39"/>
    <w:pPr>
      <w:numPr>
        <w:numId w:val="12"/>
      </w:numPr>
    </w:pPr>
  </w:style>
  <w:style w:type="character" w:customStyle="1" w:styleId="n0074ccb0x02854e20">
    <w:name w:val="n0074ccb0x02854e20"/>
    <w:basedOn w:val="Absatz-Standardschriftart"/>
    <w:rsid w:val="00232849"/>
  </w:style>
  <w:style w:type="character" w:customStyle="1" w:styleId="berschrift1Zchn">
    <w:name w:val="Überschrift 1 Zchn"/>
    <w:basedOn w:val="Absatz-Standardschriftart"/>
    <w:link w:val="berschrift1"/>
    <w:rsid w:val="00232849"/>
    <w:rPr>
      <w:rFonts w:ascii="Century Gothic" w:hAnsi="Century Gothic"/>
      <w:b/>
      <w:color w:val="00B0F0"/>
      <w:kern w:val="28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232849"/>
    <w:rPr>
      <w:rFonts w:ascii="Century Gothic" w:hAnsi="Century Gothic"/>
      <w:b/>
      <w:color w:val="00B0F0"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232849"/>
    <w:rPr>
      <w:rFonts w:ascii="Century Gothic" w:hAnsi="Century Gothic"/>
      <w:b/>
      <w:color w:val="00B0F0"/>
      <w:kern w:val="28"/>
      <w:sz w:val="24"/>
    </w:rPr>
  </w:style>
  <w:style w:type="paragraph" w:customStyle="1" w:styleId="Text">
    <w:name w:val="Text"/>
    <w:basedOn w:val="Standard"/>
    <w:rsid w:val="00232849"/>
    <w:pPr>
      <w:spacing w:before="0" w:after="60"/>
      <w:jc w:val="left"/>
    </w:pPr>
    <w:rPr>
      <w:rFonts w:ascii="Arial" w:hAnsi="Arial"/>
      <w:sz w:val="22"/>
    </w:rPr>
  </w:style>
  <w:style w:type="paragraph" w:customStyle="1" w:styleId="TabBeschr">
    <w:name w:val="Tab_Beschr"/>
    <w:basedOn w:val="Standard"/>
    <w:rsid w:val="00232849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232849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rsid w:val="00232849"/>
    <w:pPr>
      <w:spacing w:before="60"/>
      <w:jc w:val="left"/>
    </w:pPr>
    <w:rPr>
      <w:rFonts w:ascii="Arial" w:hAnsi="Arial" w:cs="Arial"/>
      <w:i/>
      <w:iCs/>
      <w:vanish/>
      <w:color w:val="0070C0"/>
      <w:sz w:val="22"/>
    </w:rPr>
  </w:style>
  <w:style w:type="character" w:customStyle="1" w:styleId="HinweisausgeblendetZchn">
    <w:name w:val="Hinweis ausgeblendet Zchn"/>
    <w:link w:val="Hinweisausgeblendet"/>
    <w:rsid w:val="00232849"/>
    <w:rPr>
      <w:rFonts w:ascii="Arial" w:hAnsi="Arial" w:cs="Arial"/>
      <w:i/>
      <w:iCs/>
      <w:vanish/>
      <w:color w:val="0070C0"/>
      <w:sz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2849"/>
    <w:rPr>
      <w:rFonts w:ascii="Century Gothic" w:hAnsi="Century Gothic"/>
      <w:sz w:val="14"/>
    </w:rPr>
  </w:style>
  <w:style w:type="character" w:customStyle="1" w:styleId="berschrift5Zchn">
    <w:name w:val="Überschrift 5 Zchn"/>
    <w:basedOn w:val="Absatz-Standardschriftart"/>
    <w:link w:val="berschrift5"/>
    <w:rsid w:val="00232849"/>
    <w:rPr>
      <w:rFonts w:ascii="Century Gothic" w:hAnsi="Century Gothic"/>
      <w:color w:val="00B0F0"/>
      <w:kern w:val="28"/>
      <w:sz w:val="24"/>
    </w:rPr>
  </w:style>
  <w:style w:type="character" w:customStyle="1" w:styleId="berschrift6Zchn">
    <w:name w:val="Überschrift 6 Zchn"/>
    <w:basedOn w:val="Absatz-Standardschriftart"/>
    <w:link w:val="berschrift6"/>
    <w:rsid w:val="00232849"/>
    <w:rPr>
      <w:rFonts w:ascii="Century Gothic" w:hAnsi="Century Gothic"/>
      <w:color w:val="00B0F0"/>
      <w:kern w:val="28"/>
      <w:sz w:val="24"/>
    </w:rPr>
  </w:style>
  <w:style w:type="character" w:customStyle="1" w:styleId="berschrift7Zchn">
    <w:name w:val="Überschrift 7 Zchn"/>
    <w:basedOn w:val="Absatz-Standardschriftart"/>
    <w:link w:val="berschrift7"/>
    <w:rsid w:val="00232849"/>
    <w:rPr>
      <w:rFonts w:ascii="Century Gothic" w:hAnsi="Century Gothic"/>
      <w:color w:val="00B0F0"/>
      <w:kern w:val="28"/>
      <w:sz w:val="24"/>
    </w:rPr>
  </w:style>
  <w:style w:type="character" w:customStyle="1" w:styleId="berschrift8Zchn">
    <w:name w:val="Überschrift 8 Zchn"/>
    <w:basedOn w:val="Absatz-Standardschriftart"/>
    <w:link w:val="berschrift8"/>
    <w:rsid w:val="00232849"/>
    <w:rPr>
      <w:rFonts w:ascii="Century Gothic" w:hAnsi="Century Gothic"/>
      <w:color w:val="00B0F0"/>
      <w:kern w:val="28"/>
      <w:sz w:val="24"/>
    </w:rPr>
  </w:style>
  <w:style w:type="character" w:customStyle="1" w:styleId="berschrift9Zchn">
    <w:name w:val="Überschrift 9 Zchn"/>
    <w:basedOn w:val="Absatz-Standardschriftart"/>
    <w:link w:val="berschrift9"/>
    <w:rsid w:val="00232849"/>
    <w:rPr>
      <w:rFonts w:ascii="Century Gothic" w:hAnsi="Century Gothic"/>
      <w:color w:val="00B0F0"/>
      <w:kern w:val="28"/>
      <w:sz w:val="24"/>
    </w:rPr>
  </w:style>
  <w:style w:type="paragraph" w:customStyle="1" w:styleId="bwgvStandard">
    <w:name w:val="bwgv_Standard"/>
    <w:basedOn w:val="Verzeichnis1"/>
    <w:next w:val="Standard"/>
    <w:link w:val="bwgvStandardZchn"/>
    <w:rsid w:val="00232849"/>
    <w:pPr>
      <w:widowControl w:val="0"/>
      <w:tabs>
        <w:tab w:val="right" w:pos="9639"/>
      </w:tabs>
      <w:overflowPunct w:val="0"/>
      <w:autoSpaceDE w:val="0"/>
      <w:autoSpaceDN w:val="0"/>
      <w:adjustRightInd w:val="0"/>
      <w:spacing w:before="120" w:line="320" w:lineRule="atLeast"/>
      <w:ind w:left="0" w:right="0" w:firstLine="0"/>
      <w:textAlignment w:val="baseline"/>
    </w:pPr>
    <w:rPr>
      <w:rFonts w:ascii="Arial" w:hAnsi="Arial"/>
      <w:b w:val="0"/>
      <w:noProof w:val="0"/>
      <w:sz w:val="22"/>
    </w:rPr>
  </w:style>
  <w:style w:type="character" w:customStyle="1" w:styleId="bwgvStandardZchn">
    <w:name w:val="bwgv_Standard Zchn"/>
    <w:basedOn w:val="Absatz-Standardschriftart"/>
    <w:link w:val="bwgvStandard"/>
    <w:rsid w:val="00232849"/>
    <w:rPr>
      <w:rFonts w:ascii="Arial" w:hAnsi="Arial"/>
      <w:sz w:val="22"/>
    </w:rPr>
  </w:style>
  <w:style w:type="character" w:customStyle="1" w:styleId="n0074ccb0x028549c0">
    <w:name w:val="n0074ccb0x028549c0"/>
    <w:basedOn w:val="Absatz-Standardschriftart"/>
    <w:rsid w:val="00232849"/>
    <w:rPr>
      <w:b/>
      <w:bCs/>
    </w:rPr>
  </w:style>
  <w:style w:type="character" w:customStyle="1" w:styleId="n0074ccb0x02854a30">
    <w:name w:val="n0074ccb0x02854a30"/>
    <w:basedOn w:val="Absatz-Standardschriftart"/>
    <w:rsid w:val="00232849"/>
    <w:rPr>
      <w:i/>
      <w:iCs/>
    </w:rPr>
  </w:style>
  <w:style w:type="character" w:customStyle="1" w:styleId="n0074ccb0x02854f70">
    <w:name w:val="n0074ccb0x02854f70"/>
    <w:basedOn w:val="Absatz-Standardschriftart"/>
    <w:rsid w:val="00232849"/>
    <w:rPr>
      <w:rFonts w:ascii="Verdana" w:hAnsi="Verdana" w:hint="default"/>
      <w:color w:val="8C8FC3"/>
      <w:sz w:val="14"/>
      <w:szCs w:val="14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232849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Microsoft_PowerPoint_Slide4.sldx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package" Target="embeddings/Microsoft_PowerPoint_Slide1.sldx"/><Relationship Id="rId17" Type="http://schemas.openxmlformats.org/officeDocument/2006/relationships/image" Target="media/image5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PowerPoint_Slide3.sldx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header" Target="header3.xml"/><Relationship Id="rId10" Type="http://schemas.openxmlformats.org/officeDocument/2006/relationships/package" Target="embeddings/Microsoft_PowerPoint_Slide.sldx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package" Target="embeddings/Microsoft_PowerPoint_Slide2.sldx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HAUPTBAND\_310_Muster_Skrip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2523C141-1E8B-4925-881B-2281AA4D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_310_Muster_Skript.dotx</Template>
  <TotalTime>0</TotalTime>
  <Pages>14</Pages>
  <Words>2399</Words>
  <Characters>15119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8</cp:revision>
  <cp:lastPrinted>2025-02-13T14:38:00Z</cp:lastPrinted>
  <dcterms:created xsi:type="dcterms:W3CDTF">2023-09-05T09:07:00Z</dcterms:created>
  <dcterms:modified xsi:type="dcterms:W3CDTF">2025-10-08T14:55:00Z</dcterms:modified>
</cp:coreProperties>
</file>