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Ind w:w="108" w:type="dxa"/>
        <w:tblBorders>
          <w:top w:val="none" w:sz="0" w:space="0" w:color="auto"/>
          <w:left w:val="none" w:sz="0" w:space="0" w:color="auto"/>
          <w:bottom w:val="none" w:sz="0" w:space="0" w:color="auto"/>
          <w:right w:val="none" w:sz="0" w:space="0" w:color="auto"/>
        </w:tblBorders>
        <w:shd w:val="clear" w:color="auto" w:fill="CCECFF"/>
        <w:tblLook w:val="04A0" w:firstRow="1" w:lastRow="0" w:firstColumn="1" w:lastColumn="0" w:noHBand="0" w:noVBand="1"/>
      </w:tblPr>
      <w:tblGrid>
        <w:gridCol w:w="8541"/>
        <w:gridCol w:w="423"/>
      </w:tblGrid>
      <w:tr w:rsidR="00E106C4" w:rsidRPr="00DE5B92" w:rsidTr="009C33FF">
        <w:trPr>
          <w:cantSplit/>
          <w:trHeight w:val="618"/>
        </w:trPr>
        <w:tc>
          <w:tcPr>
            <w:tcW w:w="8541" w:type="dxa"/>
            <w:tcBorders>
              <w:right w:val="nil"/>
            </w:tcBorders>
            <w:shd w:val="clear" w:color="auto" w:fill="CCECFF"/>
            <w:tcMar>
              <w:top w:w="113" w:type="dxa"/>
              <w:bottom w:w="113" w:type="dxa"/>
            </w:tcMar>
            <w:vAlign w:val="center"/>
          </w:tcPr>
          <w:p w:rsidR="00E106C4" w:rsidRPr="00DE5B92" w:rsidRDefault="00FC0710" w:rsidP="0018719D">
            <w:pPr>
              <w:pStyle w:val="berschrift1"/>
              <w:numPr>
                <w:ilvl w:val="0"/>
                <w:numId w:val="0"/>
              </w:numPr>
              <w:rPr>
                <w:rFonts w:ascii="Century Gothic" w:hAnsi="Century Gothic"/>
                <w:sz w:val="28"/>
              </w:rPr>
            </w:pPr>
            <w:bookmarkStart w:id="0" w:name="_GoBack"/>
            <w:bookmarkEnd w:id="0"/>
            <w:r w:rsidRPr="00FC0710">
              <w:rPr>
                <w:rFonts w:ascii="Century Gothic" w:hAnsi="Century Gothic"/>
                <w:sz w:val="28"/>
              </w:rPr>
              <w:t xml:space="preserve">Vorgaben aus WPO und BS WP/vBP </w:t>
            </w:r>
            <w:r w:rsidR="00943A35">
              <w:rPr>
                <w:rFonts w:ascii="Century Gothic" w:hAnsi="Century Gothic"/>
                <w:sz w:val="28"/>
              </w:rPr>
              <w:t xml:space="preserve">zur Nachschau </w:t>
            </w:r>
            <w:r w:rsidRPr="00FC0710">
              <w:rPr>
                <w:rFonts w:ascii="Century Gothic" w:hAnsi="Century Gothic"/>
                <w:sz w:val="28"/>
              </w:rPr>
              <w:t xml:space="preserve">– </w:t>
            </w:r>
            <w:r w:rsidR="000D40EE">
              <w:rPr>
                <w:rFonts w:ascii="Century Gothic" w:hAnsi="Century Gothic"/>
                <w:sz w:val="28"/>
              </w:rPr>
              <w:br/>
            </w:r>
            <w:r w:rsidRPr="00FC0710">
              <w:rPr>
                <w:rFonts w:ascii="Century Gothic" w:hAnsi="Century Gothic"/>
                <w:sz w:val="28"/>
              </w:rPr>
              <w:t>§ 55b III WPO, §§ 49, 63 BS WP/vBP</w:t>
            </w:r>
          </w:p>
        </w:tc>
        <w:tc>
          <w:tcPr>
            <w:tcW w:w="423" w:type="dxa"/>
            <w:tcBorders>
              <w:top w:val="nil"/>
              <w:left w:val="nil"/>
              <w:bottom w:val="nil"/>
            </w:tcBorders>
            <w:shd w:val="clear" w:color="auto" w:fill="CCECFF"/>
            <w:textDirection w:val="btLr"/>
            <w:vAlign w:val="center"/>
          </w:tcPr>
          <w:p w:rsidR="00E106C4" w:rsidRPr="00FC0710" w:rsidRDefault="00E106C4" w:rsidP="00E106C4">
            <w:pPr>
              <w:pStyle w:val="berschrift1"/>
              <w:numPr>
                <w:ilvl w:val="0"/>
                <w:numId w:val="0"/>
              </w:numPr>
              <w:ind w:left="113" w:right="113"/>
              <w:jc w:val="center"/>
              <w:rPr>
                <w:rFonts w:ascii="Century Gothic" w:hAnsi="Century Gothic"/>
                <w:color w:val="CCECFF"/>
                <w:sz w:val="10"/>
                <w:szCs w:val="10"/>
              </w:rPr>
            </w:pPr>
          </w:p>
        </w:tc>
      </w:tr>
    </w:tbl>
    <w:p w:rsidR="00FC0710" w:rsidRPr="00290924" w:rsidRDefault="00FC0710" w:rsidP="00FC0710">
      <w:pPr>
        <w:spacing w:before="0"/>
        <w:rPr>
          <w:sz w:val="32"/>
          <w:szCs w:val="32"/>
        </w:rPr>
      </w:pPr>
    </w:p>
    <w:tbl>
      <w:tblPr>
        <w:tblStyle w:val="Tabellenraster"/>
        <w:tblW w:w="0" w:type="auto"/>
        <w:tblInd w:w="227" w:type="dxa"/>
        <w:tblCellMar>
          <w:right w:w="227" w:type="dxa"/>
        </w:tblCellMar>
        <w:tblLook w:val="04A0" w:firstRow="1" w:lastRow="0" w:firstColumn="1" w:lastColumn="0" w:noHBand="0" w:noVBand="1"/>
      </w:tblPr>
      <w:tblGrid>
        <w:gridCol w:w="8835"/>
      </w:tblGrid>
      <w:tr w:rsidR="00FC0710" w:rsidRPr="00D86537" w:rsidTr="00C8318C">
        <w:trPr>
          <w:trHeight w:val="1181"/>
        </w:trPr>
        <w:tc>
          <w:tcPr>
            <w:tcW w:w="9072" w:type="dxa"/>
            <w:tcMar>
              <w:top w:w="227" w:type="dxa"/>
              <w:left w:w="227" w:type="dxa"/>
              <w:bottom w:w="227" w:type="dxa"/>
              <w:right w:w="284" w:type="dxa"/>
            </w:tcMar>
          </w:tcPr>
          <w:tbl>
            <w:tblPr>
              <w:tblStyle w:val="Tabellenraster"/>
              <w:tblW w:w="0" w:type="auto"/>
              <w:tblInd w:w="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272"/>
            </w:tblGrid>
            <w:tr w:rsidR="00FC0710" w:rsidRPr="003F7C22" w:rsidTr="00C8318C">
              <w:tc>
                <w:tcPr>
                  <w:tcW w:w="9207" w:type="dxa"/>
                  <w:shd w:val="clear" w:color="auto" w:fill="D9D9D9" w:themeFill="background1" w:themeFillShade="D9"/>
                </w:tcPr>
                <w:p w:rsidR="00FC0710" w:rsidRPr="003F7C22" w:rsidRDefault="00FC0710" w:rsidP="00C8318C">
                  <w:pPr>
                    <w:spacing w:before="0"/>
                    <w:jc w:val="center"/>
                    <w:rPr>
                      <w:i/>
                      <w:color w:val="000000" w:themeColor="text1"/>
                      <w:sz w:val="20"/>
                    </w:rPr>
                  </w:pPr>
                  <w:r w:rsidRPr="003F7C22">
                    <w:rPr>
                      <w:i/>
                      <w:color w:val="000000" w:themeColor="text1"/>
                      <w:sz w:val="20"/>
                    </w:rPr>
                    <w:t>WPO</w:t>
                  </w:r>
                </w:p>
              </w:tc>
            </w:tr>
            <w:tr w:rsidR="00FC0710" w:rsidRPr="003F7C22" w:rsidTr="00C8318C">
              <w:tc>
                <w:tcPr>
                  <w:tcW w:w="9207" w:type="dxa"/>
                </w:tcPr>
                <w:p w:rsidR="00FC0710" w:rsidRPr="00F74BEB" w:rsidRDefault="00FC0710" w:rsidP="00C8318C">
                  <w:pPr>
                    <w:spacing w:before="0"/>
                    <w:jc w:val="center"/>
                    <w:rPr>
                      <w:b/>
                      <w:i/>
                      <w:color w:val="000000" w:themeColor="text1"/>
                      <w:sz w:val="20"/>
                    </w:rPr>
                  </w:pPr>
                  <w:r w:rsidRPr="008B1378">
                    <w:rPr>
                      <w:i/>
                      <w:color w:val="000000" w:themeColor="text1"/>
                      <w:sz w:val="20"/>
                    </w:rPr>
                    <w:t>„</w:t>
                  </w:r>
                  <w:r w:rsidRPr="00F74BEB">
                    <w:rPr>
                      <w:b/>
                      <w:i/>
                      <w:color w:val="00B0F0"/>
                      <w:sz w:val="20"/>
                    </w:rPr>
                    <w:t>§ 55b Internes Qualitätssicherungssystem</w:t>
                  </w:r>
                </w:p>
              </w:tc>
            </w:tr>
            <w:tr w:rsidR="00FC0710" w:rsidRPr="003F7C22" w:rsidTr="00C8318C">
              <w:tc>
                <w:tcPr>
                  <w:tcW w:w="9207" w:type="dxa"/>
                </w:tcPr>
                <w:p w:rsidR="00FC0710" w:rsidRPr="003F7C22" w:rsidRDefault="00FC0710" w:rsidP="00C8318C">
                  <w:pPr>
                    <w:spacing w:before="100" w:beforeAutospacing="1" w:after="100" w:afterAutospacing="1"/>
                    <w:jc w:val="left"/>
                    <w:rPr>
                      <w:i/>
                      <w:color w:val="000000" w:themeColor="text1"/>
                      <w:sz w:val="20"/>
                    </w:rPr>
                  </w:pPr>
                  <w:r w:rsidRPr="003F7C22">
                    <w:rPr>
                      <w:i/>
                      <w:color w:val="000000" w:themeColor="text1"/>
                      <w:sz w:val="20"/>
                    </w:rPr>
                    <w:t xml:space="preserve">(1) Berufsangehörige haben für ihre Praxis Regelungen zu schaffen, die die </w:t>
                  </w:r>
                  <w:r w:rsidRPr="00F74BEB">
                    <w:rPr>
                      <w:b/>
                      <w:i/>
                      <w:color w:val="00B0F0"/>
                      <w:sz w:val="20"/>
                    </w:rPr>
                    <w:t>Einhaltung ihrer Berufspflichten gewährleisten</w:t>
                  </w:r>
                  <w:r w:rsidRPr="003F7C22">
                    <w:rPr>
                      <w:i/>
                      <w:color w:val="000000" w:themeColor="text1"/>
                      <w:sz w:val="20"/>
                    </w:rPr>
                    <w:t xml:space="preserve">, und deren Anwendung zu überwachen und durchzusetzen (internes Qualitätssicherungssystem). </w:t>
                  </w:r>
                  <w:r w:rsidRPr="00A65E3A">
                    <w:rPr>
                      <w:b/>
                      <w:i/>
                      <w:color w:val="FF0000"/>
                      <w:sz w:val="20"/>
                    </w:rPr>
                    <w:t>Das interne Qualitätssicherungssystem</w:t>
                  </w:r>
                  <w:r w:rsidRPr="00A65E3A">
                    <w:rPr>
                      <w:i/>
                      <w:color w:val="FF0000"/>
                      <w:sz w:val="20"/>
                    </w:rPr>
                    <w:t xml:space="preserve"> </w:t>
                  </w:r>
                  <w:r w:rsidRPr="003F7C22">
                    <w:rPr>
                      <w:i/>
                      <w:color w:val="000000" w:themeColor="text1"/>
                      <w:sz w:val="20"/>
                    </w:rPr>
                    <w:t>soll in einem angemessenen Verhältnis zum Umfang und zur Komplexität der beruflichen Tätigkeit stehen. Das interne Qualitätssicherungssystem ist zu dokumentieren und den Mitarbeitern der Berufsangehörigen zur Kenntnis zu geben.</w:t>
                  </w:r>
                </w:p>
                <w:p w:rsidR="00FC0710" w:rsidRPr="003F7C22" w:rsidRDefault="00FC0710" w:rsidP="00C8318C">
                  <w:pPr>
                    <w:spacing w:before="100" w:beforeAutospacing="1" w:after="100" w:afterAutospacing="1"/>
                    <w:jc w:val="left"/>
                    <w:rPr>
                      <w:i/>
                      <w:color w:val="000000" w:themeColor="text1"/>
                      <w:sz w:val="20"/>
                    </w:rPr>
                  </w:pPr>
                  <w:r w:rsidRPr="003F7C22">
                    <w:rPr>
                      <w:i/>
                      <w:color w:val="000000" w:themeColor="text1"/>
                      <w:sz w:val="20"/>
                    </w:rPr>
                    <w:t xml:space="preserve">(2) Bei Berufsangehörigen, die </w:t>
                  </w:r>
                  <w:r w:rsidRPr="00F74BEB">
                    <w:rPr>
                      <w:b/>
                      <w:i/>
                      <w:color w:val="00B0F0"/>
                      <w:sz w:val="20"/>
                    </w:rPr>
                    <w:t xml:space="preserve">Abschlussprüfungen nach § </w:t>
                  </w:r>
                  <w:hyperlink r:id="rId9" w:history="1">
                    <w:r w:rsidRPr="00F74BEB">
                      <w:rPr>
                        <w:b/>
                        <w:i/>
                        <w:color w:val="00B0F0"/>
                        <w:sz w:val="20"/>
                      </w:rPr>
                      <w:t>316</w:t>
                    </w:r>
                  </w:hyperlink>
                  <w:r w:rsidRPr="00F74BEB">
                    <w:rPr>
                      <w:b/>
                      <w:i/>
                      <w:color w:val="00B0F0"/>
                      <w:sz w:val="20"/>
                    </w:rPr>
                    <w:t xml:space="preserve"> des Handelsgesetzbuchs durchführen</w:t>
                  </w:r>
                  <w:r w:rsidRPr="003F7C22">
                    <w:rPr>
                      <w:i/>
                      <w:color w:val="000000" w:themeColor="text1"/>
                      <w:sz w:val="20"/>
                    </w:rPr>
                    <w:t xml:space="preserve">, haben die </w:t>
                  </w:r>
                  <w:r w:rsidRPr="00F74BEB">
                    <w:rPr>
                      <w:b/>
                      <w:i/>
                      <w:color w:val="FF0000"/>
                      <w:sz w:val="20"/>
                    </w:rPr>
                    <w:t>Regelungen nach Absatz 1 angemessene Grundsätze und Verfahren zur ordnungsgemäßen Durchführung und Sicherung der Qualität der Abschlussprüfung zu umfassen</w:t>
                  </w:r>
                  <w:r w:rsidRPr="003F7C22">
                    <w:rPr>
                      <w:i/>
                      <w:color w:val="000000" w:themeColor="text1"/>
                      <w:sz w:val="20"/>
                    </w:rPr>
                    <w:t>. Dazu gehören zumindest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
                    <w:gridCol w:w="227"/>
                    <w:gridCol w:w="7649"/>
                  </w:tblGrid>
                  <w:tr w:rsidR="00FC0710" w:rsidRPr="003F7C22" w:rsidTr="00C8318C">
                    <w:trPr>
                      <w:tblCellSpacing w:w="15" w:type="dxa"/>
                    </w:trPr>
                    <w:tc>
                      <w:tcPr>
                        <w:tcW w:w="135" w:type="dxa"/>
                        <w:vMerge w:val="restart"/>
                        <w:shd w:val="clear" w:color="auto" w:fill="FF0000"/>
                      </w:tcPr>
                      <w:p w:rsidR="00FC0710" w:rsidRPr="003F7C22" w:rsidRDefault="00FC0710" w:rsidP="00C8318C">
                        <w:pPr>
                          <w:spacing w:before="0"/>
                          <w:jc w:val="left"/>
                          <w:rPr>
                            <w:i/>
                            <w:color w:val="000000" w:themeColor="text1"/>
                            <w:sz w:val="20"/>
                          </w:rPr>
                        </w:pPr>
                      </w:p>
                    </w:tc>
                    <w:tc>
                      <w:tcPr>
                        <w:tcW w:w="98" w:type="dxa"/>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1. </w:t>
                        </w:r>
                      </w:p>
                    </w:tc>
                    <w:tc>
                      <w:tcPr>
                        <w:tcW w:w="0" w:type="auto"/>
                        <w:vAlign w:val="center"/>
                        <w:hideMark/>
                      </w:tcPr>
                      <w:p w:rsidR="00FC0710" w:rsidRPr="003F7C22" w:rsidRDefault="00FC0710" w:rsidP="00C8318C">
                        <w:pPr>
                          <w:spacing w:before="0"/>
                          <w:jc w:val="left"/>
                          <w:rPr>
                            <w:i/>
                            <w:color w:val="000000" w:themeColor="text1"/>
                            <w:sz w:val="20"/>
                          </w:rPr>
                        </w:pPr>
                        <w:r w:rsidRPr="003F7C22">
                          <w:rPr>
                            <w:i/>
                            <w:color w:val="000000" w:themeColor="text1"/>
                            <w:sz w:val="20"/>
                          </w:rPr>
                          <w:t>solide Verwaltungs- und Rechnungslegungsverfahren, interne Qualitätssicherungsmechanismen, wirksame Verfahren zur Risikobewertung sowie wirksame Kontroll- und Sicherheitsvorkehrungen für Datenverarbeitungssysteme,</w:t>
                        </w:r>
                      </w:p>
                    </w:tc>
                  </w:tr>
                  <w:tr w:rsidR="00FC0710" w:rsidRPr="003F7C22" w:rsidTr="00C8318C">
                    <w:trPr>
                      <w:tblCellSpacing w:w="15" w:type="dxa"/>
                    </w:trPr>
                    <w:tc>
                      <w:tcPr>
                        <w:tcW w:w="135" w:type="dxa"/>
                        <w:vMerge/>
                        <w:shd w:val="clear" w:color="auto" w:fill="FF0000"/>
                      </w:tcPr>
                      <w:p w:rsidR="00FC0710" w:rsidRPr="003F7C22" w:rsidRDefault="00FC0710" w:rsidP="00C8318C">
                        <w:pPr>
                          <w:spacing w:before="0"/>
                          <w:jc w:val="left"/>
                          <w:rPr>
                            <w:i/>
                            <w:color w:val="000000" w:themeColor="text1"/>
                            <w:sz w:val="20"/>
                          </w:rPr>
                        </w:pPr>
                      </w:p>
                    </w:tc>
                    <w:tc>
                      <w:tcPr>
                        <w:tcW w:w="98" w:type="dxa"/>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2. </w:t>
                        </w:r>
                      </w:p>
                    </w:tc>
                    <w:tc>
                      <w:tcPr>
                        <w:tcW w:w="0" w:type="auto"/>
                        <w:vAlign w:val="center"/>
                        <w:hideMark/>
                      </w:tcPr>
                      <w:p w:rsidR="00FC0710" w:rsidRPr="003F7C22" w:rsidRDefault="00FC0710" w:rsidP="00C8318C">
                        <w:pPr>
                          <w:spacing w:before="0"/>
                          <w:jc w:val="left"/>
                          <w:rPr>
                            <w:i/>
                            <w:color w:val="000000" w:themeColor="text1"/>
                            <w:sz w:val="20"/>
                          </w:rPr>
                        </w:pPr>
                        <w:r w:rsidRPr="003F7C22">
                          <w:rPr>
                            <w:i/>
                            <w:color w:val="000000" w:themeColor="text1"/>
                            <w:sz w:val="20"/>
                          </w:rPr>
                          <w:t>Vorkehrungen zum Einsatz angemessener und wirksamer Systeme und Verfahren sowie der zur angemessenen Wahrnehmung der Aufgaben erforderlichen Mittel und des dafür erforderlichen Personals,</w:t>
                        </w:r>
                      </w:p>
                    </w:tc>
                  </w:tr>
                  <w:tr w:rsidR="00FC0710" w:rsidRPr="003F7C22" w:rsidTr="00C8318C">
                    <w:trPr>
                      <w:tblCellSpacing w:w="15" w:type="dxa"/>
                    </w:trPr>
                    <w:tc>
                      <w:tcPr>
                        <w:tcW w:w="135" w:type="dxa"/>
                        <w:vMerge/>
                        <w:shd w:val="clear" w:color="auto" w:fill="FF0000"/>
                      </w:tcPr>
                      <w:p w:rsidR="00FC0710" w:rsidRPr="003F7C22" w:rsidRDefault="00FC0710" w:rsidP="00C8318C">
                        <w:pPr>
                          <w:spacing w:before="0"/>
                          <w:jc w:val="left"/>
                          <w:rPr>
                            <w:i/>
                            <w:color w:val="000000" w:themeColor="text1"/>
                            <w:sz w:val="20"/>
                          </w:rPr>
                        </w:pPr>
                      </w:p>
                    </w:tc>
                    <w:tc>
                      <w:tcPr>
                        <w:tcW w:w="98" w:type="dxa"/>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3. </w:t>
                        </w:r>
                      </w:p>
                    </w:tc>
                    <w:tc>
                      <w:tcPr>
                        <w:tcW w:w="0" w:type="auto"/>
                        <w:vAlign w:val="center"/>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Grundsätze und Verfahren, die die Einhaltung der Anforderungen an die Eigenverantwortlichkeit des verantwortlichen Abschlussprüfers nach § </w:t>
                        </w:r>
                        <w:hyperlink r:id="rId10" w:history="1">
                          <w:r w:rsidRPr="003F7C22">
                            <w:rPr>
                              <w:i/>
                              <w:color w:val="000000" w:themeColor="text1"/>
                              <w:sz w:val="20"/>
                            </w:rPr>
                            <w:t>44</w:t>
                          </w:r>
                        </w:hyperlink>
                        <w:r w:rsidRPr="003F7C22">
                          <w:rPr>
                            <w:i/>
                            <w:color w:val="000000" w:themeColor="text1"/>
                            <w:sz w:val="20"/>
                          </w:rPr>
                          <w:t xml:space="preserve"> Absatz 1 Satz 3 dieses Gesetzes und an die Unabhängigkeit nach den §§ </w:t>
                        </w:r>
                        <w:hyperlink r:id="rId11" w:history="1">
                          <w:r w:rsidRPr="003F7C22">
                            <w:rPr>
                              <w:i/>
                              <w:color w:val="000000" w:themeColor="text1"/>
                              <w:sz w:val="20"/>
                            </w:rPr>
                            <w:t>319</w:t>
                          </w:r>
                        </w:hyperlink>
                        <w:r w:rsidRPr="003F7C22">
                          <w:rPr>
                            <w:i/>
                            <w:color w:val="000000" w:themeColor="text1"/>
                            <w:sz w:val="20"/>
                          </w:rPr>
                          <w:t xml:space="preserve"> bis </w:t>
                        </w:r>
                        <w:hyperlink r:id="rId12" w:history="1">
                          <w:r w:rsidRPr="003F7C22">
                            <w:rPr>
                              <w:i/>
                              <w:color w:val="000000" w:themeColor="text1"/>
                              <w:sz w:val="20"/>
                            </w:rPr>
                            <w:t>319b</w:t>
                          </w:r>
                        </w:hyperlink>
                        <w:r w:rsidRPr="003F7C22">
                          <w:rPr>
                            <w:i/>
                            <w:color w:val="000000" w:themeColor="text1"/>
                            <w:sz w:val="20"/>
                          </w:rPr>
                          <w:t xml:space="preserve"> des Handelsgesetzbuchs gewährleisten,</w:t>
                        </w:r>
                      </w:p>
                    </w:tc>
                  </w:tr>
                  <w:tr w:rsidR="00FC0710" w:rsidRPr="003F7C22" w:rsidTr="00C8318C">
                    <w:trPr>
                      <w:tblCellSpacing w:w="15" w:type="dxa"/>
                    </w:trPr>
                    <w:tc>
                      <w:tcPr>
                        <w:tcW w:w="135" w:type="dxa"/>
                        <w:vMerge/>
                        <w:shd w:val="clear" w:color="auto" w:fill="FF0000"/>
                      </w:tcPr>
                      <w:p w:rsidR="00FC0710" w:rsidRPr="003F7C22" w:rsidRDefault="00FC0710" w:rsidP="00C8318C">
                        <w:pPr>
                          <w:spacing w:before="0"/>
                          <w:jc w:val="left"/>
                          <w:rPr>
                            <w:i/>
                            <w:color w:val="000000" w:themeColor="text1"/>
                            <w:sz w:val="20"/>
                          </w:rPr>
                        </w:pPr>
                      </w:p>
                    </w:tc>
                    <w:tc>
                      <w:tcPr>
                        <w:tcW w:w="98" w:type="dxa"/>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4. </w:t>
                        </w:r>
                      </w:p>
                    </w:tc>
                    <w:tc>
                      <w:tcPr>
                        <w:tcW w:w="0" w:type="auto"/>
                        <w:vAlign w:val="center"/>
                        <w:hideMark/>
                      </w:tcPr>
                      <w:p w:rsidR="00FC0710" w:rsidRPr="003F7C22" w:rsidRDefault="00FC0710" w:rsidP="00C8318C">
                        <w:pPr>
                          <w:spacing w:before="0"/>
                          <w:jc w:val="left"/>
                          <w:rPr>
                            <w:i/>
                            <w:color w:val="000000" w:themeColor="text1"/>
                            <w:sz w:val="20"/>
                          </w:rPr>
                        </w:pPr>
                        <w:r w:rsidRPr="003F7C22">
                          <w:rPr>
                            <w:i/>
                            <w:color w:val="000000" w:themeColor="text1"/>
                            <w:sz w:val="20"/>
                          </w:rPr>
                          <w:t>Grundsätze und Verfahren, die sicherstellen, dass Mitarbeiter sowie sonstige unmittelbar an den Prüfungstätigkeiten beteiligte Personen über angemessene Kenntnisse und Erfahrungen für die ihnen zugewiesenen Aufgaben verfügen sowie fortgebildet, angeleitet und kontrolliert werden,</w:t>
                        </w:r>
                      </w:p>
                    </w:tc>
                  </w:tr>
                  <w:tr w:rsidR="00FC0710" w:rsidRPr="003F7C22" w:rsidTr="00C8318C">
                    <w:trPr>
                      <w:tblCellSpacing w:w="15" w:type="dxa"/>
                    </w:trPr>
                    <w:tc>
                      <w:tcPr>
                        <w:tcW w:w="135" w:type="dxa"/>
                        <w:vMerge/>
                        <w:shd w:val="clear" w:color="auto" w:fill="FF0000"/>
                      </w:tcPr>
                      <w:p w:rsidR="00FC0710" w:rsidRPr="003F7C22" w:rsidRDefault="00FC0710" w:rsidP="00C8318C">
                        <w:pPr>
                          <w:spacing w:before="0"/>
                          <w:jc w:val="left"/>
                          <w:rPr>
                            <w:i/>
                            <w:color w:val="000000" w:themeColor="text1"/>
                            <w:sz w:val="20"/>
                          </w:rPr>
                        </w:pPr>
                      </w:p>
                    </w:tc>
                    <w:tc>
                      <w:tcPr>
                        <w:tcW w:w="98" w:type="dxa"/>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5. </w:t>
                        </w:r>
                      </w:p>
                    </w:tc>
                    <w:tc>
                      <w:tcPr>
                        <w:tcW w:w="0" w:type="auto"/>
                        <w:vAlign w:val="center"/>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die Führung von Prüfungsakten nach § </w:t>
                        </w:r>
                        <w:hyperlink r:id="rId13" w:history="1">
                          <w:r w:rsidRPr="003F7C22">
                            <w:rPr>
                              <w:i/>
                              <w:color w:val="000000" w:themeColor="text1"/>
                              <w:sz w:val="20"/>
                            </w:rPr>
                            <w:t>51b</w:t>
                          </w:r>
                        </w:hyperlink>
                        <w:r w:rsidRPr="003F7C22">
                          <w:rPr>
                            <w:i/>
                            <w:color w:val="000000" w:themeColor="text1"/>
                            <w:sz w:val="20"/>
                          </w:rPr>
                          <w:t xml:space="preserve"> Absatz 5,</w:t>
                        </w:r>
                      </w:p>
                    </w:tc>
                  </w:tr>
                  <w:tr w:rsidR="00FC0710" w:rsidRPr="003F7C22" w:rsidTr="00C8318C">
                    <w:trPr>
                      <w:tblCellSpacing w:w="15" w:type="dxa"/>
                    </w:trPr>
                    <w:tc>
                      <w:tcPr>
                        <w:tcW w:w="135" w:type="dxa"/>
                        <w:vMerge/>
                        <w:shd w:val="clear" w:color="auto" w:fill="FF0000"/>
                      </w:tcPr>
                      <w:p w:rsidR="00FC0710" w:rsidRPr="003F7C22" w:rsidRDefault="00FC0710" w:rsidP="00C8318C">
                        <w:pPr>
                          <w:spacing w:before="0"/>
                          <w:jc w:val="left"/>
                          <w:rPr>
                            <w:i/>
                            <w:color w:val="000000" w:themeColor="text1"/>
                            <w:sz w:val="20"/>
                          </w:rPr>
                        </w:pPr>
                      </w:p>
                    </w:tc>
                    <w:tc>
                      <w:tcPr>
                        <w:tcW w:w="98" w:type="dxa"/>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6. </w:t>
                        </w:r>
                      </w:p>
                    </w:tc>
                    <w:tc>
                      <w:tcPr>
                        <w:tcW w:w="0" w:type="auto"/>
                        <w:vAlign w:val="center"/>
                        <w:hideMark/>
                      </w:tcPr>
                      <w:p w:rsidR="00FC0710" w:rsidRPr="003F7C22" w:rsidRDefault="00FC0710" w:rsidP="00C8318C">
                        <w:pPr>
                          <w:spacing w:before="0"/>
                          <w:jc w:val="left"/>
                          <w:rPr>
                            <w:i/>
                            <w:color w:val="000000" w:themeColor="text1"/>
                            <w:sz w:val="20"/>
                          </w:rPr>
                        </w:pPr>
                        <w:r w:rsidRPr="003F7C22">
                          <w:rPr>
                            <w:i/>
                            <w:color w:val="000000" w:themeColor="text1"/>
                            <w:sz w:val="20"/>
                          </w:rPr>
                          <w:t>organisatorische und administrative Vorkehrungen für den Umgang mit Vorfällen, die die ordnungsmäßige Durchführung der Prüfungstätigkeiten beeinträchtigen können, und für die Dokumentation dieser Vorfälle,</w:t>
                        </w:r>
                      </w:p>
                    </w:tc>
                  </w:tr>
                  <w:tr w:rsidR="00FC0710" w:rsidRPr="003F7C22" w:rsidTr="00C8318C">
                    <w:trPr>
                      <w:tblCellSpacing w:w="15" w:type="dxa"/>
                    </w:trPr>
                    <w:tc>
                      <w:tcPr>
                        <w:tcW w:w="135" w:type="dxa"/>
                        <w:vMerge/>
                        <w:shd w:val="clear" w:color="auto" w:fill="FF0000"/>
                      </w:tcPr>
                      <w:p w:rsidR="00FC0710" w:rsidRPr="003F7C22" w:rsidRDefault="00FC0710" w:rsidP="00C8318C">
                        <w:pPr>
                          <w:spacing w:before="0"/>
                          <w:jc w:val="left"/>
                          <w:rPr>
                            <w:i/>
                            <w:color w:val="000000" w:themeColor="text1"/>
                            <w:sz w:val="20"/>
                          </w:rPr>
                        </w:pPr>
                      </w:p>
                    </w:tc>
                    <w:tc>
                      <w:tcPr>
                        <w:tcW w:w="98" w:type="dxa"/>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7. </w:t>
                        </w:r>
                      </w:p>
                    </w:tc>
                    <w:tc>
                      <w:tcPr>
                        <w:tcW w:w="0" w:type="auto"/>
                        <w:vAlign w:val="center"/>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Verfahren, die es den Mitarbeitern unter Wahrung der Vertraulichkeit ihrer Identität ermöglichen, potenzielle oder tatsächliche Verstöße gegen die </w:t>
                        </w:r>
                        <w:hyperlink r:id="rId14" w:history="1">
                          <w:r w:rsidRPr="003F7C22">
                            <w:rPr>
                              <w:i/>
                              <w:color w:val="000000" w:themeColor="text1"/>
                              <w:sz w:val="20"/>
                            </w:rPr>
                            <w:t>Verordnung (EU) Nr. 537/2014</w:t>
                          </w:r>
                        </w:hyperlink>
                        <w:r w:rsidRPr="003F7C22">
                          <w:rPr>
                            <w:i/>
                            <w:color w:val="000000" w:themeColor="text1"/>
                            <w:sz w:val="20"/>
                          </w:rPr>
                          <w:t xml:space="preserve"> oder gegen Berufspflichten sowie etwaige strafbare Handlungen oder Ordnungswidrigkeiten innerhalb der Praxis an geeignete Stellen zu berichten,</w:t>
                        </w:r>
                      </w:p>
                    </w:tc>
                  </w:tr>
                  <w:tr w:rsidR="00FC0710" w:rsidRPr="003F7C22" w:rsidTr="00C8318C">
                    <w:trPr>
                      <w:tblCellSpacing w:w="15" w:type="dxa"/>
                    </w:trPr>
                    <w:tc>
                      <w:tcPr>
                        <w:tcW w:w="135" w:type="dxa"/>
                        <w:vMerge/>
                        <w:shd w:val="clear" w:color="auto" w:fill="FF0000"/>
                      </w:tcPr>
                      <w:p w:rsidR="00FC0710" w:rsidRPr="003F7C22" w:rsidRDefault="00FC0710" w:rsidP="00C8318C">
                        <w:pPr>
                          <w:spacing w:before="0"/>
                          <w:jc w:val="left"/>
                          <w:rPr>
                            <w:i/>
                            <w:color w:val="000000" w:themeColor="text1"/>
                            <w:sz w:val="20"/>
                          </w:rPr>
                        </w:pPr>
                      </w:p>
                    </w:tc>
                    <w:tc>
                      <w:tcPr>
                        <w:tcW w:w="98" w:type="dxa"/>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8. </w:t>
                        </w:r>
                      </w:p>
                    </w:tc>
                    <w:tc>
                      <w:tcPr>
                        <w:tcW w:w="0" w:type="auto"/>
                        <w:vAlign w:val="center"/>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Grundsätze der Vergütung und Gewinnbeteiligung nach § </w:t>
                        </w:r>
                        <w:hyperlink r:id="rId15" w:history="1">
                          <w:r w:rsidRPr="003F7C22">
                            <w:rPr>
                              <w:i/>
                              <w:color w:val="000000" w:themeColor="text1"/>
                              <w:sz w:val="20"/>
                            </w:rPr>
                            <w:t>55</w:t>
                          </w:r>
                        </w:hyperlink>
                        <w:r w:rsidRPr="003F7C22">
                          <w:rPr>
                            <w:i/>
                            <w:color w:val="000000" w:themeColor="text1"/>
                            <w:sz w:val="20"/>
                          </w:rPr>
                          <w:t xml:space="preserve"> und</w:t>
                        </w:r>
                      </w:p>
                    </w:tc>
                  </w:tr>
                  <w:tr w:rsidR="00FC0710" w:rsidRPr="003F7C22" w:rsidTr="00C8318C">
                    <w:trPr>
                      <w:tblCellSpacing w:w="15" w:type="dxa"/>
                    </w:trPr>
                    <w:tc>
                      <w:tcPr>
                        <w:tcW w:w="135" w:type="dxa"/>
                        <w:vMerge/>
                        <w:shd w:val="clear" w:color="auto" w:fill="FF0000"/>
                      </w:tcPr>
                      <w:p w:rsidR="00FC0710" w:rsidRPr="003F7C22" w:rsidRDefault="00FC0710" w:rsidP="00C8318C">
                        <w:pPr>
                          <w:spacing w:before="0"/>
                          <w:jc w:val="left"/>
                          <w:rPr>
                            <w:i/>
                            <w:color w:val="000000" w:themeColor="text1"/>
                            <w:sz w:val="20"/>
                          </w:rPr>
                        </w:pPr>
                      </w:p>
                    </w:tc>
                    <w:tc>
                      <w:tcPr>
                        <w:tcW w:w="98" w:type="dxa"/>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9. </w:t>
                        </w:r>
                      </w:p>
                    </w:tc>
                    <w:tc>
                      <w:tcPr>
                        <w:tcW w:w="0" w:type="auto"/>
                        <w:vAlign w:val="center"/>
                        <w:hideMark/>
                      </w:tcPr>
                      <w:p w:rsidR="00FC0710" w:rsidRPr="003F7C22" w:rsidRDefault="00FC0710" w:rsidP="00C8318C">
                        <w:pPr>
                          <w:spacing w:before="0"/>
                          <w:jc w:val="left"/>
                          <w:rPr>
                            <w:i/>
                            <w:color w:val="000000" w:themeColor="text1"/>
                            <w:sz w:val="20"/>
                          </w:rPr>
                        </w:pPr>
                        <w:r w:rsidRPr="003F7C22">
                          <w:rPr>
                            <w:i/>
                            <w:color w:val="000000" w:themeColor="text1"/>
                            <w:sz w:val="20"/>
                          </w:rPr>
                          <w:t>Grundsätze und Verfahren, die gewährleisten, dass im Fall der Auslagerung wichtiger Prüfungstätigkeiten die interne Qualitätssicherung und die Berufsaufsicht nicht beeinträchtigt werden.</w:t>
                        </w:r>
                      </w:p>
                    </w:tc>
                  </w:tr>
                </w:tbl>
                <w:p w:rsidR="00FC0710" w:rsidRDefault="00FC0710" w:rsidP="00C8318C">
                  <w:pPr>
                    <w:spacing w:before="0"/>
                    <w:jc w:val="left"/>
                    <w:rPr>
                      <w:i/>
                      <w:color w:val="000000" w:themeColor="text1"/>
                      <w:sz w:val="20"/>
                    </w:rPr>
                  </w:pPr>
                </w:p>
                <w:p w:rsidR="00FC0710" w:rsidRPr="006539E4" w:rsidRDefault="00FC0710" w:rsidP="00C8318C">
                  <w:pPr>
                    <w:spacing w:before="0"/>
                    <w:jc w:val="left"/>
                    <w:rPr>
                      <w:i/>
                      <w:color w:val="000000" w:themeColor="text1"/>
                      <w:sz w:val="18"/>
                      <w:szCs w:val="18"/>
                    </w:rPr>
                  </w:pPr>
                </w:p>
                <w:p w:rsidR="00FC0710" w:rsidRDefault="00FC0710" w:rsidP="00C8318C">
                  <w:pPr>
                    <w:spacing w:before="0"/>
                    <w:jc w:val="left"/>
                    <w:rPr>
                      <w:b/>
                      <w:i/>
                      <w:color w:val="00B0F0"/>
                      <w:sz w:val="20"/>
                    </w:rPr>
                  </w:pPr>
                  <w:r w:rsidRPr="003F7C22">
                    <w:rPr>
                      <w:i/>
                      <w:color w:val="000000" w:themeColor="text1"/>
                      <w:sz w:val="20"/>
                    </w:rPr>
                    <w:t xml:space="preserve">(3) Im Rahmen der Überwachung nach Absatz 1 Satz 1 haben Berufsangehörige, die Abschlussprüfungen nach § </w:t>
                  </w:r>
                  <w:hyperlink r:id="rId16" w:history="1">
                    <w:r w:rsidRPr="003F7C22">
                      <w:rPr>
                        <w:i/>
                        <w:color w:val="000000" w:themeColor="text1"/>
                        <w:sz w:val="20"/>
                      </w:rPr>
                      <w:t>316</w:t>
                    </w:r>
                  </w:hyperlink>
                  <w:r w:rsidRPr="003F7C22">
                    <w:rPr>
                      <w:i/>
                      <w:color w:val="000000" w:themeColor="text1"/>
                      <w:sz w:val="20"/>
                    </w:rPr>
                    <w:t xml:space="preserve"> des Handelsgesetzbuchs durchführen, das interne Qualitätssicherungssystem </w:t>
                  </w:r>
                  <w:r w:rsidRPr="00F74BEB">
                    <w:rPr>
                      <w:b/>
                      <w:i/>
                      <w:color w:val="00B0F0"/>
                      <w:sz w:val="20"/>
                    </w:rPr>
                    <w:t xml:space="preserve">zumindest hinsichtlich der </w:t>
                  </w:r>
                </w:p>
                <w:p w:rsidR="00FC0710" w:rsidRPr="00F74BEB" w:rsidRDefault="00FC0710" w:rsidP="00FC0710">
                  <w:pPr>
                    <w:pStyle w:val="Listenabsatz"/>
                    <w:numPr>
                      <w:ilvl w:val="0"/>
                      <w:numId w:val="23"/>
                    </w:numPr>
                    <w:spacing w:before="0"/>
                    <w:jc w:val="left"/>
                    <w:rPr>
                      <w:i/>
                      <w:color w:val="000000" w:themeColor="text1"/>
                      <w:sz w:val="20"/>
                    </w:rPr>
                  </w:pPr>
                  <w:r w:rsidRPr="00F74BEB">
                    <w:rPr>
                      <w:b/>
                      <w:i/>
                      <w:color w:val="00B0F0"/>
                      <w:sz w:val="20"/>
                    </w:rPr>
                    <w:t>Grundsätze und Verfahren für die Abschlussprüfung</w:t>
                  </w:r>
                  <w:r w:rsidRPr="00F74BEB">
                    <w:rPr>
                      <w:i/>
                      <w:color w:val="000000" w:themeColor="text1"/>
                      <w:sz w:val="20"/>
                    </w:rPr>
                    <w:t xml:space="preserve">, für die </w:t>
                  </w:r>
                </w:p>
                <w:p w:rsidR="00FC0710" w:rsidRPr="00F74BEB" w:rsidRDefault="00FC0710" w:rsidP="00FC0710">
                  <w:pPr>
                    <w:pStyle w:val="Listenabsatz"/>
                    <w:numPr>
                      <w:ilvl w:val="0"/>
                      <w:numId w:val="23"/>
                    </w:numPr>
                    <w:spacing w:before="0"/>
                    <w:jc w:val="left"/>
                    <w:rPr>
                      <w:b/>
                      <w:i/>
                      <w:color w:val="00B0F0"/>
                      <w:sz w:val="20"/>
                    </w:rPr>
                  </w:pPr>
                  <w:r w:rsidRPr="00F74BEB">
                    <w:rPr>
                      <w:b/>
                      <w:i/>
                      <w:color w:val="00B0F0"/>
                      <w:sz w:val="20"/>
                    </w:rPr>
                    <w:t xml:space="preserve">Fortbildung, </w:t>
                  </w:r>
                </w:p>
                <w:p w:rsidR="00FC0710" w:rsidRPr="00F74BEB" w:rsidRDefault="00FC0710" w:rsidP="00FC0710">
                  <w:pPr>
                    <w:pStyle w:val="Listenabsatz"/>
                    <w:numPr>
                      <w:ilvl w:val="0"/>
                      <w:numId w:val="23"/>
                    </w:numPr>
                    <w:spacing w:before="0"/>
                    <w:jc w:val="left"/>
                    <w:rPr>
                      <w:b/>
                      <w:i/>
                      <w:color w:val="00B0F0"/>
                      <w:sz w:val="20"/>
                    </w:rPr>
                  </w:pPr>
                  <w:r w:rsidRPr="00F74BEB">
                    <w:rPr>
                      <w:b/>
                      <w:i/>
                      <w:color w:val="00B0F0"/>
                      <w:sz w:val="20"/>
                    </w:rPr>
                    <w:t xml:space="preserve">Anleitung und </w:t>
                  </w:r>
                </w:p>
                <w:p w:rsidR="00FC0710" w:rsidRDefault="00FC0710" w:rsidP="00FC0710">
                  <w:pPr>
                    <w:pStyle w:val="Listenabsatz"/>
                    <w:numPr>
                      <w:ilvl w:val="0"/>
                      <w:numId w:val="23"/>
                    </w:numPr>
                    <w:spacing w:before="0"/>
                    <w:jc w:val="left"/>
                    <w:rPr>
                      <w:i/>
                      <w:color w:val="000000" w:themeColor="text1"/>
                      <w:sz w:val="20"/>
                    </w:rPr>
                  </w:pPr>
                  <w:r w:rsidRPr="00F74BEB">
                    <w:rPr>
                      <w:b/>
                      <w:i/>
                      <w:color w:val="00B0F0"/>
                      <w:sz w:val="20"/>
                    </w:rPr>
                    <w:t>Kontrolle</w:t>
                  </w:r>
                  <w:r w:rsidRPr="00F74BEB">
                    <w:rPr>
                      <w:i/>
                      <w:color w:val="00B0F0"/>
                      <w:sz w:val="20"/>
                    </w:rPr>
                    <w:t xml:space="preserve"> </w:t>
                  </w:r>
                  <w:r w:rsidRPr="00F74BEB">
                    <w:rPr>
                      <w:i/>
                      <w:color w:val="000000" w:themeColor="text1"/>
                      <w:sz w:val="20"/>
                    </w:rPr>
                    <w:t xml:space="preserve">der Mitarbeiter sowie für die </w:t>
                  </w:r>
                  <w:r w:rsidRPr="00F74BEB">
                    <w:rPr>
                      <w:b/>
                      <w:i/>
                      <w:color w:val="00B0F0"/>
                      <w:sz w:val="20"/>
                    </w:rPr>
                    <w:t>Handakte</w:t>
                  </w:r>
                  <w:r w:rsidRPr="00F74BEB">
                    <w:rPr>
                      <w:i/>
                      <w:color w:val="00B0F0"/>
                      <w:sz w:val="20"/>
                    </w:rPr>
                    <w:t xml:space="preserve"> </w:t>
                  </w:r>
                  <w:r w:rsidRPr="00F74BEB">
                    <w:rPr>
                      <w:i/>
                      <w:color w:val="000000" w:themeColor="text1"/>
                      <w:sz w:val="20"/>
                    </w:rPr>
                    <w:t xml:space="preserve">einmal jährlich zu bewerten. </w:t>
                  </w:r>
                </w:p>
                <w:p w:rsidR="00FC0710" w:rsidRPr="00A65E3A" w:rsidRDefault="00FC0710" w:rsidP="00FC0710">
                  <w:pPr>
                    <w:pStyle w:val="Listenabsatz"/>
                    <w:numPr>
                      <w:ilvl w:val="0"/>
                      <w:numId w:val="23"/>
                    </w:numPr>
                    <w:spacing w:before="0"/>
                    <w:jc w:val="left"/>
                    <w:rPr>
                      <w:i/>
                      <w:color w:val="000000" w:themeColor="text1"/>
                      <w:sz w:val="20"/>
                    </w:rPr>
                  </w:pPr>
                  <w:r w:rsidRPr="00A65E3A">
                    <w:rPr>
                      <w:i/>
                      <w:color w:val="000000" w:themeColor="text1"/>
                      <w:sz w:val="20"/>
                    </w:rPr>
                    <w:t xml:space="preserve">Im Fall von </w:t>
                  </w:r>
                  <w:r w:rsidRPr="00A65E3A">
                    <w:rPr>
                      <w:b/>
                      <w:i/>
                      <w:color w:val="00B0F0"/>
                      <w:sz w:val="20"/>
                    </w:rPr>
                    <w:t>Mängeln des internen Qualitätssicherungssystems</w:t>
                  </w:r>
                  <w:r>
                    <w:rPr>
                      <w:b/>
                      <w:i/>
                      <w:color w:val="00B0F0"/>
                      <w:sz w:val="20"/>
                    </w:rPr>
                    <w:t xml:space="preserve"> </w:t>
                  </w:r>
                  <w:r w:rsidRPr="00A65E3A">
                    <w:rPr>
                      <w:i/>
                      <w:color w:val="000000" w:themeColor="text1"/>
                      <w:sz w:val="20"/>
                    </w:rPr>
                    <w:t xml:space="preserve">haben sie die zu deren Behebung erforderlichen Maßnahmen zu ergreifen. Die Berufsangehörigen haben </w:t>
                  </w:r>
                  <w:r w:rsidRPr="00A65E3A">
                    <w:rPr>
                      <w:b/>
                      <w:i/>
                      <w:color w:val="FF0000"/>
                      <w:sz w:val="20"/>
                    </w:rPr>
                    <w:t>einmal</w:t>
                  </w:r>
                  <w:r w:rsidRPr="00A65E3A">
                    <w:rPr>
                      <w:i/>
                      <w:color w:val="FF0000"/>
                      <w:sz w:val="20"/>
                    </w:rPr>
                    <w:t xml:space="preserve"> </w:t>
                  </w:r>
                  <w:r w:rsidRPr="00A65E3A">
                    <w:rPr>
                      <w:b/>
                      <w:i/>
                      <w:color w:val="FF0000"/>
                      <w:sz w:val="20"/>
                    </w:rPr>
                    <w:t>jährlich</w:t>
                  </w:r>
                  <w:r w:rsidRPr="00A65E3A">
                    <w:rPr>
                      <w:i/>
                      <w:color w:val="FF0000"/>
                      <w:sz w:val="20"/>
                    </w:rPr>
                    <w:t xml:space="preserve"> </w:t>
                  </w:r>
                  <w:r w:rsidRPr="00A65E3A">
                    <w:rPr>
                      <w:i/>
                      <w:color w:val="000000" w:themeColor="text1"/>
                      <w:sz w:val="20"/>
                    </w:rPr>
                    <w:t xml:space="preserve">in einem </w:t>
                  </w:r>
                  <w:r w:rsidRPr="00A65E3A">
                    <w:rPr>
                      <w:b/>
                      <w:i/>
                      <w:color w:val="FF0000"/>
                      <w:sz w:val="20"/>
                    </w:rPr>
                    <w:t>Bericht</w:t>
                  </w:r>
                  <w:r w:rsidRPr="00A65E3A">
                    <w:rPr>
                      <w:i/>
                      <w:color w:val="FF0000"/>
                      <w:sz w:val="20"/>
                    </w:rPr>
                    <w:t xml:space="preserve"> </w:t>
                  </w:r>
                  <w:r w:rsidRPr="00A65E3A">
                    <w:rPr>
                      <w:i/>
                      <w:color w:val="000000" w:themeColor="text1"/>
                      <w:sz w:val="20"/>
                    </w:rPr>
                    <w:t>zu dokumentieren:</w:t>
                  </w:r>
                </w:p>
                <w:p w:rsidR="00FC0710" w:rsidRPr="003F7C22" w:rsidRDefault="00FC0710" w:rsidP="00C8318C">
                  <w:pPr>
                    <w:spacing w:before="0"/>
                    <w:jc w:val="left"/>
                    <w:rPr>
                      <w:i/>
                      <w:color w:val="000000" w:themeColor="text1"/>
                      <w:sz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
                    <w:gridCol w:w="227"/>
                    <w:gridCol w:w="7604"/>
                  </w:tblGrid>
                  <w:tr w:rsidR="00FC0710" w:rsidRPr="003F7C22" w:rsidTr="00C8318C">
                    <w:trPr>
                      <w:tblCellSpacing w:w="15" w:type="dxa"/>
                    </w:trPr>
                    <w:tc>
                      <w:tcPr>
                        <w:tcW w:w="180" w:type="dxa"/>
                        <w:vMerge w:val="restart"/>
                        <w:shd w:val="clear" w:color="auto" w:fill="FF0000"/>
                        <w:vAlign w:val="center"/>
                        <w:hideMark/>
                      </w:tcPr>
                      <w:p w:rsidR="00FC0710" w:rsidRPr="003F7C22" w:rsidRDefault="00FC0710" w:rsidP="00C8318C">
                        <w:pPr>
                          <w:spacing w:before="0"/>
                          <w:jc w:val="left"/>
                          <w:rPr>
                            <w:i/>
                            <w:color w:val="000000" w:themeColor="text1"/>
                            <w:sz w:val="20"/>
                          </w:rPr>
                        </w:pPr>
                      </w:p>
                    </w:tc>
                    <w:tc>
                      <w:tcPr>
                        <w:tcW w:w="0" w:type="auto"/>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1. </w:t>
                        </w:r>
                      </w:p>
                    </w:tc>
                    <w:tc>
                      <w:tcPr>
                        <w:tcW w:w="0" w:type="auto"/>
                        <w:vAlign w:val="center"/>
                        <w:hideMark/>
                      </w:tcPr>
                      <w:p w:rsidR="00FC0710" w:rsidRPr="003F7C22" w:rsidRDefault="00FC0710" w:rsidP="00C8318C">
                        <w:pPr>
                          <w:spacing w:before="0"/>
                          <w:jc w:val="left"/>
                          <w:rPr>
                            <w:i/>
                            <w:color w:val="000000" w:themeColor="text1"/>
                            <w:sz w:val="20"/>
                          </w:rPr>
                        </w:pPr>
                        <w:r w:rsidRPr="003F7C22">
                          <w:rPr>
                            <w:i/>
                            <w:color w:val="000000" w:themeColor="text1"/>
                            <w:sz w:val="20"/>
                          </w:rPr>
                          <w:t>die Ergebnisse der Bewertung nach Satz 1,</w:t>
                        </w:r>
                      </w:p>
                    </w:tc>
                  </w:tr>
                  <w:tr w:rsidR="00FC0710" w:rsidRPr="003F7C22" w:rsidTr="00C8318C">
                    <w:trPr>
                      <w:tblCellSpacing w:w="15" w:type="dxa"/>
                    </w:trPr>
                    <w:tc>
                      <w:tcPr>
                        <w:tcW w:w="180" w:type="dxa"/>
                        <w:vMerge/>
                        <w:shd w:val="clear" w:color="auto" w:fill="FF0000"/>
                        <w:vAlign w:val="center"/>
                        <w:hideMark/>
                      </w:tcPr>
                      <w:p w:rsidR="00FC0710" w:rsidRPr="003F7C22" w:rsidRDefault="00FC0710" w:rsidP="00C8318C">
                        <w:pPr>
                          <w:spacing w:before="0"/>
                          <w:jc w:val="left"/>
                          <w:rPr>
                            <w:i/>
                            <w:color w:val="000000" w:themeColor="text1"/>
                            <w:sz w:val="20"/>
                          </w:rPr>
                        </w:pPr>
                      </w:p>
                    </w:tc>
                    <w:tc>
                      <w:tcPr>
                        <w:tcW w:w="0" w:type="auto"/>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2. </w:t>
                        </w:r>
                      </w:p>
                    </w:tc>
                    <w:tc>
                      <w:tcPr>
                        <w:tcW w:w="0" w:type="auto"/>
                        <w:vAlign w:val="center"/>
                        <w:hideMark/>
                      </w:tcPr>
                      <w:p w:rsidR="00FC0710" w:rsidRPr="003F7C22" w:rsidRDefault="00FC0710" w:rsidP="00C8318C">
                        <w:pPr>
                          <w:spacing w:before="0"/>
                          <w:jc w:val="left"/>
                          <w:rPr>
                            <w:i/>
                            <w:color w:val="000000" w:themeColor="text1"/>
                            <w:sz w:val="20"/>
                          </w:rPr>
                        </w:pPr>
                        <w:r w:rsidRPr="003F7C22">
                          <w:rPr>
                            <w:i/>
                            <w:color w:val="000000" w:themeColor="text1"/>
                            <w:sz w:val="20"/>
                          </w:rPr>
                          <w:t>Maßnahmen, die nach Satz 2 ergriffen oder vorgeschlagen wurden,</w:t>
                        </w:r>
                      </w:p>
                    </w:tc>
                  </w:tr>
                  <w:tr w:rsidR="00FC0710" w:rsidRPr="003F7C22" w:rsidTr="00C8318C">
                    <w:trPr>
                      <w:tblCellSpacing w:w="15" w:type="dxa"/>
                    </w:trPr>
                    <w:tc>
                      <w:tcPr>
                        <w:tcW w:w="180" w:type="dxa"/>
                        <w:vMerge/>
                        <w:shd w:val="clear" w:color="auto" w:fill="FF0000"/>
                        <w:vAlign w:val="center"/>
                        <w:hideMark/>
                      </w:tcPr>
                      <w:p w:rsidR="00FC0710" w:rsidRPr="003F7C22" w:rsidRDefault="00FC0710" w:rsidP="00C8318C">
                        <w:pPr>
                          <w:spacing w:before="0"/>
                          <w:jc w:val="left"/>
                          <w:rPr>
                            <w:i/>
                            <w:color w:val="000000" w:themeColor="text1"/>
                            <w:sz w:val="20"/>
                          </w:rPr>
                        </w:pPr>
                      </w:p>
                    </w:tc>
                    <w:tc>
                      <w:tcPr>
                        <w:tcW w:w="0" w:type="auto"/>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3. </w:t>
                        </w:r>
                      </w:p>
                    </w:tc>
                    <w:tc>
                      <w:tcPr>
                        <w:tcW w:w="0" w:type="auto"/>
                        <w:vAlign w:val="center"/>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Verstöße gegen Berufspflichten oder gegen die </w:t>
                        </w:r>
                        <w:hyperlink r:id="rId17" w:history="1">
                          <w:r w:rsidRPr="003F7C22">
                            <w:rPr>
                              <w:i/>
                              <w:color w:val="000000" w:themeColor="text1"/>
                              <w:sz w:val="20"/>
                            </w:rPr>
                            <w:t>Verordnung (EU) Nr. 537/2014</w:t>
                          </w:r>
                        </w:hyperlink>
                        <w:r w:rsidRPr="003F7C22">
                          <w:rPr>
                            <w:i/>
                            <w:color w:val="000000" w:themeColor="text1"/>
                            <w:sz w:val="20"/>
                          </w:rPr>
                          <w:t>, soweit diese nicht nur geringfügig sind, sowie</w:t>
                        </w:r>
                      </w:p>
                    </w:tc>
                  </w:tr>
                  <w:tr w:rsidR="00FC0710" w:rsidRPr="003F7C22" w:rsidTr="00C8318C">
                    <w:trPr>
                      <w:tblCellSpacing w:w="15" w:type="dxa"/>
                    </w:trPr>
                    <w:tc>
                      <w:tcPr>
                        <w:tcW w:w="180" w:type="dxa"/>
                        <w:vMerge/>
                        <w:shd w:val="clear" w:color="auto" w:fill="FF0000"/>
                        <w:vAlign w:val="center"/>
                        <w:hideMark/>
                      </w:tcPr>
                      <w:p w:rsidR="00FC0710" w:rsidRPr="003F7C22" w:rsidRDefault="00FC0710" w:rsidP="00C8318C">
                        <w:pPr>
                          <w:spacing w:before="0"/>
                          <w:jc w:val="left"/>
                          <w:rPr>
                            <w:i/>
                            <w:color w:val="000000" w:themeColor="text1"/>
                            <w:sz w:val="20"/>
                          </w:rPr>
                        </w:pPr>
                      </w:p>
                    </w:tc>
                    <w:tc>
                      <w:tcPr>
                        <w:tcW w:w="0" w:type="auto"/>
                        <w:hideMark/>
                      </w:tcPr>
                      <w:p w:rsidR="00FC0710" w:rsidRPr="003F7C22" w:rsidRDefault="00FC0710" w:rsidP="00C8318C">
                        <w:pPr>
                          <w:spacing w:before="0"/>
                          <w:jc w:val="left"/>
                          <w:rPr>
                            <w:i/>
                            <w:color w:val="000000" w:themeColor="text1"/>
                            <w:sz w:val="20"/>
                          </w:rPr>
                        </w:pPr>
                        <w:r w:rsidRPr="003F7C22">
                          <w:rPr>
                            <w:i/>
                            <w:color w:val="000000" w:themeColor="text1"/>
                            <w:sz w:val="20"/>
                          </w:rPr>
                          <w:t xml:space="preserve">4. </w:t>
                        </w:r>
                      </w:p>
                    </w:tc>
                    <w:tc>
                      <w:tcPr>
                        <w:tcW w:w="0" w:type="auto"/>
                        <w:vAlign w:val="center"/>
                        <w:hideMark/>
                      </w:tcPr>
                      <w:p w:rsidR="00FC0710" w:rsidRPr="003F7C22" w:rsidRDefault="00FC0710" w:rsidP="00C8318C">
                        <w:pPr>
                          <w:spacing w:before="0"/>
                          <w:jc w:val="left"/>
                          <w:rPr>
                            <w:i/>
                            <w:color w:val="000000" w:themeColor="text1"/>
                            <w:sz w:val="20"/>
                          </w:rPr>
                        </w:pPr>
                        <w:r w:rsidRPr="003F7C22">
                          <w:rPr>
                            <w:i/>
                            <w:color w:val="000000" w:themeColor="text1"/>
                            <w:sz w:val="20"/>
                          </w:rPr>
                          <w:t>die aus Verstößen nach Nummer 3 erwachsenden Folgen und die zur Behebung der Verstöße ergriffenen Maßnahmen.</w:t>
                        </w:r>
                      </w:p>
                    </w:tc>
                  </w:tr>
                </w:tbl>
                <w:p w:rsidR="00FC0710" w:rsidRPr="003F7C22" w:rsidRDefault="00FC0710" w:rsidP="00C8318C">
                  <w:pPr>
                    <w:spacing w:before="100" w:beforeAutospacing="1" w:after="100" w:afterAutospacing="1"/>
                    <w:jc w:val="left"/>
                    <w:rPr>
                      <w:i/>
                      <w:color w:val="000000" w:themeColor="text1"/>
                      <w:sz w:val="20"/>
                    </w:rPr>
                  </w:pPr>
                  <w:r w:rsidRPr="003F7C22">
                    <w:rPr>
                      <w:i/>
                      <w:color w:val="000000" w:themeColor="text1"/>
                      <w:sz w:val="20"/>
                    </w:rPr>
                    <w:t>(4) Bei Wirtschaftsprüfungsgesellschaften, die gesetzlich vorgeschriebene Abschlussprüfungen durchführen, liegt die Verantwortung für das interne Qualitätssicherungssystem bei Berufsangehörigen, vereidigten Buchprüfern oder vereidigten Buchprüferinnen oder EU- oder EWR-Abschlussprüfern.</w:t>
                  </w:r>
                  <w:r>
                    <w:rPr>
                      <w:i/>
                      <w:color w:val="000000" w:themeColor="text1"/>
                      <w:sz w:val="20"/>
                    </w:rPr>
                    <w:t>“</w:t>
                  </w:r>
                </w:p>
              </w:tc>
            </w:tr>
            <w:tr w:rsidR="00FC0710" w:rsidRPr="003F7C22" w:rsidTr="00C8318C">
              <w:tc>
                <w:tcPr>
                  <w:tcW w:w="9207" w:type="dxa"/>
                </w:tcPr>
                <w:p w:rsidR="00FC0710" w:rsidRPr="003F7C22" w:rsidRDefault="00FC0710" w:rsidP="00C8318C">
                  <w:pPr>
                    <w:spacing w:before="0"/>
                    <w:rPr>
                      <w:i/>
                      <w:color w:val="000000" w:themeColor="text1"/>
                      <w:sz w:val="20"/>
                    </w:rPr>
                  </w:pPr>
                </w:p>
              </w:tc>
            </w:tr>
            <w:tr w:rsidR="00FC0710" w:rsidRPr="003F7C22" w:rsidTr="00C8318C">
              <w:tc>
                <w:tcPr>
                  <w:tcW w:w="9207" w:type="dxa"/>
                  <w:shd w:val="clear" w:color="auto" w:fill="D9D9D9" w:themeFill="background1" w:themeFillShade="D9"/>
                </w:tcPr>
                <w:p w:rsidR="00FC0710" w:rsidRPr="003F7C22" w:rsidRDefault="00FC0710" w:rsidP="00C8318C">
                  <w:pPr>
                    <w:spacing w:before="0"/>
                    <w:jc w:val="center"/>
                    <w:rPr>
                      <w:i/>
                      <w:color w:val="000000" w:themeColor="text1"/>
                      <w:sz w:val="20"/>
                    </w:rPr>
                  </w:pPr>
                  <w:r w:rsidRPr="003F7C22">
                    <w:rPr>
                      <w:i/>
                      <w:color w:val="000000" w:themeColor="text1"/>
                      <w:sz w:val="20"/>
                    </w:rPr>
                    <w:t>Berufssatzung WP/vBP</w:t>
                  </w:r>
                </w:p>
              </w:tc>
            </w:tr>
            <w:tr w:rsidR="00FC0710" w:rsidRPr="003F7C22" w:rsidTr="00C8318C">
              <w:tc>
                <w:tcPr>
                  <w:tcW w:w="9207" w:type="dxa"/>
                </w:tcPr>
                <w:p w:rsidR="00FC0710" w:rsidRPr="003F7C22" w:rsidRDefault="00FC0710" w:rsidP="00C8318C">
                  <w:pPr>
                    <w:spacing w:before="0"/>
                    <w:jc w:val="center"/>
                    <w:rPr>
                      <w:b/>
                      <w:i/>
                      <w:color w:val="000000" w:themeColor="text1"/>
                      <w:sz w:val="20"/>
                    </w:rPr>
                  </w:pPr>
                  <w:r w:rsidRPr="00F74BEB">
                    <w:rPr>
                      <w:b/>
                      <w:i/>
                      <w:color w:val="000000" w:themeColor="text1"/>
                      <w:sz w:val="20"/>
                    </w:rPr>
                    <w:t>„</w:t>
                  </w:r>
                  <w:r w:rsidRPr="00F74BEB">
                    <w:rPr>
                      <w:b/>
                      <w:i/>
                      <w:color w:val="00B0F0"/>
                      <w:sz w:val="20"/>
                    </w:rPr>
                    <w:t>§ 49 Nachschau</w:t>
                  </w:r>
                  <w:r>
                    <w:rPr>
                      <w:rStyle w:val="Funotenzeichen"/>
                      <w:b/>
                      <w:i/>
                      <w:color w:val="00B0F0"/>
                      <w:sz w:val="20"/>
                    </w:rPr>
                    <w:footnoteReference w:id="1"/>
                  </w:r>
                </w:p>
              </w:tc>
            </w:tr>
            <w:tr w:rsidR="00FC0710" w:rsidRPr="003F7C22" w:rsidTr="00C8318C">
              <w:tc>
                <w:tcPr>
                  <w:tcW w:w="9207" w:type="dxa"/>
                </w:tcPr>
                <w:p w:rsidR="00FC0710" w:rsidRPr="00F74BEB" w:rsidRDefault="00FC0710" w:rsidP="00C8318C">
                  <w:pPr>
                    <w:autoSpaceDE w:val="0"/>
                    <w:autoSpaceDN w:val="0"/>
                    <w:adjustRightInd w:val="0"/>
                    <w:spacing w:before="0"/>
                    <w:jc w:val="left"/>
                    <w:rPr>
                      <w:rFonts w:cs="ArialMT"/>
                      <w:i/>
                      <w:color w:val="000000" w:themeColor="text1"/>
                      <w:sz w:val="20"/>
                      <w:szCs w:val="18"/>
                    </w:rPr>
                  </w:pPr>
                  <w:r w:rsidRPr="00F74BEB">
                    <w:rPr>
                      <w:rFonts w:cs="ArialMT"/>
                      <w:i/>
                      <w:color w:val="000000" w:themeColor="text1"/>
                      <w:sz w:val="20"/>
                      <w:szCs w:val="18"/>
                    </w:rPr>
                    <w:t>(1</w:t>
                  </w:r>
                  <w:r>
                    <w:rPr>
                      <w:rFonts w:cs="ArialMT"/>
                      <w:i/>
                      <w:color w:val="000000" w:themeColor="text1"/>
                      <w:sz w:val="20"/>
                      <w:szCs w:val="18"/>
                    </w:rPr>
                    <w:t xml:space="preserve">) </w:t>
                  </w:r>
                  <w:r w:rsidRPr="00F74BEB">
                    <w:rPr>
                      <w:rFonts w:cs="ArialMT"/>
                      <w:i/>
                      <w:color w:val="000000" w:themeColor="text1"/>
                      <w:sz w:val="20"/>
                      <w:szCs w:val="18"/>
                    </w:rPr>
                    <w:t xml:space="preserve">WP/vBP sind verpflichtet, eine </w:t>
                  </w:r>
                  <w:r w:rsidRPr="00F74BEB">
                    <w:rPr>
                      <w:rFonts w:cs="ArialMT"/>
                      <w:b/>
                      <w:i/>
                      <w:color w:val="00B0F0"/>
                      <w:sz w:val="20"/>
                      <w:szCs w:val="18"/>
                    </w:rPr>
                    <w:t>Nachschau</w:t>
                  </w:r>
                  <w:r w:rsidRPr="00F74BEB">
                    <w:rPr>
                      <w:rFonts w:cs="ArialMT"/>
                      <w:i/>
                      <w:color w:val="00B0F0"/>
                      <w:sz w:val="20"/>
                      <w:szCs w:val="18"/>
                    </w:rPr>
                    <w:t xml:space="preserve"> </w:t>
                  </w:r>
                  <w:r w:rsidRPr="00F74BEB">
                    <w:rPr>
                      <w:rFonts w:cs="ArialMT"/>
                      <w:i/>
                      <w:color w:val="000000" w:themeColor="text1"/>
                      <w:sz w:val="20"/>
                      <w:szCs w:val="18"/>
                    </w:rPr>
                    <w:t>mit dem Ziel durchzuführen, die Angemessenheit und Wirksamkeit der Regelungen des Qualitätssicherungssystems zur Abwicklung von Abs</w:t>
                  </w:r>
                  <w:r>
                    <w:rPr>
                      <w:rFonts w:cs="ArialMT"/>
                      <w:i/>
                      <w:color w:val="000000" w:themeColor="text1"/>
                      <w:sz w:val="20"/>
                      <w:szCs w:val="18"/>
                    </w:rPr>
                    <w:t xml:space="preserve">chlussprüfungen zu beurteilen. </w:t>
                  </w:r>
                  <w:r w:rsidRPr="00F74BEB">
                    <w:rPr>
                      <w:rFonts w:cs="ArialMT"/>
                      <w:i/>
                      <w:color w:val="000000" w:themeColor="text1"/>
                      <w:sz w:val="20"/>
                      <w:szCs w:val="18"/>
                    </w:rPr>
                    <w:t>Die Nachschau bezieht sich auf die Frage, ob die Regelungen des Qualitätssicherungssystems zur Abwicklung von Abschlussprüfungen eingehalten wor</w:t>
                  </w:r>
                  <w:r>
                    <w:rPr>
                      <w:rFonts w:cs="ArialMT"/>
                      <w:i/>
                      <w:color w:val="000000" w:themeColor="text1"/>
                      <w:sz w:val="20"/>
                      <w:szCs w:val="18"/>
                    </w:rPr>
                    <w:t xml:space="preserve">den sind. </w:t>
                  </w:r>
                  <w:r w:rsidRPr="00F74BEB">
                    <w:rPr>
                      <w:rFonts w:cs="ArialMT"/>
                      <w:i/>
                      <w:color w:val="000000" w:themeColor="text1"/>
                      <w:sz w:val="20"/>
                      <w:szCs w:val="18"/>
                    </w:rPr>
                    <w:t>Die Nachschau muss in angemessenen Abständen sowie bei gegebenem An</w:t>
                  </w:r>
                  <w:r>
                    <w:rPr>
                      <w:rFonts w:cs="ArialMT"/>
                      <w:i/>
                      <w:color w:val="000000" w:themeColor="text1"/>
                      <w:sz w:val="20"/>
                      <w:szCs w:val="18"/>
                    </w:rPr>
                    <w:t xml:space="preserve">lass stattfinden. </w:t>
                  </w:r>
                  <w:r w:rsidRPr="00F74BEB">
                    <w:rPr>
                      <w:rFonts w:cs="ArialMT"/>
                      <w:i/>
                      <w:color w:val="000000" w:themeColor="text1"/>
                      <w:sz w:val="20"/>
                      <w:szCs w:val="18"/>
                    </w:rPr>
                    <w:t xml:space="preserve">Das </w:t>
                  </w:r>
                  <w:r w:rsidRPr="00A65E3A">
                    <w:rPr>
                      <w:rFonts w:cs="ArialMT"/>
                      <w:b/>
                      <w:i/>
                      <w:color w:val="FF0000"/>
                      <w:sz w:val="20"/>
                      <w:szCs w:val="18"/>
                    </w:rPr>
                    <w:t>Qualitätssicherungssystem</w:t>
                  </w:r>
                  <w:r w:rsidRPr="00A65E3A">
                    <w:rPr>
                      <w:rFonts w:cs="ArialMT"/>
                      <w:i/>
                      <w:color w:val="FF0000"/>
                      <w:sz w:val="20"/>
                      <w:szCs w:val="18"/>
                    </w:rPr>
                    <w:t xml:space="preserve"> </w:t>
                  </w:r>
                  <w:r w:rsidRPr="00F74BEB">
                    <w:rPr>
                      <w:rFonts w:cs="ArialMT"/>
                      <w:i/>
                      <w:color w:val="000000" w:themeColor="text1"/>
                      <w:sz w:val="20"/>
                      <w:szCs w:val="18"/>
                    </w:rPr>
                    <w:t xml:space="preserve">ist hinsichtlich der </w:t>
                  </w:r>
                </w:p>
                <w:p w:rsidR="00FC0710" w:rsidRPr="00F74BEB" w:rsidRDefault="00FC0710" w:rsidP="00FC0710">
                  <w:pPr>
                    <w:pStyle w:val="Listenabsatz"/>
                    <w:numPr>
                      <w:ilvl w:val="0"/>
                      <w:numId w:val="24"/>
                    </w:numPr>
                    <w:ind w:left="464" w:hanging="425"/>
                    <w:rPr>
                      <w:i/>
                      <w:sz w:val="20"/>
                    </w:rPr>
                  </w:pPr>
                  <w:r w:rsidRPr="00F74BEB">
                    <w:rPr>
                      <w:b/>
                      <w:i/>
                      <w:color w:val="00B0F0"/>
                      <w:sz w:val="20"/>
                    </w:rPr>
                    <w:t>Regelungen</w:t>
                  </w:r>
                  <w:r w:rsidRPr="00F74BEB">
                    <w:rPr>
                      <w:i/>
                      <w:color w:val="00B0F0"/>
                      <w:sz w:val="20"/>
                    </w:rPr>
                    <w:t xml:space="preserve"> </w:t>
                  </w:r>
                  <w:r w:rsidRPr="00F74BEB">
                    <w:rPr>
                      <w:b/>
                      <w:i/>
                      <w:color w:val="00B0F0"/>
                      <w:sz w:val="20"/>
                    </w:rPr>
                    <w:t>zur</w:t>
                  </w:r>
                  <w:r w:rsidRPr="00F74BEB">
                    <w:rPr>
                      <w:i/>
                      <w:color w:val="00B0F0"/>
                      <w:sz w:val="20"/>
                    </w:rPr>
                    <w:t xml:space="preserve"> </w:t>
                  </w:r>
                  <w:r w:rsidRPr="00F74BEB">
                    <w:rPr>
                      <w:b/>
                      <w:i/>
                      <w:color w:val="00B0F0"/>
                      <w:sz w:val="20"/>
                    </w:rPr>
                    <w:t>Abwicklung</w:t>
                  </w:r>
                  <w:r w:rsidRPr="00F74BEB">
                    <w:rPr>
                      <w:i/>
                      <w:color w:val="00B0F0"/>
                      <w:sz w:val="20"/>
                    </w:rPr>
                    <w:t xml:space="preserve"> </w:t>
                  </w:r>
                  <w:r w:rsidRPr="00F74BEB">
                    <w:rPr>
                      <w:i/>
                      <w:sz w:val="20"/>
                    </w:rPr>
                    <w:t xml:space="preserve">von Abschlussprüfungen, der </w:t>
                  </w:r>
                </w:p>
                <w:p w:rsidR="00FC0710" w:rsidRPr="00F74BEB" w:rsidRDefault="00FC0710" w:rsidP="00FC0710">
                  <w:pPr>
                    <w:pStyle w:val="Listenabsatz"/>
                    <w:numPr>
                      <w:ilvl w:val="0"/>
                      <w:numId w:val="24"/>
                    </w:numPr>
                    <w:ind w:left="464" w:hanging="425"/>
                    <w:rPr>
                      <w:i/>
                      <w:sz w:val="20"/>
                    </w:rPr>
                  </w:pPr>
                  <w:r w:rsidRPr="00F74BEB">
                    <w:rPr>
                      <w:b/>
                      <w:i/>
                      <w:color w:val="00B0F0"/>
                      <w:sz w:val="20"/>
                    </w:rPr>
                    <w:t>Fortbildung</w:t>
                  </w:r>
                  <w:r w:rsidRPr="00F74BEB">
                    <w:rPr>
                      <w:i/>
                      <w:sz w:val="20"/>
                    </w:rPr>
                    <w:t xml:space="preserve">, </w:t>
                  </w:r>
                </w:p>
                <w:p w:rsidR="00FC0710" w:rsidRPr="00F74BEB" w:rsidRDefault="00FC0710" w:rsidP="00FC0710">
                  <w:pPr>
                    <w:pStyle w:val="Listenabsatz"/>
                    <w:numPr>
                      <w:ilvl w:val="0"/>
                      <w:numId w:val="24"/>
                    </w:numPr>
                    <w:ind w:left="464" w:hanging="425"/>
                    <w:rPr>
                      <w:i/>
                      <w:sz w:val="20"/>
                    </w:rPr>
                  </w:pPr>
                  <w:r w:rsidRPr="00F74BEB">
                    <w:rPr>
                      <w:b/>
                      <w:i/>
                      <w:color w:val="00B0F0"/>
                      <w:sz w:val="20"/>
                    </w:rPr>
                    <w:t>Anleitung</w:t>
                  </w:r>
                  <w:r w:rsidRPr="00F74BEB">
                    <w:rPr>
                      <w:i/>
                      <w:color w:val="00B0F0"/>
                      <w:sz w:val="20"/>
                    </w:rPr>
                    <w:t xml:space="preserve"> </w:t>
                  </w:r>
                  <w:r w:rsidRPr="00F74BEB">
                    <w:rPr>
                      <w:i/>
                      <w:sz w:val="20"/>
                    </w:rPr>
                    <w:t>und</w:t>
                  </w:r>
                </w:p>
                <w:p w:rsidR="00FC0710" w:rsidRPr="00F74BEB" w:rsidRDefault="00FC0710" w:rsidP="00FC0710">
                  <w:pPr>
                    <w:pStyle w:val="Listenabsatz"/>
                    <w:numPr>
                      <w:ilvl w:val="0"/>
                      <w:numId w:val="24"/>
                    </w:numPr>
                    <w:ind w:left="464" w:hanging="425"/>
                    <w:rPr>
                      <w:i/>
                      <w:sz w:val="20"/>
                    </w:rPr>
                  </w:pPr>
                  <w:r w:rsidRPr="00F74BEB">
                    <w:rPr>
                      <w:b/>
                      <w:i/>
                      <w:color w:val="00B0F0"/>
                      <w:sz w:val="20"/>
                    </w:rPr>
                    <w:t>Überwachung</w:t>
                  </w:r>
                  <w:r w:rsidRPr="00F74BEB">
                    <w:rPr>
                      <w:i/>
                      <w:color w:val="00B0F0"/>
                      <w:sz w:val="20"/>
                    </w:rPr>
                    <w:t xml:space="preserve"> </w:t>
                  </w:r>
                  <w:r w:rsidRPr="00F74BEB">
                    <w:rPr>
                      <w:b/>
                      <w:i/>
                      <w:color w:val="00B0F0"/>
                      <w:sz w:val="20"/>
                    </w:rPr>
                    <w:t>der</w:t>
                  </w:r>
                  <w:r w:rsidRPr="00F74BEB">
                    <w:rPr>
                      <w:i/>
                      <w:color w:val="00B0F0"/>
                      <w:sz w:val="20"/>
                    </w:rPr>
                    <w:t xml:space="preserve"> </w:t>
                  </w:r>
                  <w:r w:rsidRPr="00F74BEB">
                    <w:rPr>
                      <w:b/>
                      <w:i/>
                      <w:color w:val="00B0F0"/>
                      <w:sz w:val="20"/>
                    </w:rPr>
                    <w:t>Mitarbeiter</w:t>
                  </w:r>
                  <w:r w:rsidRPr="00F74BEB">
                    <w:rPr>
                      <w:i/>
                      <w:color w:val="00B0F0"/>
                      <w:sz w:val="20"/>
                    </w:rPr>
                    <w:t xml:space="preserve"> </w:t>
                  </w:r>
                  <w:r w:rsidRPr="00F74BEB">
                    <w:rPr>
                      <w:i/>
                      <w:sz w:val="20"/>
                    </w:rPr>
                    <w:t xml:space="preserve">sowie </w:t>
                  </w:r>
                </w:p>
                <w:p w:rsidR="00FC0710" w:rsidRPr="00F74BEB" w:rsidRDefault="00FC0710" w:rsidP="00FC0710">
                  <w:pPr>
                    <w:pStyle w:val="Listenabsatz"/>
                    <w:numPr>
                      <w:ilvl w:val="0"/>
                      <w:numId w:val="24"/>
                    </w:numPr>
                    <w:ind w:left="464" w:hanging="425"/>
                    <w:rPr>
                      <w:i/>
                      <w:sz w:val="20"/>
                    </w:rPr>
                  </w:pPr>
                  <w:r w:rsidRPr="00F74BEB">
                    <w:rPr>
                      <w:i/>
                      <w:sz w:val="20"/>
                    </w:rPr>
                    <w:t xml:space="preserve">der </w:t>
                  </w:r>
                  <w:r w:rsidRPr="00F74BEB">
                    <w:rPr>
                      <w:b/>
                      <w:i/>
                      <w:color w:val="00B0F0"/>
                      <w:sz w:val="20"/>
                    </w:rPr>
                    <w:t>Handakte</w:t>
                  </w:r>
                  <w:r w:rsidRPr="00F74BEB">
                    <w:rPr>
                      <w:i/>
                      <w:color w:val="00B0F0"/>
                      <w:sz w:val="20"/>
                    </w:rPr>
                    <w:t xml:space="preserve"> </w:t>
                  </w:r>
                  <w:r w:rsidRPr="00F74BEB">
                    <w:rPr>
                      <w:i/>
                      <w:sz w:val="20"/>
                    </w:rPr>
                    <w:t xml:space="preserve">(Prüfungsakte) </w:t>
                  </w:r>
                </w:p>
                <w:p w:rsidR="00FC0710" w:rsidRPr="00F74BEB" w:rsidRDefault="00FC0710" w:rsidP="00C8318C">
                  <w:pPr>
                    <w:rPr>
                      <w:sz w:val="20"/>
                    </w:rPr>
                  </w:pPr>
                  <w:r w:rsidRPr="00A65E3A">
                    <w:rPr>
                      <w:b/>
                      <w:color w:val="FF0000"/>
                      <w:sz w:val="20"/>
                    </w:rPr>
                    <w:t>jährlich</w:t>
                  </w:r>
                  <w:r w:rsidRPr="00A65E3A">
                    <w:rPr>
                      <w:color w:val="FF0000"/>
                      <w:sz w:val="20"/>
                    </w:rPr>
                    <w:t xml:space="preserve"> </w:t>
                  </w:r>
                  <w:r w:rsidRPr="00F74BEB">
                    <w:rPr>
                      <w:sz w:val="20"/>
                    </w:rPr>
                    <w:t>zu bewerten.</w:t>
                  </w:r>
                </w:p>
                <w:p w:rsidR="00FC0710" w:rsidRDefault="00FC0710" w:rsidP="00C8318C">
                  <w:pPr>
                    <w:autoSpaceDE w:val="0"/>
                    <w:autoSpaceDN w:val="0"/>
                    <w:adjustRightInd w:val="0"/>
                    <w:spacing w:before="0"/>
                    <w:jc w:val="left"/>
                    <w:rPr>
                      <w:rFonts w:cs="ArialMT"/>
                      <w:i/>
                      <w:color w:val="000000" w:themeColor="text1"/>
                      <w:sz w:val="20"/>
                      <w:szCs w:val="18"/>
                    </w:rPr>
                  </w:pPr>
                </w:p>
                <w:p w:rsidR="00FC0710" w:rsidRDefault="00FC0710" w:rsidP="00C8318C">
                  <w:pPr>
                    <w:autoSpaceDE w:val="0"/>
                    <w:autoSpaceDN w:val="0"/>
                    <w:adjustRightInd w:val="0"/>
                    <w:spacing w:before="0"/>
                    <w:jc w:val="left"/>
                    <w:rPr>
                      <w:rFonts w:cs="ArialMT"/>
                      <w:i/>
                      <w:color w:val="000000" w:themeColor="text1"/>
                      <w:sz w:val="20"/>
                      <w:szCs w:val="18"/>
                    </w:rPr>
                  </w:pPr>
                </w:p>
                <w:p w:rsidR="00FC0710" w:rsidRDefault="00FC0710" w:rsidP="00C8318C">
                  <w:pPr>
                    <w:autoSpaceDE w:val="0"/>
                    <w:autoSpaceDN w:val="0"/>
                    <w:adjustRightInd w:val="0"/>
                    <w:spacing w:before="0"/>
                    <w:jc w:val="left"/>
                    <w:rPr>
                      <w:rFonts w:cs="ArialMT"/>
                      <w:i/>
                      <w:color w:val="000000" w:themeColor="text1"/>
                      <w:sz w:val="20"/>
                      <w:szCs w:val="18"/>
                    </w:rPr>
                  </w:pPr>
                </w:p>
                <w:p w:rsidR="00FC0710" w:rsidRDefault="00FC0710" w:rsidP="00C8318C">
                  <w:pPr>
                    <w:autoSpaceDE w:val="0"/>
                    <w:autoSpaceDN w:val="0"/>
                    <w:adjustRightInd w:val="0"/>
                    <w:spacing w:before="0"/>
                    <w:jc w:val="left"/>
                    <w:rPr>
                      <w:rFonts w:cs="ArialMT"/>
                      <w:i/>
                      <w:color w:val="000000" w:themeColor="text1"/>
                      <w:sz w:val="20"/>
                      <w:szCs w:val="18"/>
                    </w:rPr>
                  </w:pPr>
                </w:p>
                <w:p w:rsidR="00FC0710" w:rsidRDefault="00FC0710" w:rsidP="00C8318C">
                  <w:pPr>
                    <w:autoSpaceDE w:val="0"/>
                    <w:autoSpaceDN w:val="0"/>
                    <w:adjustRightInd w:val="0"/>
                    <w:spacing w:before="0"/>
                    <w:jc w:val="left"/>
                    <w:rPr>
                      <w:rFonts w:cs="ArialMT"/>
                      <w:i/>
                      <w:color w:val="000000" w:themeColor="text1"/>
                      <w:sz w:val="20"/>
                      <w:szCs w:val="18"/>
                    </w:rPr>
                  </w:pPr>
                </w:p>
                <w:p w:rsidR="00FC0710" w:rsidRDefault="00FC0710" w:rsidP="00C8318C">
                  <w:pPr>
                    <w:autoSpaceDE w:val="0"/>
                    <w:autoSpaceDN w:val="0"/>
                    <w:adjustRightInd w:val="0"/>
                    <w:spacing w:before="0"/>
                    <w:jc w:val="left"/>
                    <w:rPr>
                      <w:rFonts w:cs="ArialMT"/>
                      <w:i/>
                      <w:color w:val="000000" w:themeColor="text1"/>
                      <w:sz w:val="20"/>
                      <w:szCs w:val="18"/>
                    </w:rPr>
                  </w:pPr>
                  <w:r w:rsidRPr="003F7C22">
                    <w:rPr>
                      <w:rFonts w:cs="ArialMT"/>
                      <w:i/>
                      <w:color w:val="000000" w:themeColor="text1"/>
                      <w:sz w:val="20"/>
                      <w:szCs w:val="18"/>
                    </w:rPr>
                    <w:lastRenderedPageBreak/>
                    <w:t>(2) Die Nachschau der Abwicklung einzelner Prüfungsaufträge ist ein Vergleich der Anforderungen an eine gewissenhafte Abwicklung von Abschlussprüfungen mit deren tatsächlicher Abwicklun</w:t>
                  </w:r>
                  <w:r>
                    <w:rPr>
                      <w:rFonts w:cs="ArialMT"/>
                      <w:i/>
                      <w:color w:val="000000" w:themeColor="text1"/>
                      <w:sz w:val="20"/>
                      <w:szCs w:val="18"/>
                    </w:rPr>
                    <w:t xml:space="preserve">g. </w:t>
                  </w:r>
                  <w:r w:rsidRPr="003F7C22">
                    <w:rPr>
                      <w:rFonts w:cs="ArialMT"/>
                      <w:i/>
                      <w:color w:val="000000" w:themeColor="text1"/>
                      <w:sz w:val="20"/>
                      <w:szCs w:val="18"/>
                    </w:rPr>
                    <w:t>Art und Umfang der Nachschau müssen in einem angemessenen Verhältnis zu den abgewickelten Abschlussprüfungen stehen, wobei die Ergebnisse einer Qualitätskontrolle nach §§ 57a ff. WPO</w:t>
                  </w:r>
                  <w:r>
                    <w:rPr>
                      <w:rFonts w:cs="ArialMT"/>
                      <w:i/>
                      <w:color w:val="000000" w:themeColor="text1"/>
                      <w:sz w:val="20"/>
                      <w:szCs w:val="18"/>
                    </w:rPr>
                    <w:t xml:space="preserve"> berücksichtigt werden können. </w:t>
                  </w:r>
                  <w:r w:rsidRPr="003F7C22">
                    <w:rPr>
                      <w:rFonts w:cs="ArialMT"/>
                      <w:i/>
                      <w:color w:val="000000" w:themeColor="text1"/>
                      <w:sz w:val="20"/>
                      <w:szCs w:val="18"/>
                    </w:rPr>
                    <w:t>Dabei sind alle in der Praxis verantwortlich tätigen WP/vBP, die Abschlussprüfungen durchführen, einzubeziehen.</w:t>
                  </w:r>
                </w:p>
                <w:p w:rsidR="00FC0710" w:rsidRPr="003F7C22" w:rsidRDefault="00FC0710" w:rsidP="00C8318C">
                  <w:pPr>
                    <w:autoSpaceDE w:val="0"/>
                    <w:autoSpaceDN w:val="0"/>
                    <w:adjustRightInd w:val="0"/>
                    <w:spacing w:before="0"/>
                    <w:jc w:val="left"/>
                    <w:rPr>
                      <w:rFonts w:cs="ArialMT"/>
                      <w:i/>
                      <w:color w:val="000000" w:themeColor="text1"/>
                      <w:sz w:val="20"/>
                      <w:szCs w:val="18"/>
                    </w:rPr>
                  </w:pPr>
                </w:p>
                <w:p w:rsidR="00FC0710" w:rsidRDefault="00FC0710" w:rsidP="00C8318C">
                  <w:pPr>
                    <w:autoSpaceDE w:val="0"/>
                    <w:autoSpaceDN w:val="0"/>
                    <w:adjustRightInd w:val="0"/>
                    <w:spacing w:before="0"/>
                    <w:jc w:val="left"/>
                    <w:rPr>
                      <w:rFonts w:cs="ArialMT"/>
                      <w:i/>
                      <w:color w:val="000000" w:themeColor="text1"/>
                      <w:sz w:val="20"/>
                      <w:szCs w:val="18"/>
                    </w:rPr>
                  </w:pPr>
                  <w:r w:rsidRPr="003F7C22">
                    <w:rPr>
                      <w:rFonts w:cs="ArialMT"/>
                      <w:i/>
                      <w:color w:val="000000" w:themeColor="text1"/>
                      <w:sz w:val="20"/>
                      <w:szCs w:val="18"/>
                    </w:rPr>
                    <w:t xml:space="preserve">(3) Die </w:t>
                  </w:r>
                  <w:r w:rsidRPr="00F74BEB">
                    <w:rPr>
                      <w:rFonts w:cs="ArialMT"/>
                      <w:b/>
                      <w:i/>
                      <w:color w:val="00B0F0"/>
                      <w:sz w:val="20"/>
                      <w:szCs w:val="18"/>
                    </w:rPr>
                    <w:t>Ergebnisse</w:t>
                  </w:r>
                  <w:r w:rsidRPr="00F74BEB">
                    <w:rPr>
                      <w:rFonts w:cs="ArialMT"/>
                      <w:i/>
                      <w:color w:val="00B0F0"/>
                      <w:sz w:val="20"/>
                      <w:szCs w:val="18"/>
                    </w:rPr>
                    <w:t xml:space="preserve"> </w:t>
                  </w:r>
                  <w:r w:rsidRPr="003F7C22">
                    <w:rPr>
                      <w:rFonts w:cs="ArialMT"/>
                      <w:i/>
                      <w:color w:val="000000" w:themeColor="text1"/>
                      <w:sz w:val="20"/>
                      <w:szCs w:val="18"/>
                    </w:rPr>
                    <w:t xml:space="preserve">der Bewertung und der bei Mängeln ergriffenen oder vorgeschlagenen Maßnahmen sind, im Fall von Absatz 1 Satz </w:t>
                  </w:r>
                  <w:r w:rsidRPr="00F74BEB">
                    <w:rPr>
                      <w:rFonts w:cs="ArialMT"/>
                      <w:b/>
                      <w:i/>
                      <w:color w:val="FF0000"/>
                      <w:sz w:val="20"/>
                      <w:szCs w:val="18"/>
                    </w:rPr>
                    <w:t>4 jährlich</w:t>
                  </w:r>
                  <w:r w:rsidRPr="003F7C22">
                    <w:rPr>
                      <w:rFonts w:cs="ArialMT"/>
                      <w:i/>
                      <w:color w:val="000000" w:themeColor="text1"/>
                      <w:sz w:val="20"/>
                      <w:szCs w:val="18"/>
                    </w:rPr>
                    <w:t xml:space="preserve">, in einem </w:t>
                  </w:r>
                  <w:r w:rsidRPr="00F74BEB">
                    <w:rPr>
                      <w:rFonts w:cs="ArialMT"/>
                      <w:b/>
                      <w:i/>
                      <w:color w:val="FF0000"/>
                      <w:sz w:val="20"/>
                      <w:szCs w:val="18"/>
                    </w:rPr>
                    <w:t>Bericht</w:t>
                  </w:r>
                  <w:r w:rsidRPr="00F74BEB">
                    <w:rPr>
                      <w:rFonts w:cs="ArialMT"/>
                      <w:i/>
                      <w:color w:val="FF0000"/>
                      <w:sz w:val="20"/>
                      <w:szCs w:val="18"/>
                    </w:rPr>
                    <w:t xml:space="preserve"> </w:t>
                  </w:r>
                  <w:r w:rsidRPr="003F7C22">
                    <w:rPr>
                      <w:rFonts w:cs="ArialMT"/>
                      <w:i/>
                      <w:color w:val="000000" w:themeColor="text1"/>
                      <w:sz w:val="20"/>
                      <w:szCs w:val="18"/>
                    </w:rPr>
                    <w:t>zusammenzufassen. In diesem Bericht ist, neben der Berichterstattung nach Satz 1, auch über Verstöße gegen Berufspflichten oder die Verordnung (EU) Nr. 537/2014, soweit diese nicht nur geringfügig sind, und die zur Beseitigung der Verstöße getroffenen Maßnahmen zu berichten.</w:t>
                  </w:r>
                </w:p>
                <w:p w:rsidR="00FC0710" w:rsidRPr="003F7C22" w:rsidRDefault="00FC0710" w:rsidP="00C8318C">
                  <w:pPr>
                    <w:autoSpaceDE w:val="0"/>
                    <w:autoSpaceDN w:val="0"/>
                    <w:adjustRightInd w:val="0"/>
                    <w:spacing w:before="0"/>
                    <w:jc w:val="left"/>
                    <w:rPr>
                      <w:rFonts w:cs="ArialMT"/>
                      <w:i/>
                      <w:color w:val="000000" w:themeColor="text1"/>
                      <w:sz w:val="20"/>
                      <w:szCs w:val="18"/>
                    </w:rPr>
                  </w:pPr>
                </w:p>
                <w:p w:rsidR="00FC0710" w:rsidRPr="003F7C22" w:rsidRDefault="00FC0710" w:rsidP="00C8318C">
                  <w:pPr>
                    <w:autoSpaceDE w:val="0"/>
                    <w:autoSpaceDN w:val="0"/>
                    <w:adjustRightInd w:val="0"/>
                    <w:spacing w:before="0"/>
                    <w:jc w:val="left"/>
                    <w:rPr>
                      <w:rFonts w:cs="ArialMT"/>
                      <w:i/>
                      <w:color w:val="000000" w:themeColor="text1"/>
                      <w:sz w:val="20"/>
                      <w:szCs w:val="18"/>
                    </w:rPr>
                  </w:pPr>
                  <w:r w:rsidRPr="003F7C22">
                    <w:rPr>
                      <w:rFonts w:cs="ArialMT"/>
                      <w:i/>
                      <w:color w:val="000000" w:themeColor="text1"/>
                      <w:sz w:val="20"/>
                      <w:szCs w:val="18"/>
                    </w:rPr>
                    <w:t xml:space="preserve">(4) Die Nachschau kann durch </w:t>
                  </w:r>
                  <w:r w:rsidRPr="00F74BEB">
                    <w:rPr>
                      <w:rFonts w:cs="ArialMT"/>
                      <w:b/>
                      <w:i/>
                      <w:color w:val="00B0F0"/>
                      <w:sz w:val="20"/>
                      <w:szCs w:val="18"/>
                    </w:rPr>
                    <w:t>Selbstvergewisserung</w:t>
                  </w:r>
                  <w:r w:rsidRPr="00F74BEB">
                    <w:rPr>
                      <w:rFonts w:cs="ArialMT"/>
                      <w:i/>
                      <w:color w:val="00B0F0"/>
                      <w:sz w:val="20"/>
                      <w:szCs w:val="18"/>
                    </w:rPr>
                    <w:t xml:space="preserve"> </w:t>
                  </w:r>
                  <w:r w:rsidRPr="003F7C22">
                    <w:rPr>
                      <w:rFonts w:cs="ArialMT"/>
                      <w:i/>
                      <w:color w:val="000000" w:themeColor="text1"/>
                      <w:sz w:val="20"/>
                      <w:szCs w:val="18"/>
                    </w:rPr>
                    <w:t>durchgeführt werden, wenn in der Praxis kein fachlich und persönlich geeigneter Mitarbeiter zur Verfügung steht.</w:t>
                  </w:r>
                  <w:r>
                    <w:rPr>
                      <w:rFonts w:cs="ArialMT"/>
                      <w:i/>
                      <w:color w:val="000000" w:themeColor="text1"/>
                      <w:sz w:val="20"/>
                      <w:szCs w:val="18"/>
                    </w:rPr>
                    <w:t>“</w:t>
                  </w:r>
                </w:p>
                <w:p w:rsidR="00FC0710" w:rsidRPr="003F7C22" w:rsidRDefault="00FC0710" w:rsidP="00C8318C">
                  <w:pPr>
                    <w:autoSpaceDE w:val="0"/>
                    <w:autoSpaceDN w:val="0"/>
                    <w:adjustRightInd w:val="0"/>
                    <w:spacing w:before="0"/>
                    <w:jc w:val="center"/>
                    <w:rPr>
                      <w:rFonts w:cs="Arial-BoldMT"/>
                      <w:b/>
                      <w:bCs/>
                      <w:i/>
                      <w:color w:val="000000" w:themeColor="text1"/>
                      <w:sz w:val="20"/>
                      <w:szCs w:val="18"/>
                    </w:rPr>
                  </w:pPr>
                </w:p>
                <w:p w:rsidR="00FC0710" w:rsidRPr="003F7C22" w:rsidRDefault="00FC0710" w:rsidP="00C8318C">
                  <w:pPr>
                    <w:autoSpaceDE w:val="0"/>
                    <w:autoSpaceDN w:val="0"/>
                    <w:adjustRightInd w:val="0"/>
                    <w:spacing w:before="0"/>
                    <w:jc w:val="center"/>
                    <w:rPr>
                      <w:rFonts w:cs="Arial-BoldMT"/>
                      <w:b/>
                      <w:bCs/>
                      <w:i/>
                      <w:color w:val="000000" w:themeColor="text1"/>
                      <w:sz w:val="20"/>
                      <w:szCs w:val="18"/>
                    </w:rPr>
                  </w:pPr>
                  <w:r w:rsidRPr="003F7C22">
                    <w:rPr>
                      <w:rFonts w:cs="Arial-BoldMT"/>
                      <w:b/>
                      <w:bCs/>
                      <w:i/>
                      <w:color w:val="000000" w:themeColor="text1"/>
                      <w:sz w:val="20"/>
                      <w:szCs w:val="18"/>
                    </w:rPr>
                    <w:t>Abschnitt 2:</w:t>
                  </w:r>
                </w:p>
                <w:p w:rsidR="00FC0710" w:rsidRPr="003F7C22" w:rsidRDefault="00FC0710" w:rsidP="00C8318C">
                  <w:pPr>
                    <w:autoSpaceDE w:val="0"/>
                    <w:autoSpaceDN w:val="0"/>
                    <w:adjustRightInd w:val="0"/>
                    <w:spacing w:before="0"/>
                    <w:jc w:val="center"/>
                    <w:rPr>
                      <w:rFonts w:cs="Arial-BoldMT"/>
                      <w:b/>
                      <w:bCs/>
                      <w:i/>
                      <w:color w:val="000000" w:themeColor="text1"/>
                      <w:sz w:val="20"/>
                      <w:szCs w:val="18"/>
                    </w:rPr>
                  </w:pPr>
                  <w:r w:rsidRPr="003F7C22">
                    <w:rPr>
                      <w:rFonts w:cs="Arial-BoldMT"/>
                      <w:b/>
                      <w:bCs/>
                      <w:i/>
                      <w:color w:val="000000" w:themeColor="text1"/>
                      <w:sz w:val="20"/>
                      <w:szCs w:val="18"/>
                    </w:rPr>
                    <w:t>Berufspflichten zum Schaffen von Regelungen</w:t>
                  </w:r>
                </w:p>
                <w:p w:rsidR="00FC0710" w:rsidRPr="003F7C22" w:rsidRDefault="00FC0710" w:rsidP="00C8318C">
                  <w:pPr>
                    <w:spacing w:before="0"/>
                    <w:jc w:val="center"/>
                    <w:rPr>
                      <w:i/>
                      <w:color w:val="000000" w:themeColor="text1"/>
                      <w:sz w:val="20"/>
                    </w:rPr>
                  </w:pPr>
                  <w:r w:rsidRPr="003F7C22">
                    <w:rPr>
                      <w:rFonts w:cs="Arial-BoldMT"/>
                      <w:b/>
                      <w:bCs/>
                      <w:i/>
                      <w:color w:val="000000" w:themeColor="text1"/>
                      <w:sz w:val="20"/>
                      <w:szCs w:val="18"/>
                    </w:rPr>
                    <w:t>für ein Qualitätssicherungssystem nach § 55b Absatz 2 WPO</w:t>
                  </w:r>
                </w:p>
              </w:tc>
            </w:tr>
            <w:tr w:rsidR="00FC0710" w:rsidRPr="003F7C22" w:rsidTr="00C8318C">
              <w:tc>
                <w:tcPr>
                  <w:tcW w:w="9207" w:type="dxa"/>
                </w:tcPr>
                <w:p w:rsidR="00FC0710" w:rsidRPr="003F7C22" w:rsidRDefault="00FC0710" w:rsidP="00C8318C">
                  <w:pPr>
                    <w:autoSpaceDE w:val="0"/>
                    <w:autoSpaceDN w:val="0"/>
                    <w:adjustRightInd w:val="0"/>
                    <w:spacing w:before="0"/>
                    <w:jc w:val="center"/>
                    <w:rPr>
                      <w:rFonts w:cs="ArialMT"/>
                      <w:b/>
                      <w:i/>
                      <w:color w:val="000000" w:themeColor="text1"/>
                      <w:sz w:val="20"/>
                      <w:szCs w:val="18"/>
                    </w:rPr>
                  </w:pPr>
                  <w:r>
                    <w:rPr>
                      <w:rFonts w:cs="ArialMT"/>
                      <w:b/>
                      <w:i/>
                      <w:color w:val="000000" w:themeColor="text1"/>
                      <w:sz w:val="20"/>
                      <w:szCs w:val="18"/>
                    </w:rPr>
                    <w:lastRenderedPageBreak/>
                    <w:t>„</w:t>
                  </w:r>
                  <w:r w:rsidRPr="003F7C22">
                    <w:rPr>
                      <w:rFonts w:cs="ArialMT"/>
                      <w:b/>
                      <w:i/>
                      <w:color w:val="000000" w:themeColor="text1"/>
                      <w:sz w:val="20"/>
                      <w:szCs w:val="18"/>
                    </w:rPr>
                    <w:t>§ 63 Nachschau</w:t>
                  </w:r>
                  <w:r>
                    <w:rPr>
                      <w:rStyle w:val="Funotenzeichen"/>
                      <w:rFonts w:cs="ArialMT"/>
                      <w:b/>
                      <w:i/>
                      <w:color w:val="000000" w:themeColor="text1"/>
                      <w:sz w:val="20"/>
                    </w:rPr>
                    <w:footnoteReference w:id="2"/>
                  </w:r>
                </w:p>
              </w:tc>
            </w:tr>
            <w:tr w:rsidR="00FC0710" w:rsidRPr="003F7C22" w:rsidTr="00C8318C">
              <w:tc>
                <w:tcPr>
                  <w:tcW w:w="9207" w:type="dxa"/>
                </w:tcPr>
                <w:p w:rsidR="00FC0710" w:rsidRPr="003F7C22" w:rsidRDefault="00FC0710" w:rsidP="00C8318C">
                  <w:pPr>
                    <w:autoSpaceDE w:val="0"/>
                    <w:autoSpaceDN w:val="0"/>
                    <w:adjustRightInd w:val="0"/>
                    <w:spacing w:before="0"/>
                    <w:jc w:val="left"/>
                    <w:rPr>
                      <w:rFonts w:cs="ArialMT"/>
                      <w:i/>
                      <w:color w:val="000000" w:themeColor="text1"/>
                      <w:sz w:val="20"/>
                    </w:rPr>
                  </w:pPr>
                  <w:r w:rsidRPr="003F7C22">
                    <w:rPr>
                      <w:rFonts w:cs="ArialMT"/>
                      <w:i/>
                      <w:color w:val="000000" w:themeColor="text1"/>
                      <w:sz w:val="20"/>
                    </w:rPr>
                    <w:t xml:space="preserve">Durch angemessene </w:t>
                  </w:r>
                  <w:r w:rsidRPr="00F74BEB">
                    <w:rPr>
                      <w:rFonts w:cs="ArialMT"/>
                      <w:b/>
                      <w:i/>
                      <w:color w:val="00B0F0"/>
                      <w:sz w:val="20"/>
                    </w:rPr>
                    <w:t>Regelungen</w:t>
                  </w:r>
                  <w:r w:rsidRPr="00F74BEB">
                    <w:rPr>
                      <w:rFonts w:cs="ArialMT"/>
                      <w:i/>
                      <w:color w:val="00B0F0"/>
                      <w:sz w:val="20"/>
                    </w:rPr>
                    <w:t xml:space="preserve"> </w:t>
                  </w:r>
                  <w:r w:rsidRPr="003F7C22">
                    <w:rPr>
                      <w:rFonts w:cs="ArialMT"/>
                      <w:i/>
                      <w:color w:val="000000" w:themeColor="text1"/>
                      <w:sz w:val="20"/>
                    </w:rPr>
                    <w:t>ist zumindest sicherzustellen, dass</w:t>
                  </w:r>
                </w:p>
                <w:p w:rsidR="00FC0710" w:rsidRPr="003F7C22" w:rsidRDefault="00FC0710" w:rsidP="00FC0710">
                  <w:pPr>
                    <w:pStyle w:val="Listenabsatz"/>
                    <w:numPr>
                      <w:ilvl w:val="0"/>
                      <w:numId w:val="22"/>
                    </w:numPr>
                    <w:autoSpaceDE w:val="0"/>
                    <w:autoSpaceDN w:val="0"/>
                    <w:adjustRightInd w:val="0"/>
                    <w:spacing w:before="0"/>
                    <w:jc w:val="left"/>
                    <w:rPr>
                      <w:rFonts w:cs="ArialMT"/>
                      <w:i/>
                      <w:color w:val="000000" w:themeColor="text1"/>
                      <w:sz w:val="20"/>
                    </w:rPr>
                  </w:pPr>
                  <w:r w:rsidRPr="003F7C22">
                    <w:rPr>
                      <w:rFonts w:cs="ArialMT"/>
                      <w:i/>
                      <w:color w:val="000000" w:themeColor="text1"/>
                      <w:sz w:val="20"/>
                    </w:rPr>
                    <w:t>die Nachschau der Abwicklung von Abschlussprüfungen in angemessenen Zeitabständen erfolgt und die Zeitabstände regelmäßig überprüft und angepasst werden,</w:t>
                  </w:r>
                </w:p>
                <w:p w:rsidR="00FC0710" w:rsidRPr="003F7C22" w:rsidRDefault="00FC0710" w:rsidP="00FC0710">
                  <w:pPr>
                    <w:pStyle w:val="Listenabsatz"/>
                    <w:numPr>
                      <w:ilvl w:val="0"/>
                      <w:numId w:val="22"/>
                    </w:numPr>
                    <w:autoSpaceDE w:val="0"/>
                    <w:autoSpaceDN w:val="0"/>
                    <w:adjustRightInd w:val="0"/>
                    <w:spacing w:before="0"/>
                    <w:jc w:val="left"/>
                    <w:rPr>
                      <w:rFonts w:cs="ArialMT"/>
                      <w:i/>
                      <w:color w:val="000000" w:themeColor="text1"/>
                      <w:sz w:val="20"/>
                    </w:rPr>
                  </w:pPr>
                  <w:r w:rsidRPr="003F7C22">
                    <w:rPr>
                      <w:rFonts w:cs="ArialMT"/>
                      <w:i/>
                      <w:color w:val="000000" w:themeColor="text1"/>
                      <w:sz w:val="20"/>
                    </w:rPr>
                    <w:t>eine Nachschau der Abwicklung von Abschlussprüfungen auch aus gegebenem Anlass erfolgt,</w:t>
                  </w:r>
                </w:p>
                <w:p w:rsidR="00FC0710" w:rsidRPr="003F7C22" w:rsidRDefault="00FC0710" w:rsidP="00FC0710">
                  <w:pPr>
                    <w:pStyle w:val="Listenabsatz"/>
                    <w:numPr>
                      <w:ilvl w:val="0"/>
                      <w:numId w:val="22"/>
                    </w:numPr>
                    <w:autoSpaceDE w:val="0"/>
                    <w:autoSpaceDN w:val="0"/>
                    <w:adjustRightInd w:val="0"/>
                    <w:spacing w:before="0"/>
                    <w:jc w:val="left"/>
                    <w:rPr>
                      <w:rFonts w:cs="ArialMT"/>
                      <w:i/>
                      <w:color w:val="000000" w:themeColor="text1"/>
                      <w:sz w:val="20"/>
                    </w:rPr>
                  </w:pPr>
                  <w:r w:rsidRPr="003F7C22">
                    <w:rPr>
                      <w:rFonts w:cs="ArialMT"/>
                      <w:i/>
                      <w:color w:val="000000" w:themeColor="text1"/>
                      <w:sz w:val="20"/>
                    </w:rPr>
                    <w:t xml:space="preserve">die </w:t>
                  </w:r>
                  <w:r w:rsidRPr="00951E7E">
                    <w:rPr>
                      <w:rFonts w:cs="ArialMT"/>
                      <w:b/>
                      <w:i/>
                      <w:color w:val="FF0000"/>
                      <w:sz w:val="20"/>
                    </w:rPr>
                    <w:t>Nachschau nach § 49 Absatz 1 Satz 4 jährlich erfolgt</w:t>
                  </w:r>
                  <w:r w:rsidRPr="003F7C22">
                    <w:rPr>
                      <w:rFonts w:cs="ArialMT"/>
                      <w:i/>
                      <w:color w:val="000000" w:themeColor="text1"/>
                      <w:sz w:val="20"/>
                    </w:rPr>
                    <w:t>,</w:t>
                  </w:r>
                </w:p>
                <w:p w:rsidR="00FC0710" w:rsidRPr="003F7C22" w:rsidRDefault="00FC0710" w:rsidP="00FC0710">
                  <w:pPr>
                    <w:pStyle w:val="Listenabsatz"/>
                    <w:numPr>
                      <w:ilvl w:val="0"/>
                      <w:numId w:val="22"/>
                    </w:numPr>
                    <w:autoSpaceDE w:val="0"/>
                    <w:autoSpaceDN w:val="0"/>
                    <w:adjustRightInd w:val="0"/>
                    <w:spacing w:before="0"/>
                    <w:jc w:val="left"/>
                    <w:rPr>
                      <w:rFonts w:cs="ArialMT"/>
                      <w:i/>
                      <w:color w:val="000000" w:themeColor="text1"/>
                      <w:sz w:val="20"/>
                    </w:rPr>
                  </w:pPr>
                  <w:r w:rsidRPr="003F7C22">
                    <w:rPr>
                      <w:rFonts w:cs="ArialMT"/>
                      <w:i/>
                      <w:color w:val="000000" w:themeColor="text1"/>
                      <w:sz w:val="20"/>
                    </w:rPr>
                    <w:t>die Nachschau von Abschlussprüfungen nur von fachlich und persönlich geeigneten Personen, die grundsätzlich nicht mit der Abwicklung der in die Nachschau einbezogenen Abschlussprüfungen befasst waren, durchgeführt wird,</w:t>
                  </w:r>
                </w:p>
                <w:p w:rsidR="00FC0710" w:rsidRPr="003F7C22" w:rsidRDefault="00FC0710" w:rsidP="00FC0710">
                  <w:pPr>
                    <w:pStyle w:val="Listenabsatz"/>
                    <w:numPr>
                      <w:ilvl w:val="0"/>
                      <w:numId w:val="22"/>
                    </w:numPr>
                    <w:autoSpaceDE w:val="0"/>
                    <w:autoSpaceDN w:val="0"/>
                    <w:adjustRightInd w:val="0"/>
                    <w:spacing w:before="0"/>
                    <w:jc w:val="left"/>
                    <w:rPr>
                      <w:rFonts w:cs="ArialMT"/>
                      <w:i/>
                      <w:color w:val="000000" w:themeColor="text1"/>
                      <w:sz w:val="20"/>
                    </w:rPr>
                  </w:pPr>
                  <w:r w:rsidRPr="003F7C22">
                    <w:rPr>
                      <w:rFonts w:cs="ArialMT"/>
                      <w:i/>
                      <w:color w:val="000000" w:themeColor="text1"/>
                      <w:sz w:val="20"/>
                    </w:rPr>
                    <w:t>eine Nachschau durch Selbstvergewisserung ermöglicht wird, wenn in der gesamten Praxis keine geeignete Person zur Verfügung steht,</w:t>
                  </w:r>
                </w:p>
                <w:p w:rsidR="00FC0710" w:rsidRPr="003F7C22" w:rsidRDefault="00FC0710" w:rsidP="00FC0710">
                  <w:pPr>
                    <w:pStyle w:val="Listenabsatz"/>
                    <w:numPr>
                      <w:ilvl w:val="0"/>
                      <w:numId w:val="22"/>
                    </w:numPr>
                    <w:autoSpaceDE w:val="0"/>
                    <w:autoSpaceDN w:val="0"/>
                    <w:adjustRightInd w:val="0"/>
                    <w:spacing w:before="0"/>
                    <w:jc w:val="left"/>
                    <w:rPr>
                      <w:rFonts w:cs="ArialMT"/>
                      <w:i/>
                      <w:color w:val="000000" w:themeColor="text1"/>
                      <w:sz w:val="20"/>
                    </w:rPr>
                  </w:pPr>
                  <w:r w:rsidRPr="003F7C22">
                    <w:rPr>
                      <w:rFonts w:cs="ArialMT"/>
                      <w:i/>
                      <w:color w:val="000000" w:themeColor="text1"/>
                      <w:sz w:val="20"/>
                    </w:rPr>
                    <w:t>die Stichprobe der ausgewählten Abschlussprüfungen in einem angemessenen Verhältnis zu den abgewickelten Abschlussprüfungen steht und bei der Planung auch Ergebnisse einer vorangegangenen Qualitätskontrolle nach § 57a WPO oder einer Inspektion nach § 66a Absatz 6 Nummer 1 WPO berücksichtigt werden,</w:t>
                  </w:r>
                </w:p>
                <w:p w:rsidR="00FC0710" w:rsidRPr="003F7C22" w:rsidRDefault="00FC0710" w:rsidP="00FC0710">
                  <w:pPr>
                    <w:pStyle w:val="Listenabsatz"/>
                    <w:numPr>
                      <w:ilvl w:val="0"/>
                      <w:numId w:val="22"/>
                    </w:numPr>
                    <w:autoSpaceDE w:val="0"/>
                    <w:autoSpaceDN w:val="0"/>
                    <w:adjustRightInd w:val="0"/>
                    <w:spacing w:before="0"/>
                    <w:jc w:val="left"/>
                    <w:rPr>
                      <w:rFonts w:cs="ArialMT"/>
                      <w:i/>
                      <w:color w:val="000000" w:themeColor="text1"/>
                      <w:sz w:val="20"/>
                    </w:rPr>
                  </w:pPr>
                  <w:r w:rsidRPr="003F7C22">
                    <w:rPr>
                      <w:rFonts w:cs="ArialMT"/>
                      <w:i/>
                      <w:color w:val="000000" w:themeColor="text1"/>
                      <w:sz w:val="20"/>
                    </w:rPr>
                    <w:t>in einem Nachschauturnus alle verantwortlich tätigen WP/vBP mit zumindest einem Prüfungsauftrag erfasst werden,</w:t>
                  </w:r>
                </w:p>
                <w:p w:rsidR="00FC0710" w:rsidRPr="003F7C22" w:rsidRDefault="00FC0710" w:rsidP="00FC0710">
                  <w:pPr>
                    <w:pStyle w:val="Listenabsatz"/>
                    <w:numPr>
                      <w:ilvl w:val="0"/>
                      <w:numId w:val="22"/>
                    </w:numPr>
                    <w:autoSpaceDE w:val="0"/>
                    <w:autoSpaceDN w:val="0"/>
                    <w:adjustRightInd w:val="0"/>
                    <w:spacing w:before="0"/>
                    <w:jc w:val="left"/>
                    <w:rPr>
                      <w:rFonts w:cs="ArialMT"/>
                      <w:i/>
                      <w:color w:val="000000" w:themeColor="text1"/>
                      <w:sz w:val="20"/>
                    </w:rPr>
                  </w:pPr>
                  <w:r w:rsidRPr="003F7C22">
                    <w:rPr>
                      <w:rFonts w:cs="ArialMT"/>
                      <w:i/>
                      <w:color w:val="000000" w:themeColor="text1"/>
                      <w:sz w:val="20"/>
                    </w:rPr>
                    <w:t>bei Feststellung von Mängeln des Qualitätssicherungssystems Maßnahmen zu deren Beseitigung ergriffen und der verantwortliche Prüfungspartner über die ihn betreffenden Feststellungen informiert wird und</w:t>
                  </w:r>
                </w:p>
                <w:p w:rsidR="00FC0710" w:rsidRPr="003F7C22" w:rsidRDefault="00FC0710" w:rsidP="00FC0710">
                  <w:pPr>
                    <w:pStyle w:val="Listenabsatz"/>
                    <w:numPr>
                      <w:ilvl w:val="0"/>
                      <w:numId w:val="22"/>
                    </w:numPr>
                    <w:autoSpaceDE w:val="0"/>
                    <w:autoSpaceDN w:val="0"/>
                    <w:adjustRightInd w:val="0"/>
                    <w:spacing w:before="0"/>
                    <w:jc w:val="left"/>
                    <w:rPr>
                      <w:rFonts w:cs="ArialMT"/>
                      <w:i/>
                      <w:color w:val="000000" w:themeColor="text1"/>
                      <w:sz w:val="20"/>
                      <w:szCs w:val="18"/>
                    </w:rPr>
                  </w:pPr>
                  <w:r w:rsidRPr="003F7C22">
                    <w:rPr>
                      <w:rFonts w:cs="ArialMT"/>
                      <w:i/>
                      <w:color w:val="000000" w:themeColor="text1"/>
                      <w:sz w:val="20"/>
                    </w:rPr>
                    <w:t>die Nachschau nach § 49 Absatz 1 Satz 4 entsprechend § 49 Absatz 3 dokumentiert wird.</w:t>
                  </w:r>
                  <w:r>
                    <w:rPr>
                      <w:rFonts w:cs="ArialMT"/>
                      <w:i/>
                      <w:color w:val="000000" w:themeColor="text1"/>
                      <w:sz w:val="20"/>
                    </w:rPr>
                    <w:t>“</w:t>
                  </w:r>
                </w:p>
              </w:tc>
            </w:tr>
          </w:tbl>
          <w:p w:rsidR="00FC0710" w:rsidRPr="00D86537" w:rsidRDefault="00FC0710" w:rsidP="00C8318C">
            <w:pPr>
              <w:ind w:left="624" w:hanging="624"/>
              <w:rPr>
                <w:i/>
                <w:szCs w:val="22"/>
              </w:rPr>
            </w:pPr>
          </w:p>
        </w:tc>
      </w:tr>
    </w:tbl>
    <w:p w:rsidR="009C33FF" w:rsidRPr="006539E4" w:rsidRDefault="009C33FF" w:rsidP="006539E4">
      <w:pPr>
        <w:spacing w:before="0"/>
        <w:rPr>
          <w:sz w:val="16"/>
          <w:szCs w:val="16"/>
        </w:rPr>
      </w:pPr>
    </w:p>
    <w:sectPr w:rsidR="009C33FF" w:rsidRPr="006539E4" w:rsidSect="00FC0710">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1099" w:right="1701" w:bottom="1134" w:left="1134" w:header="113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139" w:rsidRDefault="00987139">
      <w:pPr>
        <w:spacing w:before="0"/>
      </w:pPr>
      <w:r>
        <w:separator/>
      </w:r>
    </w:p>
  </w:endnote>
  <w:endnote w:type="continuationSeparator" w:id="0">
    <w:p w:rsidR="00987139" w:rsidRDefault="009871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A35" w:rsidRDefault="00943A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94"/>
      <w:gridCol w:w="4143"/>
      <w:gridCol w:w="2235"/>
    </w:tblGrid>
    <w:tr w:rsidR="009C33FF" w:rsidTr="00B309DD">
      <w:trPr>
        <w:trHeight w:hRule="exact" w:val="1333"/>
      </w:trPr>
      <w:tc>
        <w:tcPr>
          <w:tcW w:w="2694" w:type="dxa"/>
          <w:vAlign w:val="bottom"/>
        </w:tcPr>
        <w:p w:rsidR="009C33FF" w:rsidRPr="005F3383" w:rsidRDefault="009C33FF" w:rsidP="009C33FF">
          <w:pPr>
            <w:tabs>
              <w:tab w:val="left" w:pos="2100"/>
            </w:tabs>
            <w:spacing w:before="0"/>
            <w:jc w:val="left"/>
            <w:rPr>
              <w:rFonts w:eastAsiaTheme="minorHAnsi" w:cstheme="minorBidi"/>
              <w:sz w:val="20"/>
              <w:lang w:eastAsia="en-US"/>
            </w:rPr>
          </w:pPr>
          <w:r w:rsidRPr="005F3383">
            <w:rPr>
              <w:sz w:val="20"/>
            </w:rPr>
            <w:t xml:space="preserve">Seite </w:t>
          </w:r>
          <w:r w:rsidRPr="005F3383">
            <w:rPr>
              <w:rFonts w:eastAsiaTheme="minorHAnsi" w:cstheme="minorBidi"/>
              <w:sz w:val="20"/>
              <w:lang w:eastAsia="en-US"/>
            </w:rPr>
            <w:fldChar w:fldCharType="begin"/>
          </w:r>
          <w:r w:rsidRPr="005F3383">
            <w:rPr>
              <w:rFonts w:eastAsiaTheme="minorHAnsi" w:cstheme="minorBidi"/>
              <w:sz w:val="20"/>
              <w:lang w:eastAsia="en-US"/>
            </w:rPr>
            <w:instrText>PAGE   \* MERGEFORMAT</w:instrText>
          </w:r>
          <w:r w:rsidRPr="005F3383">
            <w:rPr>
              <w:rFonts w:eastAsiaTheme="minorHAnsi" w:cstheme="minorBidi"/>
              <w:sz w:val="20"/>
              <w:lang w:eastAsia="en-US"/>
            </w:rPr>
            <w:fldChar w:fldCharType="separate"/>
          </w:r>
          <w:r w:rsidRPr="005F3383">
            <w:rPr>
              <w:rFonts w:eastAsiaTheme="minorHAnsi" w:cstheme="minorBidi"/>
              <w:sz w:val="20"/>
              <w:lang w:eastAsia="en-US"/>
            </w:rPr>
            <w:t>1</w:t>
          </w:r>
          <w:r w:rsidRPr="005F3383">
            <w:rPr>
              <w:rFonts w:eastAsiaTheme="minorHAnsi" w:cstheme="minorBidi"/>
              <w:sz w:val="20"/>
              <w:lang w:eastAsia="en-US"/>
            </w:rPr>
            <w:fldChar w:fldCharType="end"/>
          </w:r>
          <w:r w:rsidRPr="005F3383">
            <w:rPr>
              <w:rFonts w:eastAsiaTheme="minorHAnsi" w:cstheme="minorBidi"/>
              <w:sz w:val="20"/>
              <w:lang w:eastAsia="en-US"/>
            </w:rPr>
            <w:t xml:space="preserve"> </w:t>
          </w:r>
          <w:sdt>
            <w:sdtPr>
              <w:rPr>
                <w:rFonts w:eastAsiaTheme="minorHAnsi" w:cstheme="minorBidi"/>
                <w:sz w:val="20"/>
                <w:lang w:eastAsia="en-US"/>
              </w:rPr>
              <w:id w:val="289872538"/>
              <w:docPartObj>
                <w:docPartGallery w:val="Page Numbers (Top of Page)"/>
                <w:docPartUnique/>
              </w:docPartObj>
            </w:sdtPr>
            <w:sdtEndPr/>
            <w:sdtContent>
              <w:r w:rsidRPr="005F3383">
                <w:rPr>
                  <w:rFonts w:eastAsiaTheme="minorHAnsi" w:cstheme="minorBidi"/>
                  <w:sz w:val="20"/>
                  <w:lang w:eastAsia="en-US"/>
                </w:rPr>
                <w:t xml:space="preserve">von </w:t>
              </w:r>
              <w:r w:rsidRPr="005F3383">
                <w:rPr>
                  <w:rFonts w:eastAsiaTheme="minorHAnsi" w:cstheme="minorBidi"/>
                  <w:sz w:val="20"/>
                  <w:lang w:eastAsia="en-US"/>
                </w:rPr>
                <w:fldChar w:fldCharType="begin"/>
              </w:r>
              <w:r w:rsidRPr="005F3383">
                <w:rPr>
                  <w:rFonts w:eastAsiaTheme="minorHAnsi" w:cstheme="minorBidi"/>
                  <w:sz w:val="20"/>
                  <w:lang w:eastAsia="en-US"/>
                </w:rPr>
                <w:instrText xml:space="preserve"> NUMPAGES  \* Arabic  \* MERGEFORMAT </w:instrText>
              </w:r>
              <w:r w:rsidRPr="005F3383">
                <w:rPr>
                  <w:rFonts w:eastAsiaTheme="minorHAnsi" w:cstheme="minorBidi"/>
                  <w:sz w:val="20"/>
                  <w:lang w:eastAsia="en-US"/>
                </w:rPr>
                <w:fldChar w:fldCharType="separate"/>
              </w:r>
              <w:r w:rsidRPr="005F3383">
                <w:rPr>
                  <w:rFonts w:eastAsiaTheme="minorHAnsi" w:cstheme="minorBidi"/>
                  <w:sz w:val="20"/>
                  <w:lang w:eastAsia="en-US"/>
                </w:rPr>
                <w:t>26</w:t>
              </w:r>
              <w:r w:rsidRPr="005F3383">
                <w:rPr>
                  <w:rFonts w:eastAsiaTheme="minorHAnsi" w:cstheme="minorBidi"/>
                  <w:sz w:val="20"/>
                  <w:lang w:eastAsia="en-US"/>
                </w:rPr>
                <w:fldChar w:fldCharType="end"/>
              </w:r>
            </w:sdtContent>
          </w:sdt>
        </w:p>
        <w:p w:rsidR="009C33FF" w:rsidRPr="005F3383" w:rsidRDefault="00C37AD0" w:rsidP="009C33FF">
          <w:pPr>
            <w:tabs>
              <w:tab w:val="left" w:pos="2100"/>
            </w:tabs>
            <w:spacing w:before="0"/>
            <w:jc w:val="left"/>
            <w:rPr>
              <w:sz w:val="18"/>
              <w:szCs w:val="18"/>
            </w:rPr>
          </w:pPr>
          <w:proofErr w:type="spellStart"/>
          <w:r>
            <w:rPr>
              <w:rFonts w:eastAsiaTheme="minorHAnsi" w:cstheme="minorBidi"/>
              <w:b/>
              <w:color w:val="00B0F0"/>
              <w:sz w:val="18"/>
              <w:szCs w:val="18"/>
              <w:lang w:eastAsia="en-US"/>
            </w:rPr>
            <w:t>A</w:t>
          </w:r>
          <w:r w:rsidR="009C33FF">
            <w:rPr>
              <w:rFonts w:eastAsiaTheme="minorHAnsi" w:cstheme="minorBidi"/>
              <w:b/>
              <w:color w:val="00B0F0"/>
              <w:sz w:val="18"/>
              <w:szCs w:val="18"/>
              <w:lang w:eastAsia="en-US"/>
            </w:rPr>
            <w:t>PfQK</w:t>
          </w:r>
          <w:proofErr w:type="spellEnd"/>
          <w:r w:rsidR="009C33FF" w:rsidRPr="005F3383">
            <w:rPr>
              <w:rFonts w:eastAsiaTheme="minorHAnsi" w:cstheme="minorBidi"/>
              <w:b/>
              <w:color w:val="00B0F0"/>
              <w:sz w:val="18"/>
              <w:szCs w:val="18"/>
              <w:lang w:eastAsia="en-US"/>
            </w:rPr>
            <w:t xml:space="preserve"> 2025</w:t>
          </w:r>
        </w:p>
      </w:tc>
      <w:tc>
        <w:tcPr>
          <w:tcW w:w="4143" w:type="dxa"/>
          <w:vAlign w:val="bottom"/>
        </w:tcPr>
        <w:p w:rsidR="009C33FF" w:rsidRDefault="009C33FF" w:rsidP="009C33FF">
          <w:pPr>
            <w:tabs>
              <w:tab w:val="center" w:pos="4536"/>
              <w:tab w:val="right" w:pos="9072"/>
              <w:tab w:val="left" w:pos="9781"/>
            </w:tabs>
            <w:spacing w:before="0"/>
            <w:jc w:val="center"/>
            <w:rPr>
              <w:sz w:val="20"/>
            </w:rPr>
          </w:pPr>
          <w:r>
            <w:rPr>
              <w:noProof/>
              <w:sz w:val="20"/>
            </w:rPr>
            <w:drawing>
              <wp:inline distT="0" distB="0" distL="0" distR="0" wp14:anchorId="1AFA52AE" wp14:editId="104296AF">
                <wp:extent cx="1447800" cy="395605"/>
                <wp:effectExtent l="0" t="0" r="0" b="444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95605"/>
                        </a:xfrm>
                        <a:prstGeom prst="rect">
                          <a:avLst/>
                        </a:prstGeom>
                        <a:noFill/>
                        <a:ln>
                          <a:noFill/>
                        </a:ln>
                      </pic:spPr>
                    </pic:pic>
                  </a:graphicData>
                </a:graphic>
              </wp:inline>
            </w:drawing>
          </w:r>
        </w:p>
      </w:tc>
      <w:tc>
        <w:tcPr>
          <w:tcW w:w="2235" w:type="dxa"/>
          <w:vAlign w:val="bottom"/>
        </w:tcPr>
        <w:p w:rsidR="009C33FF" w:rsidRPr="0009625D" w:rsidRDefault="009C33FF" w:rsidP="009C33FF">
          <w:pPr>
            <w:tabs>
              <w:tab w:val="left" w:pos="1731"/>
            </w:tabs>
            <w:spacing w:before="0"/>
            <w:ind w:right="-110"/>
            <w:jc w:val="right"/>
            <w:rPr>
              <w:rFonts w:eastAsiaTheme="minorHAnsi" w:cstheme="minorBidi"/>
              <w:b/>
              <w:color w:val="00B0F0"/>
              <w:sz w:val="16"/>
              <w:szCs w:val="16"/>
              <w:lang w:eastAsia="en-US"/>
            </w:rPr>
          </w:pPr>
          <w:r>
            <w:rPr>
              <w:rFonts w:eastAsiaTheme="minorHAnsi" w:cstheme="minorBidi"/>
              <w:b/>
              <w:color w:val="00B0F0"/>
              <w:sz w:val="20"/>
              <w:lang w:eastAsia="en-US"/>
            </w:rPr>
            <w:t xml:space="preserve">Rechtsvorschrift </w:t>
          </w:r>
          <w:r w:rsidR="00C37AD0">
            <w:rPr>
              <w:rFonts w:eastAsiaTheme="minorHAnsi" w:cstheme="minorBidi"/>
              <w:b/>
              <w:color w:val="00B0F0"/>
              <w:sz w:val="20"/>
              <w:lang w:eastAsia="en-US"/>
            </w:rPr>
            <w:t>3/</w:t>
          </w:r>
          <w:r w:rsidR="00943A35">
            <w:rPr>
              <w:rFonts w:eastAsiaTheme="minorHAnsi" w:cstheme="minorBidi"/>
              <w:b/>
              <w:color w:val="00B0F0"/>
              <w:sz w:val="20"/>
              <w:lang w:eastAsia="en-US"/>
            </w:rPr>
            <w:t>2</w:t>
          </w:r>
        </w:p>
      </w:tc>
    </w:tr>
  </w:tbl>
  <w:p w:rsidR="00567A77" w:rsidRPr="007C5B77" w:rsidRDefault="00567A77" w:rsidP="007C5B77">
    <w:pPr>
      <w:pStyle w:val="Fuzeile"/>
      <w:spacing w:before="0"/>
      <w:rPr>
        <w:rFonts w:eastAsiaTheme="minorHAnsi"/>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94"/>
      <w:gridCol w:w="4143"/>
      <w:gridCol w:w="2235"/>
    </w:tblGrid>
    <w:tr w:rsidR="009C33FF" w:rsidTr="00B309DD">
      <w:trPr>
        <w:trHeight w:hRule="exact" w:val="1333"/>
      </w:trPr>
      <w:tc>
        <w:tcPr>
          <w:tcW w:w="2694" w:type="dxa"/>
          <w:vAlign w:val="bottom"/>
        </w:tcPr>
        <w:p w:rsidR="009C33FF" w:rsidRPr="005F3383" w:rsidRDefault="009C33FF" w:rsidP="009C33FF">
          <w:pPr>
            <w:tabs>
              <w:tab w:val="left" w:pos="2100"/>
            </w:tabs>
            <w:spacing w:before="0"/>
            <w:jc w:val="left"/>
            <w:rPr>
              <w:rFonts w:eastAsiaTheme="minorHAnsi" w:cstheme="minorBidi"/>
              <w:sz w:val="20"/>
              <w:lang w:eastAsia="en-US"/>
            </w:rPr>
          </w:pPr>
          <w:r w:rsidRPr="005F3383">
            <w:rPr>
              <w:sz w:val="20"/>
            </w:rPr>
            <w:t xml:space="preserve">Seite </w:t>
          </w:r>
          <w:r w:rsidRPr="005F3383">
            <w:rPr>
              <w:rFonts w:eastAsiaTheme="minorHAnsi" w:cstheme="minorBidi"/>
              <w:sz w:val="20"/>
              <w:lang w:eastAsia="en-US"/>
            </w:rPr>
            <w:fldChar w:fldCharType="begin"/>
          </w:r>
          <w:r w:rsidRPr="005F3383">
            <w:rPr>
              <w:rFonts w:eastAsiaTheme="minorHAnsi" w:cstheme="minorBidi"/>
              <w:sz w:val="20"/>
              <w:lang w:eastAsia="en-US"/>
            </w:rPr>
            <w:instrText>PAGE   \* MERGEFORMAT</w:instrText>
          </w:r>
          <w:r w:rsidRPr="005F3383">
            <w:rPr>
              <w:rFonts w:eastAsiaTheme="minorHAnsi" w:cstheme="minorBidi"/>
              <w:sz w:val="20"/>
              <w:lang w:eastAsia="en-US"/>
            </w:rPr>
            <w:fldChar w:fldCharType="separate"/>
          </w:r>
          <w:r w:rsidRPr="005F3383">
            <w:rPr>
              <w:rFonts w:eastAsiaTheme="minorHAnsi" w:cstheme="minorBidi"/>
              <w:sz w:val="20"/>
              <w:lang w:eastAsia="en-US"/>
            </w:rPr>
            <w:t>1</w:t>
          </w:r>
          <w:r w:rsidRPr="005F3383">
            <w:rPr>
              <w:rFonts w:eastAsiaTheme="minorHAnsi" w:cstheme="minorBidi"/>
              <w:sz w:val="20"/>
              <w:lang w:eastAsia="en-US"/>
            </w:rPr>
            <w:fldChar w:fldCharType="end"/>
          </w:r>
          <w:r w:rsidRPr="005F3383">
            <w:rPr>
              <w:rFonts w:eastAsiaTheme="minorHAnsi" w:cstheme="minorBidi"/>
              <w:sz w:val="20"/>
              <w:lang w:eastAsia="en-US"/>
            </w:rPr>
            <w:t xml:space="preserve"> </w:t>
          </w:r>
          <w:sdt>
            <w:sdtPr>
              <w:rPr>
                <w:rFonts w:eastAsiaTheme="minorHAnsi" w:cstheme="minorBidi"/>
                <w:sz w:val="20"/>
                <w:lang w:eastAsia="en-US"/>
              </w:rPr>
              <w:id w:val="-2044278080"/>
              <w:docPartObj>
                <w:docPartGallery w:val="Page Numbers (Top of Page)"/>
                <w:docPartUnique/>
              </w:docPartObj>
            </w:sdtPr>
            <w:sdtEndPr/>
            <w:sdtContent>
              <w:r w:rsidRPr="005F3383">
                <w:rPr>
                  <w:rFonts w:eastAsiaTheme="minorHAnsi" w:cstheme="minorBidi"/>
                  <w:sz w:val="20"/>
                  <w:lang w:eastAsia="en-US"/>
                </w:rPr>
                <w:t xml:space="preserve">von </w:t>
              </w:r>
              <w:r w:rsidRPr="005F3383">
                <w:rPr>
                  <w:rFonts w:eastAsiaTheme="minorHAnsi" w:cstheme="minorBidi"/>
                  <w:sz w:val="20"/>
                  <w:lang w:eastAsia="en-US"/>
                </w:rPr>
                <w:fldChar w:fldCharType="begin"/>
              </w:r>
              <w:r w:rsidRPr="005F3383">
                <w:rPr>
                  <w:rFonts w:eastAsiaTheme="minorHAnsi" w:cstheme="minorBidi"/>
                  <w:sz w:val="20"/>
                  <w:lang w:eastAsia="en-US"/>
                </w:rPr>
                <w:instrText xml:space="preserve"> NUMPAGES  \* Arabic  \* MERGEFORMAT </w:instrText>
              </w:r>
              <w:r w:rsidRPr="005F3383">
                <w:rPr>
                  <w:rFonts w:eastAsiaTheme="minorHAnsi" w:cstheme="minorBidi"/>
                  <w:sz w:val="20"/>
                  <w:lang w:eastAsia="en-US"/>
                </w:rPr>
                <w:fldChar w:fldCharType="separate"/>
              </w:r>
              <w:r w:rsidRPr="005F3383">
                <w:rPr>
                  <w:rFonts w:eastAsiaTheme="minorHAnsi" w:cstheme="minorBidi"/>
                  <w:sz w:val="20"/>
                  <w:lang w:eastAsia="en-US"/>
                </w:rPr>
                <w:t>26</w:t>
              </w:r>
              <w:r w:rsidRPr="005F3383">
                <w:rPr>
                  <w:rFonts w:eastAsiaTheme="minorHAnsi" w:cstheme="minorBidi"/>
                  <w:sz w:val="20"/>
                  <w:lang w:eastAsia="en-US"/>
                </w:rPr>
                <w:fldChar w:fldCharType="end"/>
              </w:r>
            </w:sdtContent>
          </w:sdt>
        </w:p>
        <w:p w:rsidR="009C33FF" w:rsidRPr="005F3383" w:rsidRDefault="00C37AD0" w:rsidP="009C33FF">
          <w:pPr>
            <w:tabs>
              <w:tab w:val="left" w:pos="2100"/>
            </w:tabs>
            <w:spacing w:before="0"/>
            <w:jc w:val="left"/>
            <w:rPr>
              <w:sz w:val="18"/>
              <w:szCs w:val="18"/>
            </w:rPr>
          </w:pPr>
          <w:proofErr w:type="spellStart"/>
          <w:r>
            <w:rPr>
              <w:rFonts w:eastAsiaTheme="minorHAnsi" w:cstheme="minorBidi"/>
              <w:b/>
              <w:color w:val="00B0F0"/>
              <w:sz w:val="18"/>
              <w:szCs w:val="18"/>
              <w:lang w:eastAsia="en-US"/>
            </w:rPr>
            <w:t>A</w:t>
          </w:r>
          <w:r w:rsidR="009C33FF">
            <w:rPr>
              <w:rFonts w:eastAsiaTheme="minorHAnsi" w:cstheme="minorBidi"/>
              <w:b/>
              <w:color w:val="00B0F0"/>
              <w:sz w:val="18"/>
              <w:szCs w:val="18"/>
              <w:lang w:eastAsia="en-US"/>
            </w:rPr>
            <w:t>PfQK</w:t>
          </w:r>
          <w:proofErr w:type="spellEnd"/>
          <w:r w:rsidR="009C33FF" w:rsidRPr="005F3383">
            <w:rPr>
              <w:rFonts w:eastAsiaTheme="minorHAnsi" w:cstheme="minorBidi"/>
              <w:b/>
              <w:color w:val="00B0F0"/>
              <w:sz w:val="18"/>
              <w:szCs w:val="18"/>
              <w:lang w:eastAsia="en-US"/>
            </w:rPr>
            <w:t xml:space="preserve"> 2025</w:t>
          </w:r>
        </w:p>
      </w:tc>
      <w:tc>
        <w:tcPr>
          <w:tcW w:w="4143" w:type="dxa"/>
          <w:vAlign w:val="bottom"/>
        </w:tcPr>
        <w:p w:rsidR="009C33FF" w:rsidRDefault="009C33FF" w:rsidP="009C33FF">
          <w:pPr>
            <w:tabs>
              <w:tab w:val="center" w:pos="4536"/>
              <w:tab w:val="right" w:pos="9072"/>
              <w:tab w:val="left" w:pos="9781"/>
            </w:tabs>
            <w:spacing w:before="0"/>
            <w:jc w:val="center"/>
            <w:rPr>
              <w:sz w:val="20"/>
            </w:rPr>
          </w:pPr>
          <w:r>
            <w:rPr>
              <w:noProof/>
              <w:sz w:val="20"/>
            </w:rPr>
            <w:drawing>
              <wp:inline distT="0" distB="0" distL="0" distR="0" wp14:anchorId="0C6855D4" wp14:editId="19B154EC">
                <wp:extent cx="1447800" cy="395605"/>
                <wp:effectExtent l="0" t="0" r="0" b="444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95605"/>
                        </a:xfrm>
                        <a:prstGeom prst="rect">
                          <a:avLst/>
                        </a:prstGeom>
                        <a:noFill/>
                        <a:ln>
                          <a:noFill/>
                        </a:ln>
                      </pic:spPr>
                    </pic:pic>
                  </a:graphicData>
                </a:graphic>
              </wp:inline>
            </w:drawing>
          </w:r>
        </w:p>
      </w:tc>
      <w:tc>
        <w:tcPr>
          <w:tcW w:w="2235" w:type="dxa"/>
          <w:vAlign w:val="bottom"/>
        </w:tcPr>
        <w:p w:rsidR="009C33FF" w:rsidRPr="0009625D" w:rsidRDefault="009C33FF" w:rsidP="009C33FF">
          <w:pPr>
            <w:tabs>
              <w:tab w:val="left" w:pos="1731"/>
            </w:tabs>
            <w:spacing w:before="0"/>
            <w:ind w:right="-110"/>
            <w:jc w:val="right"/>
            <w:rPr>
              <w:rFonts w:eastAsiaTheme="minorHAnsi" w:cstheme="minorBidi"/>
              <w:b/>
              <w:color w:val="00B0F0"/>
              <w:sz w:val="16"/>
              <w:szCs w:val="16"/>
              <w:lang w:eastAsia="en-US"/>
            </w:rPr>
          </w:pPr>
          <w:r>
            <w:rPr>
              <w:rFonts w:eastAsiaTheme="minorHAnsi" w:cstheme="minorBidi"/>
              <w:b/>
              <w:color w:val="00B0F0"/>
              <w:sz w:val="20"/>
              <w:lang w:eastAsia="en-US"/>
            </w:rPr>
            <w:t xml:space="preserve">Rechtsvorschrift </w:t>
          </w:r>
          <w:r w:rsidR="00C37AD0">
            <w:rPr>
              <w:rFonts w:eastAsiaTheme="minorHAnsi" w:cstheme="minorBidi"/>
              <w:b/>
              <w:color w:val="00B0F0"/>
              <w:sz w:val="20"/>
              <w:lang w:eastAsia="en-US"/>
            </w:rPr>
            <w:t>3/</w:t>
          </w:r>
          <w:r w:rsidR="00943A35">
            <w:rPr>
              <w:rFonts w:eastAsiaTheme="minorHAnsi" w:cstheme="minorBidi"/>
              <w:b/>
              <w:color w:val="00B0F0"/>
              <w:sz w:val="20"/>
              <w:lang w:eastAsia="en-US"/>
            </w:rPr>
            <w:t>2</w:t>
          </w:r>
        </w:p>
      </w:tc>
    </w:tr>
  </w:tbl>
  <w:p w:rsidR="00567A77" w:rsidRPr="007C5B77" w:rsidRDefault="00567A77" w:rsidP="00163360">
    <w:pPr>
      <w:tabs>
        <w:tab w:val="center" w:pos="4536"/>
        <w:tab w:val="right" w:pos="9072"/>
        <w:tab w:val="left" w:pos="9781"/>
      </w:tabs>
      <w:spacing w:before="0"/>
      <w:rPr>
        <w:rFonts w:eastAsiaTheme="minorHAnsi"/>
        <w:sz w:val="8"/>
        <w:szCs w:val="8"/>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139" w:rsidRDefault="00987139" w:rsidP="00EE217B">
      <w:pPr>
        <w:pStyle w:val="Fuzeile"/>
      </w:pPr>
    </w:p>
    <w:p w:rsidR="00987139" w:rsidRPr="00EE217B" w:rsidRDefault="00987139" w:rsidP="00EE217B">
      <w:pPr>
        <w:spacing w:before="0"/>
        <w:jc w:val="center"/>
      </w:pPr>
      <w:r w:rsidRPr="00027F72">
        <w:separator/>
      </w:r>
      <w:r w:rsidRPr="00027F72">
        <w:separator/>
      </w:r>
    </w:p>
  </w:footnote>
  <w:footnote w:type="continuationSeparator" w:id="0">
    <w:p w:rsidR="00987139" w:rsidRDefault="00987139" w:rsidP="00711AB6">
      <w:pPr>
        <w:spacing w:before="0"/>
        <w:jc w:val="center"/>
      </w:pPr>
    </w:p>
    <w:p w:rsidR="00987139" w:rsidRPr="00711AB6" w:rsidRDefault="00987139" w:rsidP="00711AB6">
      <w:pPr>
        <w:spacing w:before="0"/>
        <w:jc w:val="center"/>
      </w:pPr>
      <w:r w:rsidRPr="00027F72">
        <w:separator/>
      </w:r>
      <w:r w:rsidRPr="00027F72">
        <w:separator/>
      </w:r>
    </w:p>
  </w:footnote>
  <w:footnote w:id="1">
    <w:p w:rsidR="00FC0710" w:rsidRDefault="00FC0710" w:rsidP="00FC0710">
      <w:pPr>
        <w:pStyle w:val="Funotentext"/>
      </w:pPr>
      <w:r>
        <w:rPr>
          <w:rStyle w:val="Funotenzeichen"/>
        </w:rPr>
        <w:footnoteRef/>
      </w:r>
      <w:r>
        <w:t xml:space="preserve"> Quelle: BS WP/vBP § 49</w:t>
      </w:r>
    </w:p>
  </w:footnote>
  <w:footnote w:id="2">
    <w:p w:rsidR="00FC0710" w:rsidRDefault="00FC0710" w:rsidP="00FC0710">
      <w:pPr>
        <w:pStyle w:val="Funotentext"/>
      </w:pPr>
      <w:r>
        <w:rPr>
          <w:rStyle w:val="Funotenzeichen"/>
        </w:rPr>
        <w:footnoteRef/>
      </w:r>
      <w:r>
        <w:t xml:space="preserve"> Quelle: BS WP/vBP § 63 zur Schaffung von Regelungen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A35" w:rsidRDefault="00943A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A77" w:rsidRDefault="00567A77" w:rsidP="00B73242">
    <w:pPr>
      <w:pStyle w:val="Kopfzeile"/>
      <w:pBdr>
        <w:bottom w:val="none" w:sz="0" w:space="0" w:color="auto"/>
      </w:pBdr>
      <w:spacing w:before="0"/>
      <w:rPr>
        <w:sz w:val="2"/>
        <w:szCs w:val="14"/>
      </w:rPr>
    </w:pPr>
  </w:p>
  <w:p w:rsidR="00567A77" w:rsidRDefault="00567A77" w:rsidP="003C699D">
    <w:pPr>
      <w:pStyle w:val="Kopfzeile"/>
      <w:pBdr>
        <w:bottom w:val="none" w:sz="0" w:space="0" w:color="auto"/>
      </w:pBdr>
      <w:spacing w:before="0"/>
      <w:rPr>
        <w:sz w:val="2"/>
        <w:szCs w:val="14"/>
      </w:rPr>
    </w:pPr>
  </w:p>
  <w:p w:rsidR="00567A77" w:rsidRPr="00665F75" w:rsidRDefault="00567A77" w:rsidP="00B73242">
    <w:pPr>
      <w:pStyle w:val="Kopfzeile"/>
      <w:pBdr>
        <w:bottom w:val="none" w:sz="0" w:space="0" w:color="auto"/>
      </w:pBdr>
      <w:spacing w:before="0"/>
      <w:rPr>
        <w:sz w:val="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A77" w:rsidRPr="003C699D" w:rsidRDefault="00567A77" w:rsidP="00A15352">
    <w:pPr>
      <w:pStyle w:val="Kopfzeile"/>
      <w:pBdr>
        <w:bottom w:val="none" w:sz="0" w:space="0" w:color="auto"/>
      </w:pBdr>
      <w:spacing w:before="0"/>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009F0C8A"/>
    <w:multiLevelType w:val="hybridMultilevel"/>
    <w:tmpl w:val="2F9E4572"/>
    <w:lvl w:ilvl="0" w:tplc="B92438AE">
      <w:start w:val="1"/>
      <w:numFmt w:val="decimal"/>
      <w:lvlText w:val="%1."/>
      <w:lvlJc w:val="center"/>
      <w:pPr>
        <w:ind w:left="360" w:hanging="360"/>
      </w:pPr>
      <w:rPr>
        <w:rFonts w:hint="default"/>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0B6B4757"/>
    <w:multiLevelType w:val="hybridMultilevel"/>
    <w:tmpl w:val="E0C686B6"/>
    <w:lvl w:ilvl="0" w:tplc="9970FE22">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1" w15:restartNumberingAfterBreak="0">
    <w:nsid w:val="1108164F"/>
    <w:multiLevelType w:val="hybridMultilevel"/>
    <w:tmpl w:val="1354D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3" w15:restartNumberingAfterBreak="0">
    <w:nsid w:val="17110A66"/>
    <w:multiLevelType w:val="hybridMultilevel"/>
    <w:tmpl w:val="2FD6A9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3C09DA"/>
    <w:multiLevelType w:val="hybridMultilevel"/>
    <w:tmpl w:val="B6241CC6"/>
    <w:lvl w:ilvl="0" w:tplc="202ED2C6">
      <w:start w:val="2"/>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F54B06"/>
    <w:multiLevelType w:val="hybridMultilevel"/>
    <w:tmpl w:val="63F2BF0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1" w15:restartNumberingAfterBreak="0">
    <w:nsid w:val="72DE103B"/>
    <w:multiLevelType w:val="hybridMultilevel"/>
    <w:tmpl w:val="22EAF6CA"/>
    <w:lvl w:ilvl="0" w:tplc="6090F8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5E6767"/>
    <w:multiLevelType w:val="hybridMultilevel"/>
    <w:tmpl w:val="355C6FBA"/>
    <w:lvl w:ilvl="0" w:tplc="CF58F63C">
      <w:start w:val="1"/>
      <w:numFmt w:val="decimal"/>
      <w:lvlText w:val="%1."/>
      <w:lvlJc w:val="left"/>
      <w:pPr>
        <w:ind w:left="360" w:hanging="360"/>
      </w:pPr>
      <w:rPr>
        <w:b/>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num w:numId="1">
    <w:abstractNumId w:val="23"/>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20"/>
  </w:num>
  <w:num w:numId="12">
    <w:abstractNumId w:val="12"/>
  </w:num>
  <w:num w:numId="13">
    <w:abstractNumId w:val="14"/>
  </w:num>
  <w:num w:numId="14">
    <w:abstractNumId w:val="19"/>
  </w:num>
  <w:num w:numId="15">
    <w:abstractNumId w:val="16"/>
  </w:num>
  <w:num w:numId="16">
    <w:abstractNumId w:val="15"/>
  </w:num>
  <w:num w:numId="17">
    <w:abstractNumId w:val="13"/>
  </w:num>
  <w:num w:numId="18">
    <w:abstractNumId w:val="21"/>
  </w:num>
  <w:num w:numId="19">
    <w:abstractNumId w:val="11"/>
  </w:num>
  <w:num w:numId="20">
    <w:abstractNumId w:val="18"/>
  </w:num>
  <w:num w:numId="21">
    <w:abstractNumId w:val="17"/>
  </w:num>
  <w:num w:numId="22">
    <w:abstractNumId w:val="8"/>
  </w:num>
  <w:num w:numId="23">
    <w:abstractNumId w:val="22"/>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39"/>
    <w:rsid w:val="00002230"/>
    <w:rsid w:val="00002EED"/>
    <w:rsid w:val="000030A9"/>
    <w:rsid w:val="0001477C"/>
    <w:rsid w:val="0002222B"/>
    <w:rsid w:val="0002748A"/>
    <w:rsid w:val="0003242D"/>
    <w:rsid w:val="0004061E"/>
    <w:rsid w:val="000503CF"/>
    <w:rsid w:val="0005326E"/>
    <w:rsid w:val="000616B8"/>
    <w:rsid w:val="00064F40"/>
    <w:rsid w:val="00075E7C"/>
    <w:rsid w:val="00080B9A"/>
    <w:rsid w:val="00086B8A"/>
    <w:rsid w:val="0009344D"/>
    <w:rsid w:val="0009625D"/>
    <w:rsid w:val="00097B2B"/>
    <w:rsid w:val="000B1337"/>
    <w:rsid w:val="000B4910"/>
    <w:rsid w:val="000D40EE"/>
    <w:rsid w:val="000E26F7"/>
    <w:rsid w:val="00111AC6"/>
    <w:rsid w:val="001205E2"/>
    <w:rsid w:val="00143536"/>
    <w:rsid w:val="00143F11"/>
    <w:rsid w:val="0014588B"/>
    <w:rsid w:val="00162F77"/>
    <w:rsid w:val="00163360"/>
    <w:rsid w:val="00165A53"/>
    <w:rsid w:val="00180880"/>
    <w:rsid w:val="00184E10"/>
    <w:rsid w:val="0018719D"/>
    <w:rsid w:val="0019585B"/>
    <w:rsid w:val="001A1B58"/>
    <w:rsid w:val="001B3F50"/>
    <w:rsid w:val="001B7E25"/>
    <w:rsid w:val="001C0D6B"/>
    <w:rsid w:val="001C1789"/>
    <w:rsid w:val="001C49BB"/>
    <w:rsid w:val="001D22E2"/>
    <w:rsid w:val="001E1F96"/>
    <w:rsid w:val="001E38E2"/>
    <w:rsid w:val="001E7A82"/>
    <w:rsid w:val="001F04DD"/>
    <w:rsid w:val="002065BE"/>
    <w:rsid w:val="0021047B"/>
    <w:rsid w:val="00213C34"/>
    <w:rsid w:val="00226794"/>
    <w:rsid w:val="00241C76"/>
    <w:rsid w:val="00257647"/>
    <w:rsid w:val="002717FB"/>
    <w:rsid w:val="00283F41"/>
    <w:rsid w:val="00284FA6"/>
    <w:rsid w:val="00285560"/>
    <w:rsid w:val="00285C0D"/>
    <w:rsid w:val="00290924"/>
    <w:rsid w:val="0029592F"/>
    <w:rsid w:val="002A064F"/>
    <w:rsid w:val="002B17CE"/>
    <w:rsid w:val="002B298F"/>
    <w:rsid w:val="002B37AC"/>
    <w:rsid w:val="002B529F"/>
    <w:rsid w:val="002B7BA2"/>
    <w:rsid w:val="002D0908"/>
    <w:rsid w:val="002D7E2D"/>
    <w:rsid w:val="002F09D8"/>
    <w:rsid w:val="002F2A78"/>
    <w:rsid w:val="002F2C5A"/>
    <w:rsid w:val="002F6B99"/>
    <w:rsid w:val="002F771F"/>
    <w:rsid w:val="00304799"/>
    <w:rsid w:val="0031086B"/>
    <w:rsid w:val="00340216"/>
    <w:rsid w:val="00342964"/>
    <w:rsid w:val="00352142"/>
    <w:rsid w:val="00360F3D"/>
    <w:rsid w:val="00364269"/>
    <w:rsid w:val="00376DCD"/>
    <w:rsid w:val="00382BCD"/>
    <w:rsid w:val="003932A1"/>
    <w:rsid w:val="003A6FEB"/>
    <w:rsid w:val="003B420D"/>
    <w:rsid w:val="003C57A5"/>
    <w:rsid w:val="003C699D"/>
    <w:rsid w:val="003E348F"/>
    <w:rsid w:val="003E5835"/>
    <w:rsid w:val="003F1B18"/>
    <w:rsid w:val="004076E9"/>
    <w:rsid w:val="0041402E"/>
    <w:rsid w:val="00416098"/>
    <w:rsid w:val="004248A0"/>
    <w:rsid w:val="00433509"/>
    <w:rsid w:val="00440D21"/>
    <w:rsid w:val="0044561D"/>
    <w:rsid w:val="00445BB8"/>
    <w:rsid w:val="0044742E"/>
    <w:rsid w:val="00454705"/>
    <w:rsid w:val="00465DB3"/>
    <w:rsid w:val="004867BC"/>
    <w:rsid w:val="0049126F"/>
    <w:rsid w:val="004B2234"/>
    <w:rsid w:val="004B5526"/>
    <w:rsid w:val="004B5A8E"/>
    <w:rsid w:val="004B6415"/>
    <w:rsid w:val="004C3F5D"/>
    <w:rsid w:val="004C60FF"/>
    <w:rsid w:val="004D43D5"/>
    <w:rsid w:val="004D6C91"/>
    <w:rsid w:val="004E699D"/>
    <w:rsid w:val="004F1C26"/>
    <w:rsid w:val="004F1E92"/>
    <w:rsid w:val="0050152B"/>
    <w:rsid w:val="005060F4"/>
    <w:rsid w:val="00516181"/>
    <w:rsid w:val="00516C43"/>
    <w:rsid w:val="0052103B"/>
    <w:rsid w:val="00525CDB"/>
    <w:rsid w:val="00527267"/>
    <w:rsid w:val="00534A4B"/>
    <w:rsid w:val="005473EF"/>
    <w:rsid w:val="0055136F"/>
    <w:rsid w:val="0055156D"/>
    <w:rsid w:val="00567521"/>
    <w:rsid w:val="00567A77"/>
    <w:rsid w:val="00583AA1"/>
    <w:rsid w:val="00590DC2"/>
    <w:rsid w:val="005913EC"/>
    <w:rsid w:val="005921A2"/>
    <w:rsid w:val="005967E6"/>
    <w:rsid w:val="005B4841"/>
    <w:rsid w:val="005B57D7"/>
    <w:rsid w:val="005B7F7F"/>
    <w:rsid w:val="005C1C85"/>
    <w:rsid w:val="005C3B25"/>
    <w:rsid w:val="005C5708"/>
    <w:rsid w:val="005D1825"/>
    <w:rsid w:val="005D26BD"/>
    <w:rsid w:val="005D2A74"/>
    <w:rsid w:val="005E07BD"/>
    <w:rsid w:val="005E7803"/>
    <w:rsid w:val="005F3383"/>
    <w:rsid w:val="005F6F40"/>
    <w:rsid w:val="00632C1A"/>
    <w:rsid w:val="006407A6"/>
    <w:rsid w:val="006454CF"/>
    <w:rsid w:val="0065198F"/>
    <w:rsid w:val="006521FF"/>
    <w:rsid w:val="006539E4"/>
    <w:rsid w:val="00665F75"/>
    <w:rsid w:val="0066763B"/>
    <w:rsid w:val="00672D01"/>
    <w:rsid w:val="00684B37"/>
    <w:rsid w:val="00692868"/>
    <w:rsid w:val="006C4228"/>
    <w:rsid w:val="006D45A1"/>
    <w:rsid w:val="006E24F6"/>
    <w:rsid w:val="006E7126"/>
    <w:rsid w:val="007026D1"/>
    <w:rsid w:val="00705106"/>
    <w:rsid w:val="00711AB6"/>
    <w:rsid w:val="00716DD5"/>
    <w:rsid w:val="00720E5C"/>
    <w:rsid w:val="00737BF1"/>
    <w:rsid w:val="00742EA1"/>
    <w:rsid w:val="00744772"/>
    <w:rsid w:val="007506E6"/>
    <w:rsid w:val="007626C5"/>
    <w:rsid w:val="00763FC1"/>
    <w:rsid w:val="007648E0"/>
    <w:rsid w:val="00765666"/>
    <w:rsid w:val="0078728B"/>
    <w:rsid w:val="00790130"/>
    <w:rsid w:val="00796513"/>
    <w:rsid w:val="007A060E"/>
    <w:rsid w:val="007A3193"/>
    <w:rsid w:val="007A3E0C"/>
    <w:rsid w:val="007B1945"/>
    <w:rsid w:val="007C5B77"/>
    <w:rsid w:val="007D3976"/>
    <w:rsid w:val="007E0249"/>
    <w:rsid w:val="007F3A7C"/>
    <w:rsid w:val="008000CB"/>
    <w:rsid w:val="00802ED4"/>
    <w:rsid w:val="00805892"/>
    <w:rsid w:val="0081072B"/>
    <w:rsid w:val="008248D3"/>
    <w:rsid w:val="00840C2B"/>
    <w:rsid w:val="008471C9"/>
    <w:rsid w:val="00855B99"/>
    <w:rsid w:val="00862DDF"/>
    <w:rsid w:val="00870FFE"/>
    <w:rsid w:val="00872C95"/>
    <w:rsid w:val="00872F5F"/>
    <w:rsid w:val="0087591D"/>
    <w:rsid w:val="0088020C"/>
    <w:rsid w:val="00884570"/>
    <w:rsid w:val="00891EEA"/>
    <w:rsid w:val="008976BA"/>
    <w:rsid w:val="008A5560"/>
    <w:rsid w:val="008C44B0"/>
    <w:rsid w:val="008C6D44"/>
    <w:rsid w:val="008D1A8E"/>
    <w:rsid w:val="008E0D82"/>
    <w:rsid w:val="008E0FC7"/>
    <w:rsid w:val="008F75E7"/>
    <w:rsid w:val="009062E6"/>
    <w:rsid w:val="009075A9"/>
    <w:rsid w:val="009212B4"/>
    <w:rsid w:val="009219D5"/>
    <w:rsid w:val="00940184"/>
    <w:rsid w:val="00943A35"/>
    <w:rsid w:val="0095198B"/>
    <w:rsid w:val="00963275"/>
    <w:rsid w:val="00970211"/>
    <w:rsid w:val="009760D0"/>
    <w:rsid w:val="00987139"/>
    <w:rsid w:val="0099236A"/>
    <w:rsid w:val="00995EE2"/>
    <w:rsid w:val="009A6E64"/>
    <w:rsid w:val="009C2FF2"/>
    <w:rsid w:val="009C33FF"/>
    <w:rsid w:val="009C6EFB"/>
    <w:rsid w:val="009D429E"/>
    <w:rsid w:val="009E1FB1"/>
    <w:rsid w:val="009E4C28"/>
    <w:rsid w:val="009F6E01"/>
    <w:rsid w:val="00A06317"/>
    <w:rsid w:val="00A075E6"/>
    <w:rsid w:val="00A15352"/>
    <w:rsid w:val="00A237ED"/>
    <w:rsid w:val="00A31197"/>
    <w:rsid w:val="00A5114A"/>
    <w:rsid w:val="00A613A1"/>
    <w:rsid w:val="00A649A3"/>
    <w:rsid w:val="00A7113B"/>
    <w:rsid w:val="00A75CE3"/>
    <w:rsid w:val="00A8486F"/>
    <w:rsid w:val="00A87FE5"/>
    <w:rsid w:val="00A946ED"/>
    <w:rsid w:val="00AA65D6"/>
    <w:rsid w:val="00AB0EBF"/>
    <w:rsid w:val="00AB3372"/>
    <w:rsid w:val="00AC17EE"/>
    <w:rsid w:val="00AE290A"/>
    <w:rsid w:val="00AF1983"/>
    <w:rsid w:val="00AF5D37"/>
    <w:rsid w:val="00B13741"/>
    <w:rsid w:val="00B15817"/>
    <w:rsid w:val="00B1680D"/>
    <w:rsid w:val="00B21EEF"/>
    <w:rsid w:val="00B22993"/>
    <w:rsid w:val="00B24C33"/>
    <w:rsid w:val="00B261B2"/>
    <w:rsid w:val="00B367CE"/>
    <w:rsid w:val="00B62D3C"/>
    <w:rsid w:val="00B6345C"/>
    <w:rsid w:val="00B73242"/>
    <w:rsid w:val="00B77530"/>
    <w:rsid w:val="00BA02EC"/>
    <w:rsid w:val="00BA1533"/>
    <w:rsid w:val="00BA1564"/>
    <w:rsid w:val="00BA7590"/>
    <w:rsid w:val="00BC6A51"/>
    <w:rsid w:val="00BD2864"/>
    <w:rsid w:val="00BD37FF"/>
    <w:rsid w:val="00BD62C0"/>
    <w:rsid w:val="00BD7776"/>
    <w:rsid w:val="00BE368B"/>
    <w:rsid w:val="00BF0354"/>
    <w:rsid w:val="00BF2B89"/>
    <w:rsid w:val="00BF7EB9"/>
    <w:rsid w:val="00C24E59"/>
    <w:rsid w:val="00C30D7D"/>
    <w:rsid w:val="00C37AD0"/>
    <w:rsid w:val="00C43D74"/>
    <w:rsid w:val="00C45CD7"/>
    <w:rsid w:val="00C470A2"/>
    <w:rsid w:val="00C61048"/>
    <w:rsid w:val="00C81429"/>
    <w:rsid w:val="00C8522D"/>
    <w:rsid w:val="00C915CD"/>
    <w:rsid w:val="00C91AC1"/>
    <w:rsid w:val="00C940C7"/>
    <w:rsid w:val="00CA5FDE"/>
    <w:rsid w:val="00CA6FFC"/>
    <w:rsid w:val="00CB24C7"/>
    <w:rsid w:val="00CC19EF"/>
    <w:rsid w:val="00CD1A9A"/>
    <w:rsid w:val="00CD4117"/>
    <w:rsid w:val="00CE73C2"/>
    <w:rsid w:val="00D13BD1"/>
    <w:rsid w:val="00D45365"/>
    <w:rsid w:val="00D61222"/>
    <w:rsid w:val="00D81926"/>
    <w:rsid w:val="00DA6374"/>
    <w:rsid w:val="00DB3534"/>
    <w:rsid w:val="00DB3B77"/>
    <w:rsid w:val="00DC5CF9"/>
    <w:rsid w:val="00DD3447"/>
    <w:rsid w:val="00DD5810"/>
    <w:rsid w:val="00DE04D4"/>
    <w:rsid w:val="00DE10AB"/>
    <w:rsid w:val="00DE2B44"/>
    <w:rsid w:val="00DE5B92"/>
    <w:rsid w:val="00DE7A5F"/>
    <w:rsid w:val="00E016C0"/>
    <w:rsid w:val="00E106C4"/>
    <w:rsid w:val="00E211D2"/>
    <w:rsid w:val="00E342CA"/>
    <w:rsid w:val="00E368C3"/>
    <w:rsid w:val="00E50734"/>
    <w:rsid w:val="00E54CF5"/>
    <w:rsid w:val="00E57522"/>
    <w:rsid w:val="00E57793"/>
    <w:rsid w:val="00E61BCD"/>
    <w:rsid w:val="00E72E48"/>
    <w:rsid w:val="00E77518"/>
    <w:rsid w:val="00E86ACC"/>
    <w:rsid w:val="00EA2ACF"/>
    <w:rsid w:val="00EA74B3"/>
    <w:rsid w:val="00EC00F0"/>
    <w:rsid w:val="00EE217B"/>
    <w:rsid w:val="00EE6A9D"/>
    <w:rsid w:val="00EF2558"/>
    <w:rsid w:val="00F029CC"/>
    <w:rsid w:val="00F02A61"/>
    <w:rsid w:val="00F2421E"/>
    <w:rsid w:val="00F3121A"/>
    <w:rsid w:val="00F35247"/>
    <w:rsid w:val="00F43427"/>
    <w:rsid w:val="00F508B7"/>
    <w:rsid w:val="00F51F9C"/>
    <w:rsid w:val="00F579A0"/>
    <w:rsid w:val="00F607DD"/>
    <w:rsid w:val="00F672A4"/>
    <w:rsid w:val="00F67FF5"/>
    <w:rsid w:val="00F87375"/>
    <w:rsid w:val="00F920AB"/>
    <w:rsid w:val="00FA1E51"/>
    <w:rsid w:val="00FB19BE"/>
    <w:rsid w:val="00FB74D4"/>
    <w:rsid w:val="00FC0710"/>
    <w:rsid w:val="00FD0600"/>
    <w:rsid w:val="00FD6CCC"/>
    <w:rsid w:val="00FE65A7"/>
    <w:rsid w:val="00FF40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95B077"/>
  <w15:docId w15:val="{1832609E-25EA-4448-B0A6-4DAFC614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jure.org/gesetze/WPO/51b.htm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ejure.org/gesetze/HGB/319b.html" TargetMode="External"/><Relationship Id="rId17" Type="http://schemas.openxmlformats.org/officeDocument/2006/relationships/hyperlink" Target="http://eur-lex.europa.eu/legal-content/DE/TXT/?uri=celex:32014R0537&amp;locale=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jure.org/gesetze/HGB/316.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jure.org/gesetze/HGB/319.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ejure.org/gesetze/WPO/55.html" TargetMode="External"/><Relationship Id="rId23" Type="http://schemas.openxmlformats.org/officeDocument/2006/relationships/footer" Target="footer3.xml"/><Relationship Id="rId10" Type="http://schemas.openxmlformats.org/officeDocument/2006/relationships/hyperlink" Target="https://dejure.org/gesetze/WPO/44.html"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dejure.org/gesetze/HGB/316.html" TargetMode="External"/><Relationship Id="rId14" Type="http://schemas.openxmlformats.org/officeDocument/2006/relationships/hyperlink" Target="http://eur-lex.europa.eu/legal-content/DE/TXT/?uri=celex:32014R0537&amp;locale=d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UD_220_Bearbeitung\AUD_220_2_Fertigstellung%20AUDfIT-Team\QS%20QK%202025\Vorlage%20Praxishilfe%20L&#214;SLE_NEU_202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DDD1C799-EE9C-4DEE-BC39-1E22A702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Praxishilfe LÖSLE_NEU_2025.dotx</Template>
  <TotalTime>0</TotalTime>
  <Pages>3</Pages>
  <Words>936</Words>
  <Characters>6993</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Hirth, Tina - LÖSLE</dc:creator>
  <cp:lastModifiedBy>Hirth, Tina - LÖSLE</cp:lastModifiedBy>
  <cp:revision>7</cp:revision>
  <cp:lastPrinted>2025-09-12T10:02:00Z</cp:lastPrinted>
  <dcterms:created xsi:type="dcterms:W3CDTF">2025-09-02T09:24:00Z</dcterms:created>
  <dcterms:modified xsi:type="dcterms:W3CDTF">2025-09-19T06:48:00Z</dcterms:modified>
</cp:coreProperties>
</file>