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73"/>
        <w:gridCol w:w="399"/>
      </w:tblGrid>
      <w:tr w:rsidR="00DD2240" w:rsidRPr="000503CF" w:rsidTr="00DD2240">
        <w:trPr>
          <w:cantSplit/>
          <w:trHeight w:val="874"/>
        </w:trPr>
        <w:tc>
          <w:tcPr>
            <w:tcW w:w="8789" w:type="dxa"/>
            <w:tcBorders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</w:tcPr>
          <w:p w:rsidR="00DD2240" w:rsidRPr="000503CF" w:rsidRDefault="00DD2240" w:rsidP="00A607F5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color w:val="00B0F0"/>
              </w:rPr>
              <w:t>Gegenüberstellung Inhalte der Standards zur Unternehmensbewertung (bisher vs. Entwurfsfassung)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CCECFF"/>
            <w:textDirection w:val="btLr"/>
          </w:tcPr>
          <w:p w:rsidR="00DD2240" w:rsidRPr="00DD2240" w:rsidRDefault="00DD2240" w:rsidP="00DD2240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DD2240">
              <w:rPr>
                <w:rFonts w:ascii="Century Gothic" w:hAnsi="Century Gothic"/>
                <w:b w:val="0"/>
                <w:color w:val="FF0000"/>
                <w:sz w:val="14"/>
                <w:szCs w:val="14"/>
              </w:rPr>
              <w:t>03/2025</w:t>
            </w:r>
          </w:p>
        </w:tc>
      </w:tr>
    </w:tbl>
    <w:p w:rsidR="00604605" w:rsidRPr="00604605" w:rsidRDefault="00604605" w:rsidP="00604605">
      <w:pPr>
        <w:spacing w:before="0"/>
        <w:rPr>
          <w:sz w:val="20"/>
        </w:rPr>
      </w:pPr>
    </w:p>
    <w:tbl>
      <w:tblPr>
        <w:tblStyle w:val="Tabellenraster"/>
        <w:tblW w:w="9072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8"/>
        <w:gridCol w:w="482"/>
        <w:gridCol w:w="3364"/>
        <w:gridCol w:w="286"/>
        <w:gridCol w:w="438"/>
        <w:gridCol w:w="553"/>
        <w:gridCol w:w="3541"/>
      </w:tblGrid>
      <w:tr w:rsidR="00D50164" w:rsidRPr="00E67BF7" w:rsidTr="00AF0044">
        <w:trPr>
          <w:trHeight w:val="201"/>
          <w:tblHeader/>
        </w:trPr>
        <w:tc>
          <w:tcPr>
            <w:tcW w:w="4254" w:type="dxa"/>
            <w:gridSpan w:val="3"/>
            <w:shd w:val="clear" w:color="auto" w:fill="00B0F0"/>
            <w:vAlign w:val="center"/>
          </w:tcPr>
          <w:p w:rsidR="00D50164" w:rsidRPr="00E67BF7" w:rsidRDefault="00D50164" w:rsidP="00A607F5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67BF7">
              <w:rPr>
                <w:b/>
                <w:color w:val="FFFFFF" w:themeColor="background1"/>
                <w:sz w:val="16"/>
                <w:szCs w:val="16"/>
              </w:rPr>
              <w:t xml:space="preserve">IDW S 1 </w:t>
            </w:r>
            <w:proofErr w:type="spellStart"/>
            <w:r w:rsidRPr="00E67BF7">
              <w:rPr>
                <w:b/>
                <w:color w:val="FFFFFF" w:themeColor="background1"/>
                <w:sz w:val="16"/>
                <w:szCs w:val="16"/>
              </w:rPr>
              <w:t>i.d.F</w:t>
            </w:r>
            <w:proofErr w:type="spellEnd"/>
            <w:r w:rsidRPr="00E67BF7">
              <w:rPr>
                <w:b/>
                <w:color w:val="FFFFFF" w:themeColor="background1"/>
                <w:sz w:val="16"/>
                <w:szCs w:val="16"/>
              </w:rPr>
              <w:t>. 2008 (Stand: 04.07.2016)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A607F5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4532" w:type="dxa"/>
            <w:gridSpan w:val="3"/>
            <w:shd w:val="clear" w:color="auto" w:fill="00B0F0"/>
            <w:vAlign w:val="center"/>
          </w:tcPr>
          <w:p w:rsidR="00D50164" w:rsidRPr="00E67BF7" w:rsidRDefault="00D50164" w:rsidP="00A607F5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6"/>
                <w:highlight w:val="red"/>
              </w:rPr>
            </w:pP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IDW ES 1 n.F. (Stand: 07.11.2024)</w:t>
            </w: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1.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Vorbemerkungen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Vorbemerkungen</w:t>
            </w: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2.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Begriffliche Grundlagen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Konzeptionelle</w:t>
            </w:r>
            <w:r w:rsidRPr="00E67BF7">
              <w:rPr>
                <w:sz w:val="16"/>
                <w:szCs w:val="16"/>
              </w:rPr>
              <w:t xml:space="preserve"> und begriffliche Grundlagen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2.1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Inhalt des Unternehmenswerts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2.1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744358" wp14:editId="4348757D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171450</wp:posOffset>
                      </wp:positionV>
                      <wp:extent cx="498763" cy="252000"/>
                      <wp:effectExtent l="38100" t="57150" r="34925" b="53340"/>
                      <wp:wrapNone/>
                      <wp:docPr id="2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164" w:rsidRPr="000E4576" w:rsidRDefault="00D50164" w:rsidP="000E4576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Key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744358" id="Rechteck: abgerundete Ecken 2" o:spid="_x0000_s1026" style="position:absolute;left:0;text-align:left;margin-left:153.55pt;margin-top:13.5pt;width:39.25pt;height:19.85pt;rotation:-60212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" fillcolor="red" strokecolor="black [3213]" strokeweight=".5pt">
                      <v:textbox>
                        <w:txbxContent>
                          <w:p w:rsidR="00D50164" w:rsidRPr="000E4576" w:rsidRDefault="00D50164" w:rsidP="000E4576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Key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>Konzept des Unternehmenswerts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2.2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Bewertungsanlässe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2.2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Bewertungsanlässe und </w:t>
            </w:r>
            <w:r w:rsidRPr="00E67BF7">
              <w:rPr>
                <w:b/>
                <w:sz w:val="16"/>
                <w:szCs w:val="16"/>
              </w:rPr>
              <w:t>Wertkonzepte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2.3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Funktionen des Wirtschaftsprüfers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nil"/>
              <w:right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2.3</w:t>
            </w:r>
          </w:p>
        </w:tc>
        <w:tc>
          <w:tcPr>
            <w:tcW w:w="35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D01340" wp14:editId="427F6C18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175260</wp:posOffset>
                      </wp:positionV>
                      <wp:extent cx="498763" cy="252000"/>
                      <wp:effectExtent l="38100" t="57150" r="34925" b="53340"/>
                      <wp:wrapNone/>
                      <wp:docPr id="8" name="Rechteck: abgerundete Ec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164" w:rsidRPr="000E4576" w:rsidRDefault="00D50164" w:rsidP="0095394E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D01340" id="Rechteck: abgerundete Ecken 8" o:spid="_x0000_s1027" style="position:absolute;left:0;text-align:left;margin-left:149.9pt;margin-top:13.8pt;width:39.25pt;height:19.85pt;rotation:-60212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" fillcolor="red" strokecolor="black [3213]" strokeweight=".5pt">
                      <v:textbox>
                        <w:txbxContent>
                          <w:p w:rsidR="00D50164" w:rsidRPr="000E4576" w:rsidRDefault="00D50164" w:rsidP="0095394E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 xml:space="preserve">Funktionen des Wirtschaftsprüfers und </w:t>
            </w:r>
            <w:r w:rsidRPr="00E67BF7">
              <w:rPr>
                <w:b/>
                <w:sz w:val="16"/>
                <w:szCs w:val="16"/>
              </w:rPr>
              <w:t>Umfang der Plausibilitätsbeurteilung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2.4</w:t>
            </w:r>
          </w:p>
        </w:tc>
        <w:tc>
          <w:tcPr>
            <w:tcW w:w="3364" w:type="dxa"/>
          </w:tcPr>
          <w:p w:rsidR="00D50164" w:rsidRPr="00E67BF7" w:rsidRDefault="00D50164" w:rsidP="00AF0044">
            <w:pPr>
              <w:spacing w:before="0"/>
              <w:jc w:val="left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Wert und Preis von Unternehmen und </w:t>
            </w:r>
            <w:r w:rsidR="00AF0044">
              <w:rPr>
                <w:sz w:val="16"/>
                <w:szCs w:val="16"/>
              </w:rPr>
              <w:br/>
            </w:r>
            <w:r w:rsidRPr="00E67BF7">
              <w:rPr>
                <w:sz w:val="16"/>
                <w:szCs w:val="16"/>
              </w:rPr>
              <w:t>Unternehmensanteilen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right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3.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Relevanz von Börsenkursen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3.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Auftragsvereinbarung und Qualitätsmanagemen</w:t>
            </w:r>
            <w:r>
              <w:rPr>
                <w:b/>
                <w:sz w:val="16"/>
                <w:szCs w:val="16"/>
              </w:rPr>
              <w:t>t</w:t>
            </w: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4.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Grundsätze zur Ermittlung von Unternehmenswerten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Grundsätze zur Ermittlung von Unternehmenswerten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4.1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Maßgeblichkeit des Bewertungszwecks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4.1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Zahlungsstromorientierung</w:t>
            </w:r>
          </w:p>
        </w:tc>
      </w:tr>
      <w:tr w:rsidR="00D50164" w:rsidRPr="00E67BF7" w:rsidTr="00AF0044">
        <w:tc>
          <w:tcPr>
            <w:tcW w:w="408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4.2</w:t>
            </w:r>
          </w:p>
        </w:tc>
        <w:tc>
          <w:tcPr>
            <w:tcW w:w="3364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der wirtschaftlichen Unternehmenseinheit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4.2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Wert und Preis von Unternehmen und Unternehmensanteilen</w:t>
            </w:r>
          </w:p>
        </w:tc>
      </w:tr>
      <w:tr w:rsidR="00D50164" w:rsidRPr="00E67BF7" w:rsidTr="00AF0044">
        <w:tc>
          <w:tcPr>
            <w:tcW w:w="408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4.3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der wirtschaftlichen Unternehmenseinheit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4.3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Stichtagsprinzip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4.4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Stichtagsprinzip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4.4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des betriebsnotwendigen Vermögens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4.5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des nicht betriebsnotwendigen Vermögens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4.6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Unbeachtlichkeit des (bilanziellen) Vorsichtsprinzips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4.7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Nachvollziehbarkeit der Bewertungsansätze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5.</w:t>
            </w:r>
          </w:p>
        </w:tc>
        <w:tc>
          <w:tcPr>
            <w:tcW w:w="38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Prognose der künftigen finanziellen Überschüsse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62B980" wp14:editId="3F7322BD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27940</wp:posOffset>
                      </wp:positionV>
                      <wp:extent cx="498763" cy="252000"/>
                      <wp:effectExtent l="38100" t="57150" r="34925" b="53340"/>
                      <wp:wrapNone/>
                      <wp:docPr id="9" name="Rechteck: abgerundete Eck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164" w:rsidRPr="000E4576" w:rsidRDefault="00D50164" w:rsidP="0095394E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2B980" id="Rechteck: abgerundete Ecken 9" o:spid="_x0000_s1028" style="position:absolute;left:0;text-align:left;margin-left:172.45pt;margin-top:2.2pt;width:39.25pt;height:19.85pt;rotation:-60212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" fillcolor="red" strokecolor="black [3213]" strokeweight=".5pt">
                      <v:textbox>
                        <w:txbxContent>
                          <w:p w:rsidR="00D50164" w:rsidRPr="000E4576" w:rsidRDefault="00D50164" w:rsidP="0095394E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 xml:space="preserve">Prognose der </w:t>
            </w:r>
            <w:r w:rsidRPr="00E67BF7">
              <w:rPr>
                <w:b/>
                <w:sz w:val="16"/>
                <w:szCs w:val="16"/>
              </w:rPr>
              <w:t>Zukunftserfolge</w:t>
            </w:r>
          </w:p>
        </w:tc>
      </w:tr>
      <w:tr w:rsidR="00D50164" w:rsidRPr="00E67BF7" w:rsidTr="00AF0044">
        <w:tc>
          <w:tcPr>
            <w:tcW w:w="408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5.1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Abgrenzung der Managementplanung von der Zukunftserfolgsplanung</w:t>
            </w:r>
          </w:p>
        </w:tc>
      </w:tr>
      <w:tr w:rsidR="00D50164" w:rsidRPr="00E67BF7" w:rsidTr="00AF0044">
        <w:tc>
          <w:tcPr>
            <w:tcW w:w="408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5.1</w:t>
            </w:r>
          </w:p>
        </w:tc>
        <w:tc>
          <w:tcPr>
            <w:tcW w:w="3364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Informationsbeschaffung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5.2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Informationsbeschaffung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5.2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Vergangenheitsanalyse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5.3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Unternehmens-</w:t>
            </w:r>
            <w:r w:rsidRPr="00E67BF7">
              <w:rPr>
                <w:sz w:val="16"/>
                <w:szCs w:val="16"/>
              </w:rPr>
              <w:t xml:space="preserve"> und Vergangenheitsanalyse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5.3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Planung und Prognose (Phasenmethode)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5.4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089230" wp14:editId="46DD19F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325755</wp:posOffset>
                      </wp:positionV>
                      <wp:extent cx="498763" cy="252000"/>
                      <wp:effectExtent l="38100" t="57150" r="34925" b="53340"/>
                      <wp:wrapNone/>
                      <wp:docPr id="10" name="Rechteck: abgerundete Ec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164" w:rsidRPr="000E4576" w:rsidRDefault="00D50164" w:rsidP="0095394E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089230" id="Rechteck: abgerundete Ecken 10" o:spid="_x0000_s1029" style="position:absolute;left:0;text-align:left;margin-left:153.45pt;margin-top:25.65pt;width:39.25pt;height:19.85pt;rotation:-60212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" fillcolor="red" strokecolor="black [3213]" strokeweight=".5pt">
                      <v:textbox>
                        <w:txbxContent>
                          <w:p w:rsidR="00D50164" w:rsidRPr="000E4576" w:rsidRDefault="00D50164" w:rsidP="0095394E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 xml:space="preserve">Prognose der </w:t>
            </w:r>
            <w:r w:rsidRPr="00E67BF7">
              <w:rPr>
                <w:b/>
                <w:sz w:val="16"/>
                <w:szCs w:val="16"/>
              </w:rPr>
              <w:t>Zukunftserfolge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5.4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Plausibilitätsbeurteilung der Planungen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5.5</w:t>
            </w:r>
          </w:p>
        </w:tc>
        <w:tc>
          <w:tcPr>
            <w:tcW w:w="3541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Plausibilität der Zukunftserfolgsplanung</w:t>
            </w:r>
          </w:p>
        </w:tc>
      </w:tr>
      <w:tr w:rsidR="00D50164" w:rsidRPr="00E67BF7" w:rsidTr="00AF0044">
        <w:tc>
          <w:tcPr>
            <w:tcW w:w="408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5.5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Verwendung verlässlicher Bewertungsunterlagen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  <w:r>
              <w:lastRenderedPageBreak/>
              <w:br w:type="page"/>
            </w:r>
            <w:r w:rsidRPr="00E67BF7">
              <w:rPr>
                <w:sz w:val="14"/>
                <w:szCs w:val="16"/>
              </w:rPr>
              <w:t>6.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Kapitalisierung der künftigen finanziellen Überschüsse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 xml:space="preserve">Besonderheiten bei der </w:t>
            </w: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Ermittlung eines objektivierten Unternehmenswerts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6.1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Grundlagen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6.1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Prognose für Zwecke eines objektivierten Unternehmenswerts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6.2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Berücksichtigung des Risikos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6.2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Zu berücksichtigende Synergien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6.3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Berücksichtigung persönlicher Ertragsteuern im Kapitalisierungszinssatz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6.3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Ausschüttungsannahme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6.4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Berücksichtigung wachsender finanzieller Überschüsse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6.4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Übertragbare Ertragskraft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6.5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Brutto- oder Nettokapitalisierung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6.5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Ertragsteuern der Eigenkapitalgeber</w:t>
            </w: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7.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Bewertungsverfahren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Besonderheiten bei der </w:t>
            </w: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Ermittlung plausibilisierter Entscheidungswerte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7.1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Anwendung von Ertragswert- oder DCF-Verfahren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7.1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Prognose für Zwecke eines plausibilisierten Entscheidungswerts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7.2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des Unternehmenswerts nach dem Ertragswertverfahren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7.2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Zu berücksichtigende Synergien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7.3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des Unternehmenswerts nach den DCF-Verfahren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7.3.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Ausschüttungsannahme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7.4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von Liquidationswerten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7.4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Übertragbare Ertragskraft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7.5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Anhaltspunkte für Plausibilitätsbeurteilungen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7.5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D83392" wp14:editId="783F44B9">
                      <wp:simplePos x="0" y="0"/>
                      <wp:positionH relativeFrom="column">
                        <wp:posOffset>1945591</wp:posOffset>
                      </wp:positionH>
                      <wp:positionV relativeFrom="paragraph">
                        <wp:posOffset>-14361</wp:posOffset>
                      </wp:positionV>
                      <wp:extent cx="498763" cy="252000"/>
                      <wp:effectExtent l="38100" t="57150" r="34925" b="53340"/>
                      <wp:wrapNone/>
                      <wp:docPr id="12" name="Rechteck: abgerundete Eck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044" w:rsidRPr="000E4576" w:rsidRDefault="00AF0044" w:rsidP="0032646C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83392" id="Rechteck: abgerundete Ecken 12" o:spid="_x0000_s1030" style="position:absolute;left:0;text-align:left;margin-left:153.2pt;margin-top:-1.15pt;width:39.25pt;height:19.85pt;rotation:-60212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" fillcolor="red" strokecolor="black [3213]" strokeweight=".5pt">
                      <v:textbox>
                        <w:txbxContent>
                          <w:p w:rsidR="00AF0044" w:rsidRPr="000E4576" w:rsidRDefault="00AF0044" w:rsidP="0032646C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>Ertragsteuern der Unternehmenseigner</w:t>
            </w:r>
          </w:p>
        </w:tc>
      </w:tr>
      <w:tr w:rsidR="00AF004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8.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Besonderheiten bei der Unternehmensbewertung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Kapitalisierung der Zukunftserfolge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8.1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wachstumsstarker Unternehmen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Kapitalmarktorientierte Ableitung des Kapitalisierungszinssatzes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8.2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ertragsschwacher Unternehmen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Elemente des Kapitalisierungszinssatzes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8.3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kleiner oder großer Unternehmen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8.3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Steuern im Kapitalisierungszinssatz</w:t>
            </w:r>
          </w:p>
        </w:tc>
      </w:tr>
      <w:tr w:rsidR="00AF0044" w:rsidRPr="00E67BF7" w:rsidTr="00AF0044">
        <w:tc>
          <w:tcPr>
            <w:tcW w:w="408" w:type="dxa"/>
            <w:tcBorders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8.4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Substanzwert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8.4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Berücksichtigung wachsender Zukunftserfolge</w:t>
            </w:r>
          </w:p>
        </w:tc>
      </w:tr>
      <w:tr w:rsidR="00AF0044" w:rsidRPr="00E67BF7" w:rsidTr="00AF0044">
        <w:tc>
          <w:tcPr>
            <w:tcW w:w="408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3846" w:type="dxa"/>
            <w:gridSpan w:val="2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9.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Bewertungsverfahren auf </w:t>
            </w:r>
            <w:r w:rsidRPr="00E67BF7">
              <w:rPr>
                <w:b/>
                <w:sz w:val="16"/>
                <w:szCs w:val="16"/>
              </w:rPr>
              <w:t>Basis von Zukunftserfolgswerten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10.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Marktpreisorientierte Bewertungsverfahren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10.1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3C617F" wp14:editId="5D751B61">
                      <wp:simplePos x="0" y="0"/>
                      <wp:positionH relativeFrom="column">
                        <wp:posOffset>1894060</wp:posOffset>
                      </wp:positionH>
                      <wp:positionV relativeFrom="paragraph">
                        <wp:posOffset>152547</wp:posOffset>
                      </wp:positionV>
                      <wp:extent cx="498763" cy="252000"/>
                      <wp:effectExtent l="38100" t="57150" r="34925" b="53340"/>
                      <wp:wrapNone/>
                      <wp:docPr id="13" name="Rechteck: abgerundete Eck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044" w:rsidRPr="000E4576" w:rsidRDefault="00AF0044" w:rsidP="0032646C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C617F" id="Rechteck: abgerundete Ecken 13" o:spid="_x0000_s1031" style="position:absolute;left:0;text-align:left;margin-left:149.15pt;margin-top:12pt;width:39.25pt;height:19.85pt;rotation:-60212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" fillcolor="red" strokecolor="black [3213]" strokeweight=".5pt">
                      <v:textbox>
                        <w:txbxContent>
                          <w:p w:rsidR="00AF0044" w:rsidRPr="000E4576" w:rsidRDefault="00AF0044" w:rsidP="0032646C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>Definition und Anwendungsfelder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10.2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Grundsätzliches Vorgehen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10.3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Bereinigung der Bezugsgrößen und </w:t>
            </w:r>
            <w:r w:rsidRPr="00E67BF7">
              <w:rPr>
                <w:b/>
                <w:sz w:val="16"/>
                <w:szCs w:val="16"/>
              </w:rPr>
              <w:t>Multiplikatoren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  <w:right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11.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Liquidations- und Substanzwerte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11.1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von Liquidationswerten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11.2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von Substanzwerten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Besonderheiten bei der Bewertung von KMU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KMU als Bewertungsobjekt</w:t>
            </w:r>
          </w:p>
        </w:tc>
      </w:tr>
      <w:tr w:rsidR="00AF0044" w:rsidRPr="00E67BF7" w:rsidTr="00AF0044">
        <w:tc>
          <w:tcPr>
            <w:tcW w:w="408" w:type="dxa"/>
            <w:tcBorders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Abgrenzung des Bewertungsobjekts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12.3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der übertragbaren Ertragskraft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12.4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Kapitalisierung der Zukunftserfolge von KMU</w:t>
            </w:r>
          </w:p>
        </w:tc>
      </w:tr>
      <w:tr w:rsidR="00AF004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9.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Dokumentation und Berichterstattung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13.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Dokumentation und Berichterstattung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9.1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Arbeitspapiere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13.1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Arbeitspapiere</w:t>
            </w:r>
          </w:p>
        </w:tc>
      </w:tr>
      <w:tr w:rsidR="00AF0044" w:rsidRPr="00E67BF7" w:rsidTr="00AF0044">
        <w:tc>
          <w:tcPr>
            <w:tcW w:w="408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9.2.</w:t>
            </w:r>
          </w:p>
        </w:tc>
        <w:tc>
          <w:tcPr>
            <w:tcW w:w="3364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Bewertungsgutachten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13.2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Vollständigkeitserklärung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13.3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Berichterstattung zum Unternehmenswert</w:t>
            </w:r>
          </w:p>
        </w:tc>
      </w:tr>
    </w:tbl>
    <w:p w:rsidR="00DB3534" w:rsidRPr="00E67BF7" w:rsidRDefault="000E4576" w:rsidP="00E67BF7">
      <w:pPr>
        <w:spacing w:before="0"/>
        <w:rPr>
          <w:sz w:val="4"/>
          <w:szCs w:val="16"/>
        </w:rPr>
      </w:pPr>
      <w:r>
        <w:rPr>
          <w:noProof/>
          <w:sz w:val="1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569EC" wp14:editId="745D6F61">
                <wp:simplePos x="0" y="0"/>
                <wp:positionH relativeFrom="column">
                  <wp:posOffset>5108171</wp:posOffset>
                </wp:positionH>
                <wp:positionV relativeFrom="paragraph">
                  <wp:posOffset>-6458816</wp:posOffset>
                </wp:positionV>
                <wp:extent cx="498475" cy="226695"/>
                <wp:effectExtent l="38100" t="57150" r="34925" b="5905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1456">
                          <a:off x="0" y="0"/>
                          <a:ext cx="498475" cy="226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576" w:rsidRDefault="000E4576" w:rsidP="000E4576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0E4576" w:rsidRPr="000E4576" w:rsidRDefault="000E4576" w:rsidP="000E4576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569EC" id="Rechteck 6" o:spid="_x0000_s1032" style="position:absolute;left:0;text-align:left;margin-left:402.2pt;margin-top:-508.55pt;width:39.25pt;height:17.85pt;rotation:-56638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" fillcolor="red" strokecolor="black [3213]" strokeweight=".5pt">
                <v:textbox>
                  <w:txbxContent>
                    <w:p w:rsidR="000E4576" w:rsidRDefault="000E4576" w:rsidP="000E4576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0E4576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Key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</w:p>
                    <w:p w:rsidR="000E4576" w:rsidRPr="000E4576" w:rsidRDefault="000E4576" w:rsidP="000E4576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B3534" w:rsidRPr="00E67BF7" w:rsidSect="0060460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8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04" w:rsidRDefault="00DF7004">
      <w:pPr>
        <w:spacing w:before="0"/>
      </w:pPr>
      <w:r>
        <w:separator/>
      </w:r>
    </w:p>
  </w:endnote>
  <w:endnote w:type="continuationSeparator" w:id="0">
    <w:p w:rsidR="00DF7004" w:rsidRDefault="00DF70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C03570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8A6F90">
      <w:rPr>
        <w:rFonts w:eastAsiaTheme="minorHAnsi" w:cstheme="minorBidi"/>
        <w:b/>
        <w:color w:val="00B0F0"/>
        <w:sz w:val="20"/>
        <w:lang w:eastAsia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Seite: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C03570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8A6F90">
      <w:rPr>
        <w:rFonts w:eastAsiaTheme="minorHAnsi" w:cstheme="minorBidi"/>
        <w:b/>
        <w:color w:val="00B0F0"/>
        <w:sz w:val="20"/>
        <w:lang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04" w:rsidRDefault="00DF7004" w:rsidP="00EE217B">
      <w:pPr>
        <w:pStyle w:val="Fuzeile"/>
      </w:pPr>
    </w:p>
    <w:p w:rsidR="00DF7004" w:rsidRPr="00EE217B" w:rsidRDefault="00DF7004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DF7004" w:rsidRDefault="00DF7004" w:rsidP="00711AB6">
      <w:pPr>
        <w:spacing w:before="0"/>
        <w:jc w:val="center"/>
      </w:pPr>
    </w:p>
    <w:p w:rsidR="00DF7004" w:rsidRPr="00711AB6" w:rsidRDefault="00DF7004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4E" w:rsidRPr="00604605" w:rsidRDefault="0095394E" w:rsidP="00AF0044">
    <w:pPr>
      <w:pStyle w:val="Kopfzeile"/>
      <w:pBdr>
        <w:bottom w:val="none" w:sz="0" w:space="0" w:color="auto"/>
      </w:pBdr>
      <w:ind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04605" w:rsidRDefault="007506E6" w:rsidP="00604605">
    <w:pPr>
      <w:pStyle w:val="Kopfzeile"/>
      <w:pBdr>
        <w:bottom w:val="none" w:sz="0" w:space="0" w:color="auto"/>
      </w:pBdr>
      <w:jc w:val="left"/>
      <w:rPr>
        <w:sz w:val="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04"/>
    <w:rsid w:val="00002230"/>
    <w:rsid w:val="00002EED"/>
    <w:rsid w:val="000030A9"/>
    <w:rsid w:val="0001477C"/>
    <w:rsid w:val="0002748A"/>
    <w:rsid w:val="0003242D"/>
    <w:rsid w:val="0004061E"/>
    <w:rsid w:val="000503CF"/>
    <w:rsid w:val="0005326E"/>
    <w:rsid w:val="000616B8"/>
    <w:rsid w:val="00064F40"/>
    <w:rsid w:val="00075E7C"/>
    <w:rsid w:val="00075E85"/>
    <w:rsid w:val="00080B9A"/>
    <w:rsid w:val="00086B8A"/>
    <w:rsid w:val="0009344D"/>
    <w:rsid w:val="00097B2B"/>
    <w:rsid w:val="000B03E6"/>
    <w:rsid w:val="000B1337"/>
    <w:rsid w:val="000E26F7"/>
    <w:rsid w:val="000E4576"/>
    <w:rsid w:val="00111AC6"/>
    <w:rsid w:val="001205E2"/>
    <w:rsid w:val="00143F11"/>
    <w:rsid w:val="00165A53"/>
    <w:rsid w:val="00180880"/>
    <w:rsid w:val="00184E10"/>
    <w:rsid w:val="0019585B"/>
    <w:rsid w:val="001A1634"/>
    <w:rsid w:val="001A1B58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3C34"/>
    <w:rsid w:val="00254B34"/>
    <w:rsid w:val="00257647"/>
    <w:rsid w:val="002717FB"/>
    <w:rsid w:val="00283F41"/>
    <w:rsid w:val="00284FA6"/>
    <w:rsid w:val="00285560"/>
    <w:rsid w:val="00285C0D"/>
    <w:rsid w:val="00290924"/>
    <w:rsid w:val="0029592F"/>
    <w:rsid w:val="002A064F"/>
    <w:rsid w:val="002B05C2"/>
    <w:rsid w:val="002B17CE"/>
    <w:rsid w:val="002B298F"/>
    <w:rsid w:val="002B37AC"/>
    <w:rsid w:val="002D0908"/>
    <w:rsid w:val="002D7E2D"/>
    <w:rsid w:val="002F09D8"/>
    <w:rsid w:val="002F6B99"/>
    <w:rsid w:val="002F771F"/>
    <w:rsid w:val="00304799"/>
    <w:rsid w:val="0032646C"/>
    <w:rsid w:val="00340216"/>
    <w:rsid w:val="00342964"/>
    <w:rsid w:val="00352142"/>
    <w:rsid w:val="00360F3D"/>
    <w:rsid w:val="00364269"/>
    <w:rsid w:val="00376DCD"/>
    <w:rsid w:val="00382BCD"/>
    <w:rsid w:val="003932A1"/>
    <w:rsid w:val="003A6FEB"/>
    <w:rsid w:val="003B420D"/>
    <w:rsid w:val="003E348F"/>
    <w:rsid w:val="003E5835"/>
    <w:rsid w:val="003F1B18"/>
    <w:rsid w:val="004076E9"/>
    <w:rsid w:val="0041402E"/>
    <w:rsid w:val="00416098"/>
    <w:rsid w:val="004248A0"/>
    <w:rsid w:val="00433509"/>
    <w:rsid w:val="00440D21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4F4640"/>
    <w:rsid w:val="0050152B"/>
    <w:rsid w:val="005060F4"/>
    <w:rsid w:val="00516C43"/>
    <w:rsid w:val="0052103B"/>
    <w:rsid w:val="00525CDB"/>
    <w:rsid w:val="00527267"/>
    <w:rsid w:val="00534A4B"/>
    <w:rsid w:val="005473EF"/>
    <w:rsid w:val="0055136F"/>
    <w:rsid w:val="0055156D"/>
    <w:rsid w:val="00567521"/>
    <w:rsid w:val="00583AA1"/>
    <w:rsid w:val="005913EC"/>
    <w:rsid w:val="005921A2"/>
    <w:rsid w:val="005967E6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04605"/>
    <w:rsid w:val="00632C1A"/>
    <w:rsid w:val="006454CF"/>
    <w:rsid w:val="0065198F"/>
    <w:rsid w:val="006521FF"/>
    <w:rsid w:val="00665F75"/>
    <w:rsid w:val="0066763B"/>
    <w:rsid w:val="00684B37"/>
    <w:rsid w:val="006C4228"/>
    <w:rsid w:val="006C58DA"/>
    <w:rsid w:val="006D45A1"/>
    <w:rsid w:val="006E24F6"/>
    <w:rsid w:val="006E7126"/>
    <w:rsid w:val="007026D1"/>
    <w:rsid w:val="00711AB6"/>
    <w:rsid w:val="00716DD5"/>
    <w:rsid w:val="00720E5C"/>
    <w:rsid w:val="00742EA1"/>
    <w:rsid w:val="00744772"/>
    <w:rsid w:val="007506E6"/>
    <w:rsid w:val="007626C5"/>
    <w:rsid w:val="00763FC1"/>
    <w:rsid w:val="007648E0"/>
    <w:rsid w:val="00765666"/>
    <w:rsid w:val="0078728B"/>
    <w:rsid w:val="00790130"/>
    <w:rsid w:val="00796513"/>
    <w:rsid w:val="007A060E"/>
    <w:rsid w:val="007A3E0C"/>
    <w:rsid w:val="007B1945"/>
    <w:rsid w:val="007D3976"/>
    <w:rsid w:val="007E0249"/>
    <w:rsid w:val="007F3A7C"/>
    <w:rsid w:val="00802ED4"/>
    <w:rsid w:val="00805892"/>
    <w:rsid w:val="0081072B"/>
    <w:rsid w:val="008248D3"/>
    <w:rsid w:val="008312B3"/>
    <w:rsid w:val="0083467A"/>
    <w:rsid w:val="008471C9"/>
    <w:rsid w:val="00855B99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A6F90"/>
    <w:rsid w:val="008C44B0"/>
    <w:rsid w:val="008D1A8E"/>
    <w:rsid w:val="008E0D82"/>
    <w:rsid w:val="008E0FC7"/>
    <w:rsid w:val="008F75E7"/>
    <w:rsid w:val="0090629F"/>
    <w:rsid w:val="009075A9"/>
    <w:rsid w:val="009212B4"/>
    <w:rsid w:val="0095198B"/>
    <w:rsid w:val="0095394E"/>
    <w:rsid w:val="00970211"/>
    <w:rsid w:val="009760D0"/>
    <w:rsid w:val="0099236A"/>
    <w:rsid w:val="009A6E64"/>
    <w:rsid w:val="009C2FF2"/>
    <w:rsid w:val="009C6EFB"/>
    <w:rsid w:val="009D429E"/>
    <w:rsid w:val="009E1FB1"/>
    <w:rsid w:val="009F6E01"/>
    <w:rsid w:val="00A06317"/>
    <w:rsid w:val="00A2355F"/>
    <w:rsid w:val="00A237ED"/>
    <w:rsid w:val="00A31197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E290A"/>
    <w:rsid w:val="00AF0044"/>
    <w:rsid w:val="00AF1983"/>
    <w:rsid w:val="00B13741"/>
    <w:rsid w:val="00B15817"/>
    <w:rsid w:val="00B1680D"/>
    <w:rsid w:val="00B22993"/>
    <w:rsid w:val="00B261B2"/>
    <w:rsid w:val="00B6345C"/>
    <w:rsid w:val="00B70E8D"/>
    <w:rsid w:val="00B73242"/>
    <w:rsid w:val="00B77530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03570"/>
    <w:rsid w:val="00C24E59"/>
    <w:rsid w:val="00C30D7D"/>
    <w:rsid w:val="00C43D74"/>
    <w:rsid w:val="00C470A2"/>
    <w:rsid w:val="00C51D9C"/>
    <w:rsid w:val="00C61048"/>
    <w:rsid w:val="00C834E5"/>
    <w:rsid w:val="00C8522D"/>
    <w:rsid w:val="00C91AC1"/>
    <w:rsid w:val="00C940C7"/>
    <w:rsid w:val="00CA5FDE"/>
    <w:rsid w:val="00CA6FFC"/>
    <w:rsid w:val="00CB24C7"/>
    <w:rsid w:val="00CC19EF"/>
    <w:rsid w:val="00CD1A9A"/>
    <w:rsid w:val="00CD4117"/>
    <w:rsid w:val="00CE73C2"/>
    <w:rsid w:val="00D13BD1"/>
    <w:rsid w:val="00D45365"/>
    <w:rsid w:val="00D50164"/>
    <w:rsid w:val="00D61222"/>
    <w:rsid w:val="00DA6374"/>
    <w:rsid w:val="00DB3534"/>
    <w:rsid w:val="00DB3B77"/>
    <w:rsid w:val="00DC5CF9"/>
    <w:rsid w:val="00DD2240"/>
    <w:rsid w:val="00DD3447"/>
    <w:rsid w:val="00DD5810"/>
    <w:rsid w:val="00DE10AB"/>
    <w:rsid w:val="00DE2B44"/>
    <w:rsid w:val="00DF7004"/>
    <w:rsid w:val="00E016C0"/>
    <w:rsid w:val="00E211D2"/>
    <w:rsid w:val="00E342CA"/>
    <w:rsid w:val="00E368C3"/>
    <w:rsid w:val="00E50734"/>
    <w:rsid w:val="00E54CF5"/>
    <w:rsid w:val="00E57522"/>
    <w:rsid w:val="00E57793"/>
    <w:rsid w:val="00E61BCD"/>
    <w:rsid w:val="00E67BF7"/>
    <w:rsid w:val="00E77518"/>
    <w:rsid w:val="00EA2ACF"/>
    <w:rsid w:val="00EA74B3"/>
    <w:rsid w:val="00EC00F0"/>
    <w:rsid w:val="00EE217B"/>
    <w:rsid w:val="00EF2558"/>
    <w:rsid w:val="00F029CC"/>
    <w:rsid w:val="00F02A61"/>
    <w:rsid w:val="00F0784C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A9FD41"/>
  <w15:docId w15:val="{6F1AA954-813B-48E8-9B5F-D6A8A8A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8B92939-1CBE-40BE-9CBE-E2E9381D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3</Pages>
  <Words>419</Words>
  <Characters>3908</Characters>
  <Application>Microsoft Office Word</Application>
  <DocSecurity>0</DocSecurity>
  <Lines>229</Lines>
  <Paragraphs>154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Hirth, Tina - LÖSLE</cp:lastModifiedBy>
  <cp:revision>9</cp:revision>
  <cp:lastPrinted>2025-03-19T11:06:00Z</cp:lastPrinted>
  <dcterms:created xsi:type="dcterms:W3CDTF">2025-03-18T09:21:00Z</dcterms:created>
  <dcterms:modified xsi:type="dcterms:W3CDTF">2025-04-09T12:18:00Z</dcterms:modified>
</cp:coreProperties>
</file>