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99"/>
        <w:gridCol w:w="373"/>
      </w:tblGrid>
      <w:tr w:rsidR="00A97EF4" w:rsidRPr="000503CF" w:rsidTr="00F21551">
        <w:trPr>
          <w:cantSplit/>
          <w:trHeight w:val="763"/>
        </w:trPr>
        <w:tc>
          <w:tcPr>
            <w:tcW w:w="8699" w:type="dxa"/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A97EF4" w:rsidRPr="00A97EF4" w:rsidRDefault="00A97EF4" w:rsidP="0078371A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sz w:val="28"/>
                <w:szCs w:val="28"/>
              </w:rPr>
            </w:pPr>
            <w:r w:rsidRPr="00A97EF4">
              <w:rPr>
                <w:rFonts w:ascii="Century Gothic" w:hAnsi="Century Gothic"/>
                <w:color w:val="00B0F0"/>
                <w:sz w:val="28"/>
                <w:szCs w:val="28"/>
              </w:rPr>
              <w:t xml:space="preserve">Neuerungen </w:t>
            </w:r>
            <w:r w:rsidR="00582D43">
              <w:rPr>
                <w:rFonts w:ascii="Century Gothic" w:hAnsi="Century Gothic"/>
                <w:color w:val="00B0F0"/>
                <w:sz w:val="28"/>
                <w:szCs w:val="28"/>
              </w:rPr>
              <w:t xml:space="preserve">in den Verlautbarungen für die WP-Praxis zum Thema </w:t>
            </w:r>
            <w:r w:rsidRPr="00A97EF4">
              <w:rPr>
                <w:rFonts w:ascii="Century Gothic" w:hAnsi="Century Gothic"/>
                <w:color w:val="00B0F0"/>
                <w:sz w:val="28"/>
                <w:szCs w:val="28"/>
              </w:rPr>
              <w:t>Geldwäsche</w:t>
            </w:r>
            <w:r w:rsidR="00582D43">
              <w:rPr>
                <w:rFonts w:ascii="Century Gothic" w:hAnsi="Century Gothic"/>
                <w:color w:val="00B0F0"/>
                <w:sz w:val="28"/>
                <w:szCs w:val="28"/>
              </w:rPr>
              <w:t>prävention</w:t>
            </w:r>
          </w:p>
        </w:tc>
        <w:tc>
          <w:tcPr>
            <w:tcW w:w="373" w:type="dxa"/>
            <w:shd w:val="clear" w:color="auto" w:fill="CCECFF"/>
            <w:textDirection w:val="btLr"/>
          </w:tcPr>
          <w:p w:rsidR="00A97EF4" w:rsidRPr="00A97EF4" w:rsidRDefault="00A97EF4" w:rsidP="00A97EF4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</w:pPr>
            <w:r w:rsidRPr="00A97EF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03/2025</w:t>
            </w:r>
          </w:p>
        </w:tc>
      </w:tr>
    </w:tbl>
    <w:p w:rsidR="00195534" w:rsidRPr="00353E56" w:rsidRDefault="00195534" w:rsidP="00195534">
      <w:pPr>
        <w:spacing w:before="0"/>
        <w:rPr>
          <w:sz w:val="16"/>
          <w:szCs w:val="32"/>
        </w:rPr>
      </w:pPr>
    </w:p>
    <w:p w:rsidR="0078371A" w:rsidRDefault="00195534" w:rsidP="0078371A">
      <w:pPr>
        <w:tabs>
          <w:tab w:val="left" w:pos="993"/>
        </w:tabs>
        <w:spacing w:before="0"/>
        <w:rPr>
          <w:sz w:val="14"/>
          <w:szCs w:val="32"/>
        </w:rPr>
      </w:pPr>
      <w:r w:rsidRPr="00070A7A">
        <w:rPr>
          <w:b/>
          <w:sz w:val="14"/>
          <w:szCs w:val="32"/>
        </w:rPr>
        <w:t>Grundlage</w:t>
      </w:r>
      <w:r w:rsidRPr="00070A7A">
        <w:rPr>
          <w:sz w:val="14"/>
          <w:szCs w:val="32"/>
        </w:rPr>
        <w:t>:</w:t>
      </w:r>
      <w:r w:rsidR="0078371A">
        <w:rPr>
          <w:sz w:val="14"/>
          <w:szCs w:val="32"/>
        </w:rPr>
        <w:tab/>
      </w:r>
      <w:r w:rsidR="00696C60" w:rsidRPr="00070A7A">
        <w:rPr>
          <w:b/>
          <w:sz w:val="14"/>
          <w:szCs w:val="32"/>
        </w:rPr>
        <w:t>WPK</w:t>
      </w:r>
      <w:r w:rsidR="00696C60" w:rsidRPr="00070A7A">
        <w:rPr>
          <w:sz w:val="14"/>
          <w:szCs w:val="32"/>
        </w:rPr>
        <w:t xml:space="preserve">: </w:t>
      </w:r>
      <w:r w:rsidRPr="00070A7A">
        <w:rPr>
          <w:sz w:val="14"/>
          <w:szCs w:val="32"/>
        </w:rPr>
        <w:t xml:space="preserve">Auslegungs- und Anwendungshinweise der Wirtschaftsprüferkammer zum GwG vom 17.10.2024 </w:t>
      </w:r>
    </w:p>
    <w:p w:rsidR="00696C60" w:rsidRPr="00070A7A" w:rsidRDefault="0078371A" w:rsidP="0078371A">
      <w:pPr>
        <w:tabs>
          <w:tab w:val="left" w:pos="993"/>
        </w:tabs>
        <w:spacing w:before="0"/>
        <w:rPr>
          <w:sz w:val="14"/>
          <w:szCs w:val="32"/>
        </w:rPr>
      </w:pPr>
      <w:r>
        <w:rPr>
          <w:sz w:val="14"/>
          <w:szCs w:val="32"/>
        </w:rPr>
        <w:tab/>
      </w:r>
      <w:r w:rsidR="00195534" w:rsidRPr="00070A7A">
        <w:rPr>
          <w:sz w:val="14"/>
          <w:szCs w:val="32"/>
        </w:rPr>
        <w:t xml:space="preserve">(nachfolgend kurz: </w:t>
      </w:r>
      <w:r w:rsidR="00195534" w:rsidRPr="008C4EE0">
        <w:rPr>
          <w:b/>
          <w:color w:val="FFFFFF" w:themeColor="background1"/>
          <w:sz w:val="14"/>
          <w:szCs w:val="32"/>
          <w:shd w:val="clear" w:color="auto" w:fill="00B0F0"/>
        </w:rPr>
        <w:t>AAH WPK</w:t>
      </w:r>
      <w:r w:rsidR="00195534" w:rsidRPr="00070A7A">
        <w:rPr>
          <w:sz w:val="14"/>
          <w:szCs w:val="32"/>
        </w:rPr>
        <w:t>)</w:t>
      </w:r>
      <w:r w:rsidR="00696C60" w:rsidRPr="00070A7A">
        <w:rPr>
          <w:sz w:val="14"/>
          <w:szCs w:val="32"/>
        </w:rPr>
        <w:t xml:space="preserve"> sowie </w:t>
      </w:r>
    </w:p>
    <w:p w:rsidR="00195534" w:rsidRPr="00070A7A" w:rsidRDefault="00212647" w:rsidP="00212647">
      <w:pPr>
        <w:tabs>
          <w:tab w:val="left" w:pos="993"/>
        </w:tabs>
        <w:spacing w:before="0"/>
        <w:rPr>
          <w:sz w:val="14"/>
          <w:szCs w:val="32"/>
        </w:rPr>
      </w:pPr>
      <w:r>
        <w:rPr>
          <w:b/>
          <w:sz w:val="14"/>
          <w:szCs w:val="32"/>
        </w:rPr>
        <w:tab/>
      </w:r>
      <w:r w:rsidR="00696C60" w:rsidRPr="00070A7A">
        <w:rPr>
          <w:b/>
          <w:sz w:val="14"/>
          <w:szCs w:val="32"/>
        </w:rPr>
        <w:t>IDW</w:t>
      </w:r>
      <w:r w:rsidR="00696C60" w:rsidRPr="00070A7A">
        <w:rPr>
          <w:sz w:val="14"/>
          <w:szCs w:val="32"/>
        </w:rPr>
        <w:t xml:space="preserve">: Pflichten von WP-Praxen nach dem GwG, Fragen und Antworten vom 15.08.2024 (nachfolgend kurz: </w:t>
      </w:r>
      <w:proofErr w:type="spellStart"/>
      <w:r w:rsidR="00696C60" w:rsidRPr="008C4EE0">
        <w:rPr>
          <w:b/>
          <w:color w:val="FFFFFF" w:themeColor="background1"/>
          <w:sz w:val="14"/>
          <w:szCs w:val="32"/>
          <w:shd w:val="clear" w:color="auto" w:fill="00B0F0"/>
        </w:rPr>
        <w:t>FuA</w:t>
      </w:r>
      <w:proofErr w:type="spellEnd"/>
      <w:r w:rsidR="00696C60" w:rsidRPr="008C4EE0">
        <w:rPr>
          <w:b/>
          <w:color w:val="FFFFFF" w:themeColor="background1"/>
          <w:sz w:val="14"/>
          <w:szCs w:val="32"/>
          <w:shd w:val="clear" w:color="auto" w:fill="00B0F0"/>
        </w:rPr>
        <w:t xml:space="preserve"> IDW</w:t>
      </w:r>
      <w:r w:rsidR="00696C60" w:rsidRPr="00070A7A">
        <w:rPr>
          <w:sz w:val="14"/>
          <w:szCs w:val="32"/>
        </w:rPr>
        <w:t>)</w:t>
      </w:r>
    </w:p>
    <w:p w:rsidR="00195534" w:rsidRPr="00070A7A" w:rsidRDefault="00195534" w:rsidP="008A5560">
      <w:pPr>
        <w:spacing w:before="0"/>
        <w:rPr>
          <w:sz w:val="8"/>
          <w:szCs w:val="32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9819D7" w:rsidRPr="00070A7A" w:rsidTr="0014464E">
        <w:tc>
          <w:tcPr>
            <w:tcW w:w="9062" w:type="dxa"/>
            <w:shd w:val="clear" w:color="auto" w:fill="F2DBDB"/>
          </w:tcPr>
          <w:p w:rsidR="009819D7" w:rsidRPr="00070A7A" w:rsidRDefault="009819D7" w:rsidP="009819D7">
            <w:pPr>
              <w:spacing w:before="0"/>
              <w:rPr>
                <w:sz w:val="14"/>
                <w:szCs w:val="32"/>
              </w:rPr>
            </w:pPr>
            <w:r w:rsidRPr="00070A7A">
              <w:rPr>
                <w:b/>
                <w:sz w:val="14"/>
                <w:szCs w:val="32"/>
                <w:shd w:val="clear" w:color="auto" w:fill="F2DBDB"/>
              </w:rPr>
              <w:t>Hinweis</w:t>
            </w:r>
            <w:r w:rsidRPr="00070A7A">
              <w:rPr>
                <w:sz w:val="14"/>
                <w:szCs w:val="32"/>
              </w:rPr>
              <w:t xml:space="preserve">: </w:t>
            </w:r>
          </w:p>
          <w:p w:rsidR="009819D7" w:rsidRPr="00070A7A" w:rsidRDefault="009819D7" w:rsidP="009819D7">
            <w:pPr>
              <w:spacing w:before="0"/>
              <w:rPr>
                <w:szCs w:val="32"/>
              </w:rPr>
            </w:pPr>
            <w:r w:rsidRPr="00070A7A">
              <w:rPr>
                <w:sz w:val="14"/>
                <w:szCs w:val="32"/>
              </w:rPr>
              <w:t xml:space="preserve">Die nachfolgende Aufzählung erhebt </w:t>
            </w:r>
            <w:r w:rsidRPr="00070A7A">
              <w:rPr>
                <w:b/>
                <w:sz w:val="14"/>
                <w:szCs w:val="32"/>
              </w:rPr>
              <w:t>keinen Anspruch auf Vollständigkeit</w:t>
            </w:r>
            <w:r w:rsidRPr="00070A7A">
              <w:rPr>
                <w:sz w:val="14"/>
                <w:szCs w:val="32"/>
              </w:rPr>
              <w:t xml:space="preserve">. Sie dient vielmehr der </w:t>
            </w:r>
            <w:r w:rsidRPr="00070A7A">
              <w:rPr>
                <w:b/>
                <w:sz w:val="14"/>
                <w:szCs w:val="32"/>
              </w:rPr>
              <w:t xml:space="preserve">Hervorhebung einzelner, </w:t>
            </w:r>
            <w:r w:rsidR="0014464E">
              <w:rPr>
                <w:b/>
                <w:sz w:val="14"/>
                <w:szCs w:val="32"/>
              </w:rPr>
              <w:br/>
            </w:r>
            <w:r w:rsidRPr="00070A7A">
              <w:rPr>
                <w:b/>
                <w:sz w:val="14"/>
                <w:szCs w:val="32"/>
              </w:rPr>
              <w:t>wesentlicher</w:t>
            </w:r>
            <w:r w:rsidR="00212647">
              <w:rPr>
                <w:b/>
                <w:sz w:val="14"/>
                <w:szCs w:val="32"/>
              </w:rPr>
              <w:t xml:space="preserve">, besonders praxisrelevanter </w:t>
            </w:r>
            <w:r w:rsidRPr="00070A7A">
              <w:rPr>
                <w:b/>
                <w:sz w:val="14"/>
                <w:szCs w:val="32"/>
              </w:rPr>
              <w:t>Aspekte</w:t>
            </w:r>
            <w:r w:rsidRPr="00070A7A">
              <w:rPr>
                <w:sz w:val="14"/>
                <w:szCs w:val="32"/>
              </w:rPr>
              <w:t xml:space="preserve"> im Rahmen der Geldwäschepflichten</w:t>
            </w:r>
            <w:r w:rsidR="00CC4C22">
              <w:rPr>
                <w:sz w:val="14"/>
                <w:szCs w:val="32"/>
              </w:rPr>
              <w:t xml:space="preserve"> in der WP-Praxis.</w:t>
            </w:r>
          </w:p>
        </w:tc>
      </w:tr>
    </w:tbl>
    <w:p w:rsidR="009819D7" w:rsidRPr="00070A7A" w:rsidRDefault="009819D7" w:rsidP="008A5560">
      <w:pPr>
        <w:spacing w:before="0"/>
        <w:rPr>
          <w:sz w:val="10"/>
          <w:szCs w:val="32"/>
        </w:rPr>
      </w:pPr>
    </w:p>
    <w:tbl>
      <w:tblPr>
        <w:tblStyle w:val="Tabellenraster"/>
        <w:tblW w:w="906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349"/>
        <w:gridCol w:w="343"/>
        <w:gridCol w:w="2924"/>
        <w:gridCol w:w="3278"/>
        <w:gridCol w:w="729"/>
        <w:gridCol w:w="419"/>
        <w:gridCol w:w="574"/>
      </w:tblGrid>
      <w:tr w:rsidR="004321E8" w:rsidRPr="00353E56" w:rsidTr="00FA3DF2">
        <w:trPr>
          <w:trHeight w:val="113"/>
        </w:trPr>
        <w:tc>
          <w:tcPr>
            <w:tcW w:w="447" w:type="dxa"/>
            <w:shd w:val="clear" w:color="auto" w:fill="D9D9D9" w:themeFill="background1" w:themeFillShade="D9"/>
          </w:tcPr>
          <w:p w:rsidR="0078371A" w:rsidRPr="00353E56" w:rsidRDefault="0078371A" w:rsidP="000065D6">
            <w:pPr>
              <w:spacing w:before="0"/>
              <w:rPr>
                <w:b/>
                <w:sz w:val="14"/>
                <w:szCs w:val="16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</w:tcPr>
          <w:p w:rsidR="0078371A" w:rsidRPr="00353E56" w:rsidRDefault="0078371A" w:rsidP="000065D6">
            <w:pPr>
              <w:spacing w:before="0"/>
              <w:rPr>
                <w:b/>
                <w:sz w:val="14"/>
                <w:szCs w:val="16"/>
              </w:rPr>
            </w:pPr>
          </w:p>
        </w:tc>
        <w:tc>
          <w:tcPr>
            <w:tcW w:w="3269" w:type="dxa"/>
            <w:gridSpan w:val="2"/>
            <w:shd w:val="clear" w:color="auto" w:fill="D9D9D9" w:themeFill="background1" w:themeFillShade="D9"/>
          </w:tcPr>
          <w:p w:rsidR="0078371A" w:rsidRPr="00353E56" w:rsidRDefault="0078371A" w:rsidP="000065D6">
            <w:pPr>
              <w:spacing w:before="0"/>
              <w:rPr>
                <w:b/>
                <w:sz w:val="14"/>
                <w:szCs w:val="16"/>
              </w:rPr>
            </w:pPr>
          </w:p>
        </w:tc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78371A" w:rsidRPr="00212647" w:rsidRDefault="0078371A" w:rsidP="000065D6">
            <w:pPr>
              <w:spacing w:before="0"/>
              <w:jc w:val="center"/>
              <w:rPr>
                <w:b/>
                <w:color w:val="000000" w:themeColor="text1"/>
                <w:sz w:val="14"/>
                <w:szCs w:val="16"/>
                <w:highlight w:val="red"/>
              </w:rPr>
            </w:pPr>
            <w:r w:rsidRPr="00353E56">
              <w:rPr>
                <w:b/>
                <w:color w:val="FFFFFF" w:themeColor="background1"/>
                <w:sz w:val="14"/>
                <w:szCs w:val="16"/>
                <w:highlight w:val="red"/>
              </w:rPr>
              <w:t>Neuerungen</w:t>
            </w:r>
            <w:r w:rsidR="00212647">
              <w:rPr>
                <w:b/>
                <w:color w:val="FFFFFF" w:themeColor="background1"/>
                <w:sz w:val="14"/>
                <w:szCs w:val="16"/>
                <w:highlight w:val="red"/>
              </w:rPr>
              <w:t xml:space="preserve"> </w:t>
            </w:r>
            <w:r w:rsidR="00212647" w:rsidRPr="00212647">
              <w:rPr>
                <w:b/>
                <w:color w:val="FFFFFF" w:themeColor="background1"/>
                <w:sz w:val="14"/>
                <w:szCs w:val="16"/>
              </w:rPr>
              <w:t xml:space="preserve"> </w:t>
            </w:r>
            <w:r w:rsidR="00212647" w:rsidRPr="00212647">
              <w:rPr>
                <w:b/>
                <w:color w:val="000000" w:themeColor="text1"/>
                <w:sz w:val="14"/>
                <w:szCs w:val="16"/>
              </w:rPr>
              <w:t>(Stichworte)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78371A" w:rsidRPr="00024D1E" w:rsidRDefault="0078371A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 w:rsidRPr="00024D1E">
              <w:rPr>
                <w:b/>
                <w:sz w:val="12"/>
                <w:szCs w:val="16"/>
              </w:rPr>
              <w:t xml:space="preserve">AAH </w:t>
            </w:r>
            <w:r w:rsidRPr="00024D1E">
              <w:rPr>
                <w:b/>
                <w:sz w:val="12"/>
                <w:szCs w:val="16"/>
              </w:rPr>
              <w:br/>
              <w:t>W</w:t>
            </w:r>
            <w:bookmarkStart w:id="0" w:name="_GoBack"/>
            <w:bookmarkEnd w:id="0"/>
            <w:r w:rsidRPr="00024D1E">
              <w:rPr>
                <w:b/>
                <w:sz w:val="12"/>
                <w:szCs w:val="16"/>
              </w:rPr>
              <w:t>PK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:rsidR="0078371A" w:rsidRPr="00024D1E" w:rsidRDefault="0078371A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proofErr w:type="spellStart"/>
            <w:r w:rsidRPr="00024D1E">
              <w:rPr>
                <w:b/>
                <w:sz w:val="12"/>
                <w:szCs w:val="16"/>
              </w:rPr>
              <w:t>FuA</w:t>
            </w:r>
            <w:proofErr w:type="spellEnd"/>
            <w:r w:rsidRPr="00024D1E">
              <w:rPr>
                <w:b/>
                <w:sz w:val="12"/>
                <w:szCs w:val="16"/>
              </w:rPr>
              <w:t xml:space="preserve"> </w:t>
            </w:r>
            <w:r w:rsidRPr="00024D1E">
              <w:rPr>
                <w:b/>
                <w:sz w:val="12"/>
                <w:szCs w:val="16"/>
              </w:rPr>
              <w:br/>
              <w:t>IDW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78371A" w:rsidRPr="00024D1E" w:rsidRDefault="004321E8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Zeile</w:t>
            </w:r>
          </w:p>
        </w:tc>
      </w:tr>
      <w:tr w:rsidR="00FA3DF2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 xml:space="preserve">A. </w:t>
            </w:r>
          </w:p>
        </w:tc>
        <w:tc>
          <w:tcPr>
            <w:tcW w:w="3618" w:type="dxa"/>
            <w:gridSpan w:val="3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Risikomanagement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1.</w:t>
            </w:r>
          </w:p>
        </w:tc>
        <w:tc>
          <w:tcPr>
            <w:tcW w:w="3269" w:type="dxa"/>
            <w:gridSpan w:val="2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Risikoanalyse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2.</w:t>
            </w:r>
          </w:p>
        </w:tc>
        <w:tc>
          <w:tcPr>
            <w:tcW w:w="3269" w:type="dxa"/>
            <w:gridSpan w:val="2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Interne Sicherungsmaßnahmen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43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a)</w:t>
            </w:r>
          </w:p>
        </w:tc>
        <w:tc>
          <w:tcPr>
            <w:tcW w:w="2926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Einrichtung praxisinternes Hinweisgebersystem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4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43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b)</w:t>
            </w:r>
          </w:p>
        </w:tc>
        <w:tc>
          <w:tcPr>
            <w:tcW w:w="2926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Auskunft zur Identität der Mandanten und zur Art der Geschäftsbeziehung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5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43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c)</w:t>
            </w:r>
          </w:p>
        </w:tc>
        <w:tc>
          <w:tcPr>
            <w:tcW w:w="2926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Durchführung interner Sicherungsmaßnahmen durch Dritte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Übertragung auf Dritte: Anzeige bei der WPK mindestens einen Monat im Voraus (vgl. auch § 50a WPO)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  <w:r w:rsidRPr="00070A7A">
              <w:rPr>
                <w:sz w:val="10"/>
                <w:szCs w:val="16"/>
              </w:rPr>
              <w:t>Tz. 42</w:t>
            </w: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6</w:t>
            </w:r>
          </w:p>
        </w:tc>
      </w:tr>
      <w:tr w:rsidR="00FA3DF2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 xml:space="preserve">B. </w:t>
            </w:r>
          </w:p>
        </w:tc>
        <w:tc>
          <w:tcPr>
            <w:tcW w:w="3618" w:type="dxa"/>
            <w:gridSpan w:val="3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Sorgfaltspflichten bezogen auf Mandanten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7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1.</w:t>
            </w:r>
          </w:p>
        </w:tc>
        <w:tc>
          <w:tcPr>
            <w:tcW w:w="3269" w:type="dxa"/>
            <w:gridSpan w:val="2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Allgemeine</w:t>
            </w:r>
            <w:r w:rsidRPr="00070A7A">
              <w:rPr>
                <w:sz w:val="12"/>
                <w:szCs w:val="16"/>
              </w:rPr>
              <w:t xml:space="preserve"> Sorgfaltspflichten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 xml:space="preserve">Vorliegen von Tatsachen, die auf Geldwäsche gemäß § 261 StGB hindeuten können: Auch </w:t>
            </w:r>
            <w:r w:rsidRPr="00070A7A">
              <w:rPr>
                <w:b/>
                <w:sz w:val="12"/>
                <w:szCs w:val="16"/>
              </w:rPr>
              <w:t>wer wegen einer Beteiligung an einer Vortat der Geldwäsche strafbar ist,</w:t>
            </w:r>
            <w:r w:rsidRPr="00070A7A">
              <w:rPr>
                <w:sz w:val="12"/>
                <w:szCs w:val="16"/>
              </w:rPr>
              <w:t xml:space="preserve"> kann </w:t>
            </w:r>
            <w:r w:rsidR="00212647">
              <w:rPr>
                <w:sz w:val="12"/>
                <w:szCs w:val="16"/>
              </w:rPr>
              <w:t xml:space="preserve">den </w:t>
            </w:r>
            <w:r w:rsidRPr="00070A7A">
              <w:rPr>
                <w:sz w:val="12"/>
                <w:szCs w:val="16"/>
              </w:rPr>
              <w:t xml:space="preserve">Tatbestand der Geldwäsche erfüllen, </w:t>
            </w:r>
            <w:r w:rsidRPr="00070A7A">
              <w:rPr>
                <w:b/>
                <w:sz w:val="12"/>
                <w:szCs w:val="16"/>
              </w:rPr>
              <w:t>unabhängig</w:t>
            </w:r>
            <w:r w:rsidRPr="00070A7A">
              <w:rPr>
                <w:sz w:val="12"/>
                <w:szCs w:val="16"/>
              </w:rPr>
              <w:t xml:space="preserve"> ob dieser straffrei bleiben könnte.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  <w:r w:rsidRPr="00070A7A">
              <w:rPr>
                <w:sz w:val="10"/>
                <w:szCs w:val="16"/>
              </w:rPr>
              <w:t>Tz. 72</w:t>
            </w: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8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43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a)</w:t>
            </w:r>
          </w:p>
        </w:tc>
        <w:tc>
          <w:tcPr>
            <w:tcW w:w="2926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Identifizierungspflicht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 xml:space="preserve">Die zu identifizierende natürliche Person muss </w:t>
            </w:r>
            <w:r w:rsidRPr="00070A7A">
              <w:rPr>
                <w:b/>
                <w:sz w:val="12"/>
                <w:szCs w:val="16"/>
              </w:rPr>
              <w:t>nicht zwingend anwesend</w:t>
            </w:r>
            <w:r w:rsidRPr="00070A7A">
              <w:rPr>
                <w:sz w:val="12"/>
                <w:szCs w:val="16"/>
              </w:rPr>
              <w:t xml:space="preserve"> sein; u.a. Verfahren der </w:t>
            </w:r>
            <w:r w:rsidR="00FA3DF2">
              <w:rPr>
                <w:sz w:val="12"/>
                <w:szCs w:val="16"/>
              </w:rPr>
              <w:br/>
            </w:r>
            <w:r w:rsidRPr="00070A7A">
              <w:rPr>
                <w:b/>
                <w:color w:val="FF0000"/>
                <w:sz w:val="12"/>
                <w:szCs w:val="16"/>
              </w:rPr>
              <w:t>Videoidentifizierung</w:t>
            </w:r>
            <w:r w:rsidRPr="00070A7A">
              <w:rPr>
                <w:color w:val="FF0000"/>
                <w:sz w:val="12"/>
                <w:szCs w:val="16"/>
              </w:rPr>
              <w:t xml:space="preserve"> </w:t>
            </w:r>
            <w:r w:rsidRPr="00070A7A">
              <w:rPr>
                <w:sz w:val="12"/>
                <w:szCs w:val="16"/>
              </w:rPr>
              <w:t xml:space="preserve">zulässig 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  <w:r w:rsidRPr="00070A7A">
              <w:rPr>
                <w:sz w:val="10"/>
                <w:szCs w:val="16"/>
              </w:rPr>
              <w:t>3.1.1</w:t>
            </w: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9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43" w:type="dxa"/>
            <w:vMerge w:val="restart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b)</w:t>
            </w:r>
          </w:p>
        </w:tc>
        <w:tc>
          <w:tcPr>
            <w:tcW w:w="2926" w:type="dxa"/>
            <w:vMerge w:val="restart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Identifizierung des wirtschaftlich Berechtigten (Transparenzregister)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 xml:space="preserve">Ausländische Vereinigungen, </w:t>
            </w:r>
            <w:r w:rsidRPr="000065D6">
              <w:rPr>
                <w:sz w:val="12"/>
                <w:szCs w:val="16"/>
              </w:rPr>
              <w:t>d</w:t>
            </w:r>
            <w:r w:rsidRPr="00070A7A">
              <w:rPr>
                <w:sz w:val="12"/>
                <w:szCs w:val="16"/>
              </w:rPr>
              <w:t xml:space="preserve">ie unmittelbar </w:t>
            </w:r>
            <w:r w:rsidRPr="00070A7A">
              <w:rPr>
                <w:b/>
                <w:color w:val="FF0000"/>
                <w:sz w:val="12"/>
                <w:szCs w:val="16"/>
              </w:rPr>
              <w:t>Eigentum an einer Immobilie</w:t>
            </w:r>
            <w:r w:rsidRPr="00070A7A">
              <w:rPr>
                <w:color w:val="FF0000"/>
                <w:sz w:val="12"/>
                <w:szCs w:val="16"/>
              </w:rPr>
              <w:t xml:space="preserve"> </w:t>
            </w:r>
            <w:r w:rsidRPr="00070A7A">
              <w:rPr>
                <w:sz w:val="12"/>
                <w:szCs w:val="16"/>
              </w:rPr>
              <w:t>halten oder sich verpflichtet haben, solches zu erwerben, sind eintragungspflichtig (§20 GwG)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  <w:r w:rsidRPr="00070A7A">
              <w:rPr>
                <w:sz w:val="10"/>
                <w:szCs w:val="16"/>
              </w:rPr>
              <w:t>4.1.1.1</w:t>
            </w: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10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43" w:type="dxa"/>
            <w:vMerge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2926" w:type="dxa"/>
            <w:vMerge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Wenn</w:t>
            </w:r>
            <w:r w:rsidR="00212647">
              <w:rPr>
                <w:sz w:val="12"/>
                <w:szCs w:val="16"/>
              </w:rPr>
              <w:t xml:space="preserve"> ein</w:t>
            </w:r>
            <w:r w:rsidRPr="00070A7A">
              <w:rPr>
                <w:sz w:val="12"/>
                <w:szCs w:val="16"/>
              </w:rPr>
              <w:t xml:space="preserve"> </w:t>
            </w:r>
            <w:r w:rsidRPr="00070A7A">
              <w:rPr>
                <w:b/>
                <w:sz w:val="12"/>
                <w:szCs w:val="16"/>
              </w:rPr>
              <w:t xml:space="preserve">Mandant </w:t>
            </w:r>
            <w:r w:rsidR="00212647">
              <w:rPr>
                <w:b/>
                <w:sz w:val="12"/>
                <w:szCs w:val="16"/>
              </w:rPr>
              <w:t xml:space="preserve">im Transparenzregister </w:t>
            </w:r>
            <w:r w:rsidRPr="00070A7A">
              <w:rPr>
                <w:b/>
                <w:sz w:val="12"/>
                <w:szCs w:val="16"/>
              </w:rPr>
              <w:t xml:space="preserve">nicht eingetragen ist, obwohl er verpflichtet ist, </w:t>
            </w:r>
            <w:r w:rsidRPr="00070A7A">
              <w:rPr>
                <w:sz w:val="12"/>
                <w:szCs w:val="16"/>
              </w:rPr>
              <w:t xml:space="preserve">ist </w:t>
            </w:r>
            <w:r w:rsidRPr="00070A7A">
              <w:rPr>
                <w:b/>
                <w:color w:val="FF0000"/>
                <w:sz w:val="12"/>
                <w:szCs w:val="16"/>
              </w:rPr>
              <w:t xml:space="preserve">die Abgabe </w:t>
            </w:r>
            <w:r w:rsidR="00212647">
              <w:rPr>
                <w:b/>
                <w:color w:val="FF0000"/>
                <w:sz w:val="12"/>
                <w:szCs w:val="16"/>
              </w:rPr>
              <w:br/>
            </w:r>
            <w:r w:rsidRPr="00070A7A">
              <w:rPr>
                <w:b/>
                <w:color w:val="FF0000"/>
                <w:sz w:val="12"/>
                <w:szCs w:val="16"/>
              </w:rPr>
              <w:t>einer Unstimmigkeitsmeldung</w:t>
            </w:r>
            <w:r w:rsidRPr="00070A7A">
              <w:rPr>
                <w:color w:val="FF0000"/>
                <w:sz w:val="12"/>
                <w:szCs w:val="16"/>
              </w:rPr>
              <w:t xml:space="preserve"> </w:t>
            </w:r>
            <w:r w:rsidRPr="00070A7A">
              <w:rPr>
                <w:sz w:val="12"/>
                <w:szCs w:val="16"/>
              </w:rPr>
              <w:t xml:space="preserve">nach § 23a GwG zu </w:t>
            </w:r>
            <w:r w:rsidR="00212647">
              <w:rPr>
                <w:sz w:val="12"/>
                <w:szCs w:val="16"/>
              </w:rPr>
              <w:br/>
            </w:r>
            <w:r w:rsidRPr="00070A7A">
              <w:rPr>
                <w:sz w:val="12"/>
                <w:szCs w:val="16"/>
              </w:rPr>
              <w:t>prüfen.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  <w:r w:rsidRPr="00070A7A">
              <w:rPr>
                <w:sz w:val="10"/>
                <w:szCs w:val="16"/>
              </w:rPr>
              <w:t>4.1.1.4</w:t>
            </w: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43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c)</w:t>
            </w:r>
          </w:p>
        </w:tc>
        <w:tc>
          <w:tcPr>
            <w:tcW w:w="2926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Abklärung des Hintergrunds der Geschäftsbeziehung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43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d)</w:t>
            </w:r>
          </w:p>
        </w:tc>
        <w:tc>
          <w:tcPr>
            <w:tcW w:w="2926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Feststellung der PEP-Eigenschaft des Mandanten oder wirtschaftlich Berechtigten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Aktuelle „PEP“-Liste</w:t>
            </w:r>
            <w:r w:rsidRPr="00070A7A">
              <w:rPr>
                <w:sz w:val="12"/>
                <w:szCs w:val="16"/>
              </w:rPr>
              <w:t xml:space="preserve"> findet sich auf der </w:t>
            </w:r>
            <w:r w:rsidRPr="00070A7A">
              <w:rPr>
                <w:b/>
                <w:sz w:val="12"/>
                <w:szCs w:val="16"/>
              </w:rPr>
              <w:t>Homepage</w:t>
            </w:r>
            <w:r w:rsidRPr="00070A7A">
              <w:rPr>
                <w:sz w:val="12"/>
                <w:szCs w:val="16"/>
              </w:rPr>
              <w:t xml:space="preserve"> der WPK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43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e</w:t>
            </w:r>
            <w:r w:rsidR="00212647">
              <w:rPr>
                <w:sz w:val="12"/>
                <w:szCs w:val="16"/>
              </w:rPr>
              <w:t>)</w:t>
            </w:r>
          </w:p>
        </w:tc>
        <w:tc>
          <w:tcPr>
            <w:tcW w:w="2926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Kontinuierliche Überwachung der Geschäftsbeziehung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Kundeninformationen</w:t>
            </w:r>
            <w:r w:rsidRPr="00070A7A">
              <w:rPr>
                <w:sz w:val="12"/>
                <w:szCs w:val="16"/>
              </w:rPr>
              <w:t xml:space="preserve"> sollten im Vorgriff auf die EU-Geldwäsche-VO bereits jetzt </w:t>
            </w:r>
            <w:r w:rsidRPr="00070A7A">
              <w:rPr>
                <w:b/>
                <w:color w:val="FF0000"/>
                <w:sz w:val="12"/>
                <w:szCs w:val="16"/>
              </w:rPr>
              <w:t>alle fünf</w:t>
            </w:r>
            <w:r w:rsidRPr="00070A7A">
              <w:rPr>
                <w:color w:val="FF0000"/>
                <w:sz w:val="12"/>
                <w:szCs w:val="16"/>
              </w:rPr>
              <w:t xml:space="preserve"> </w:t>
            </w:r>
            <w:r w:rsidRPr="00070A7A">
              <w:rPr>
                <w:sz w:val="12"/>
                <w:szCs w:val="16"/>
              </w:rPr>
              <w:t xml:space="preserve">Jahre aktualisiert werden. Bei </w:t>
            </w:r>
            <w:r w:rsidRPr="00070A7A">
              <w:rPr>
                <w:b/>
                <w:sz w:val="12"/>
                <w:szCs w:val="16"/>
              </w:rPr>
              <w:t xml:space="preserve">erhöhtem Risiko </w:t>
            </w:r>
            <w:r w:rsidRPr="00070A7A">
              <w:rPr>
                <w:sz w:val="12"/>
                <w:szCs w:val="16"/>
              </w:rPr>
              <w:t xml:space="preserve">sollte die Aktualisierung </w:t>
            </w:r>
            <w:r w:rsidRPr="00070A7A">
              <w:rPr>
                <w:b/>
                <w:sz w:val="12"/>
                <w:szCs w:val="16"/>
              </w:rPr>
              <w:t>jährlich</w:t>
            </w:r>
            <w:r w:rsidRPr="00070A7A">
              <w:rPr>
                <w:sz w:val="12"/>
                <w:szCs w:val="16"/>
              </w:rPr>
              <w:t xml:space="preserve"> erfolgen</w:t>
            </w:r>
            <w:r w:rsidR="007B457D">
              <w:rPr>
                <w:sz w:val="12"/>
                <w:szCs w:val="16"/>
              </w:rPr>
              <w:t>.</w:t>
            </w:r>
          </w:p>
        </w:tc>
        <w:tc>
          <w:tcPr>
            <w:tcW w:w="729" w:type="dxa"/>
          </w:tcPr>
          <w:p w:rsidR="0078371A" w:rsidRPr="00212647" w:rsidRDefault="0078371A" w:rsidP="000065D6">
            <w:pPr>
              <w:spacing w:before="0"/>
              <w:rPr>
                <w:b/>
                <w:sz w:val="10"/>
                <w:szCs w:val="16"/>
              </w:rPr>
            </w:pPr>
            <w:r w:rsidRPr="00212647">
              <w:rPr>
                <w:b/>
                <w:color w:val="FF0000"/>
                <w:sz w:val="10"/>
                <w:szCs w:val="16"/>
              </w:rPr>
              <w:t>Tz. 118</w:t>
            </w: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2.</w:t>
            </w:r>
          </w:p>
        </w:tc>
        <w:tc>
          <w:tcPr>
            <w:tcW w:w="3269" w:type="dxa"/>
            <w:gridSpan w:val="2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Vereinfachte</w:t>
            </w:r>
            <w:r w:rsidRPr="00070A7A">
              <w:rPr>
                <w:sz w:val="12"/>
                <w:szCs w:val="16"/>
              </w:rPr>
              <w:t xml:space="preserve"> Sorgfaltspflichten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 w:rsidRPr="000065D6">
              <w:rPr>
                <w:b/>
                <w:sz w:val="12"/>
                <w:szCs w:val="16"/>
              </w:rPr>
              <w:t>15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3.</w:t>
            </w:r>
          </w:p>
        </w:tc>
        <w:tc>
          <w:tcPr>
            <w:tcW w:w="3269" w:type="dxa"/>
            <w:gridSpan w:val="2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Verstärkte</w:t>
            </w:r>
            <w:r w:rsidRPr="00070A7A">
              <w:rPr>
                <w:sz w:val="12"/>
                <w:szCs w:val="16"/>
              </w:rPr>
              <w:t xml:space="preserve"> Sorgfaltspflichten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Aktuelle</w:t>
            </w:r>
            <w:r w:rsidRPr="00070A7A">
              <w:rPr>
                <w:sz w:val="12"/>
                <w:szCs w:val="16"/>
              </w:rPr>
              <w:t xml:space="preserve"> </w:t>
            </w:r>
            <w:r w:rsidRPr="00070A7A">
              <w:rPr>
                <w:b/>
                <w:sz w:val="12"/>
                <w:szCs w:val="16"/>
              </w:rPr>
              <w:t>Übersicht</w:t>
            </w:r>
            <w:r w:rsidRPr="00070A7A">
              <w:rPr>
                <w:sz w:val="12"/>
                <w:szCs w:val="16"/>
              </w:rPr>
              <w:t xml:space="preserve"> über Drittstaaten mit hohem Risiko </w:t>
            </w:r>
            <w:r w:rsidR="007B457D">
              <w:rPr>
                <w:sz w:val="12"/>
                <w:szCs w:val="16"/>
              </w:rPr>
              <w:t xml:space="preserve">befindet </w:t>
            </w:r>
            <w:r w:rsidRPr="00070A7A">
              <w:rPr>
                <w:sz w:val="12"/>
                <w:szCs w:val="16"/>
              </w:rPr>
              <w:t xml:space="preserve">sich auf </w:t>
            </w:r>
            <w:r w:rsidR="007B457D">
              <w:rPr>
                <w:sz w:val="12"/>
                <w:szCs w:val="16"/>
              </w:rPr>
              <w:t xml:space="preserve">der </w:t>
            </w:r>
            <w:r w:rsidRPr="00070A7A">
              <w:rPr>
                <w:sz w:val="12"/>
                <w:szCs w:val="16"/>
              </w:rPr>
              <w:t xml:space="preserve">Homepage </w:t>
            </w:r>
            <w:r w:rsidR="007B457D">
              <w:rPr>
                <w:sz w:val="12"/>
                <w:szCs w:val="16"/>
              </w:rPr>
              <w:t xml:space="preserve">der </w:t>
            </w:r>
            <w:r w:rsidRPr="00070A7A">
              <w:rPr>
                <w:sz w:val="12"/>
                <w:szCs w:val="16"/>
              </w:rPr>
              <w:t>WP</w:t>
            </w:r>
            <w:r w:rsidR="00CC4C22">
              <w:rPr>
                <w:sz w:val="12"/>
                <w:szCs w:val="16"/>
              </w:rPr>
              <w:t>K.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  <w:r w:rsidRPr="00070A7A">
              <w:rPr>
                <w:sz w:val="10"/>
                <w:szCs w:val="16"/>
              </w:rPr>
              <w:t>Tz. 136a</w:t>
            </w: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16</w:t>
            </w:r>
          </w:p>
        </w:tc>
      </w:tr>
      <w:tr w:rsidR="00FA3DF2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 xml:space="preserve">C. </w:t>
            </w:r>
          </w:p>
        </w:tc>
        <w:tc>
          <w:tcPr>
            <w:tcW w:w="3618" w:type="dxa"/>
            <w:gridSpan w:val="3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Verdachtsmeldungen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17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1.</w:t>
            </w:r>
          </w:p>
        </w:tc>
        <w:tc>
          <w:tcPr>
            <w:tcW w:w="3269" w:type="dxa"/>
            <w:gridSpan w:val="2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Meldepflicht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18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2.</w:t>
            </w:r>
          </w:p>
        </w:tc>
        <w:tc>
          <w:tcPr>
            <w:tcW w:w="3269" w:type="dxa"/>
            <w:gridSpan w:val="2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Sorgfältige Prüfung wegen Pflicht zur beruflichen Verschwiegenheit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Klarstellung</w:t>
            </w:r>
            <w:r w:rsidRPr="00070A7A">
              <w:rPr>
                <w:sz w:val="12"/>
                <w:szCs w:val="16"/>
              </w:rPr>
              <w:t xml:space="preserve"> in § 48 Abs. 1 GwG, dass bei Abgabe einer Verdachtsmeldung durch den WP </w:t>
            </w:r>
            <w:r w:rsidRPr="00070A7A">
              <w:rPr>
                <w:b/>
                <w:sz w:val="12"/>
                <w:szCs w:val="16"/>
              </w:rPr>
              <w:t>keine Strafe wegen Verletzung der Verschwiegenheit</w:t>
            </w:r>
            <w:r w:rsidRPr="00070A7A">
              <w:rPr>
                <w:sz w:val="12"/>
                <w:szCs w:val="16"/>
              </w:rPr>
              <w:t xml:space="preserve"> zu befürchten ist.</w:t>
            </w:r>
          </w:p>
        </w:tc>
        <w:tc>
          <w:tcPr>
            <w:tcW w:w="729" w:type="dxa"/>
          </w:tcPr>
          <w:p w:rsidR="0078371A" w:rsidRPr="00212647" w:rsidRDefault="0078371A" w:rsidP="000065D6">
            <w:pPr>
              <w:spacing w:before="0"/>
              <w:rPr>
                <w:b/>
                <w:color w:val="00B0F1"/>
                <w:sz w:val="10"/>
                <w:szCs w:val="16"/>
              </w:rPr>
            </w:pPr>
            <w:r w:rsidRPr="00212647">
              <w:rPr>
                <w:b/>
                <w:color w:val="00B0F1"/>
                <w:sz w:val="10"/>
                <w:szCs w:val="16"/>
              </w:rPr>
              <w:t>Tz. 153</w:t>
            </w: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19</w:t>
            </w:r>
          </w:p>
        </w:tc>
      </w:tr>
      <w:tr w:rsidR="004321E8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49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3.</w:t>
            </w:r>
          </w:p>
        </w:tc>
        <w:tc>
          <w:tcPr>
            <w:tcW w:w="3269" w:type="dxa"/>
            <w:gridSpan w:val="2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>Meldepflicht bei Sachverhalten nach §§ 4 ff. der Geldwäschegesetzmeldepflichtverordnung-Immobilien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 xml:space="preserve">Beachte: Zusätzliche Verdachtsmeldungen außerhalb § 43 Abs. 1 GwG: </w:t>
            </w:r>
            <w:r w:rsidRPr="00070A7A">
              <w:rPr>
                <w:b/>
                <w:color w:val="FF0000"/>
                <w:sz w:val="12"/>
                <w:szCs w:val="16"/>
              </w:rPr>
              <w:t xml:space="preserve">Meldepflichten nach der </w:t>
            </w:r>
            <w:proofErr w:type="spellStart"/>
            <w:r w:rsidRPr="00070A7A">
              <w:rPr>
                <w:b/>
                <w:color w:val="FF0000"/>
                <w:sz w:val="12"/>
                <w:szCs w:val="16"/>
              </w:rPr>
              <w:t>GwGMeldV</w:t>
            </w:r>
            <w:proofErr w:type="spellEnd"/>
            <w:r w:rsidRPr="00070A7A">
              <w:rPr>
                <w:b/>
                <w:color w:val="FF0000"/>
                <w:sz w:val="12"/>
                <w:szCs w:val="16"/>
              </w:rPr>
              <w:t>-Immobilien</w:t>
            </w:r>
            <w:r w:rsidR="000065D6">
              <w:rPr>
                <w:b/>
                <w:color w:val="FF0000"/>
                <w:sz w:val="12"/>
                <w:szCs w:val="16"/>
              </w:rPr>
              <w:t xml:space="preserve"> </w:t>
            </w:r>
            <w:r w:rsidR="000065D6" w:rsidRPr="000065D6">
              <w:rPr>
                <w:color w:val="000000" w:themeColor="text1"/>
                <w:sz w:val="12"/>
                <w:szCs w:val="16"/>
              </w:rPr>
              <w:t>in besonderen Fallkonstellation</w:t>
            </w:r>
            <w:r w:rsidR="000065D6">
              <w:rPr>
                <w:color w:val="000000" w:themeColor="text1"/>
                <w:sz w:val="12"/>
                <w:szCs w:val="16"/>
              </w:rPr>
              <w:t>en</w:t>
            </w:r>
            <w:r w:rsidRPr="00070A7A">
              <w:rPr>
                <w:sz w:val="12"/>
                <w:szCs w:val="16"/>
              </w:rPr>
              <w:t xml:space="preserve">, </w:t>
            </w:r>
            <w:r w:rsidR="007B457D">
              <w:rPr>
                <w:sz w:val="12"/>
                <w:szCs w:val="16"/>
              </w:rPr>
              <w:t>sofern</w:t>
            </w:r>
            <w:r w:rsidRPr="00070A7A">
              <w:rPr>
                <w:sz w:val="12"/>
                <w:szCs w:val="16"/>
              </w:rPr>
              <w:t xml:space="preserve"> WP an Immobilientransaktion beteiligt ist.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  <w:r w:rsidRPr="00070A7A">
              <w:rPr>
                <w:sz w:val="10"/>
                <w:szCs w:val="16"/>
              </w:rPr>
              <w:t>5.2.</w:t>
            </w: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20</w:t>
            </w:r>
          </w:p>
        </w:tc>
      </w:tr>
      <w:tr w:rsidR="00FA3DF2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D.</w:t>
            </w:r>
          </w:p>
        </w:tc>
        <w:tc>
          <w:tcPr>
            <w:tcW w:w="3618" w:type="dxa"/>
            <w:gridSpan w:val="3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Aufzeichnungs- und Aufbewahrungspflicht</w:t>
            </w:r>
            <w:r w:rsidR="007B457D">
              <w:rPr>
                <w:b/>
                <w:sz w:val="12"/>
                <w:szCs w:val="16"/>
              </w:rPr>
              <w:t>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21</w:t>
            </w:r>
          </w:p>
        </w:tc>
      </w:tr>
      <w:tr w:rsidR="00FA3DF2" w:rsidRPr="00070A7A" w:rsidTr="00FA3DF2"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E.</w:t>
            </w:r>
          </w:p>
        </w:tc>
        <w:tc>
          <w:tcPr>
            <w:tcW w:w="3618" w:type="dxa"/>
            <w:gridSpan w:val="3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Sanktionen</w:t>
            </w: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sz w:val="12"/>
                <w:szCs w:val="16"/>
              </w:rPr>
              <w:t xml:space="preserve">WP kann sich auch </w:t>
            </w:r>
            <w:r w:rsidRPr="00070A7A">
              <w:rPr>
                <w:b/>
                <w:sz w:val="12"/>
                <w:szCs w:val="16"/>
              </w:rPr>
              <w:t>strafbar</w:t>
            </w:r>
            <w:r w:rsidRPr="00070A7A">
              <w:rPr>
                <w:sz w:val="12"/>
                <w:szCs w:val="16"/>
              </w:rPr>
              <w:t xml:space="preserve"> machen, wenn er in den Fällen des § 261 Abs. 1 und 2 StGB </w:t>
            </w:r>
            <w:r w:rsidRPr="00070A7A">
              <w:rPr>
                <w:b/>
                <w:color w:val="FF0000"/>
                <w:sz w:val="12"/>
                <w:szCs w:val="16"/>
              </w:rPr>
              <w:t>leichtfertig</w:t>
            </w:r>
            <w:r w:rsidRPr="00070A7A">
              <w:rPr>
                <w:color w:val="FF0000"/>
                <w:sz w:val="12"/>
                <w:szCs w:val="16"/>
              </w:rPr>
              <w:t xml:space="preserve"> </w:t>
            </w:r>
            <w:r w:rsidRPr="00070A7A">
              <w:rPr>
                <w:b/>
                <w:sz w:val="12"/>
                <w:szCs w:val="16"/>
              </w:rPr>
              <w:t>nicht erkennt</w:t>
            </w:r>
            <w:r w:rsidRPr="00070A7A">
              <w:rPr>
                <w:sz w:val="12"/>
                <w:szCs w:val="16"/>
              </w:rPr>
              <w:t xml:space="preserve">, dass der Gegenstand einer Transaktion </w:t>
            </w:r>
            <w:r w:rsidRPr="00070A7A">
              <w:rPr>
                <w:b/>
                <w:sz w:val="12"/>
                <w:szCs w:val="16"/>
              </w:rPr>
              <w:t xml:space="preserve">aus einer rechtswidrigen Tat herrührt </w:t>
            </w:r>
            <w:r w:rsidRPr="00070A7A">
              <w:rPr>
                <w:sz w:val="12"/>
                <w:szCs w:val="16"/>
              </w:rPr>
              <w:t>(leichtfertige Geldwäsche).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  <w:r w:rsidRPr="00070A7A">
              <w:rPr>
                <w:sz w:val="10"/>
                <w:szCs w:val="16"/>
              </w:rPr>
              <w:t>Tz. 193</w:t>
            </w: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</w:p>
        </w:tc>
        <w:tc>
          <w:tcPr>
            <w:tcW w:w="574" w:type="dxa"/>
          </w:tcPr>
          <w:p w:rsidR="0078371A" w:rsidRPr="000065D6" w:rsidRDefault="000065D6" w:rsidP="000065D6">
            <w:pPr>
              <w:spacing w:before="0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22</w:t>
            </w:r>
          </w:p>
        </w:tc>
      </w:tr>
      <w:tr w:rsidR="00FA3DF2" w:rsidRPr="00070A7A" w:rsidTr="002E5913">
        <w:trPr>
          <w:trHeight w:val="423"/>
        </w:trPr>
        <w:tc>
          <w:tcPr>
            <w:tcW w:w="447" w:type="dxa"/>
          </w:tcPr>
          <w:p w:rsidR="0078371A" w:rsidRPr="00070A7A" w:rsidRDefault="0078371A" w:rsidP="000065D6">
            <w:pPr>
              <w:spacing w:before="0"/>
              <w:rPr>
                <w:b/>
                <w:sz w:val="12"/>
                <w:szCs w:val="16"/>
              </w:rPr>
            </w:pPr>
          </w:p>
        </w:tc>
        <w:tc>
          <w:tcPr>
            <w:tcW w:w="3618" w:type="dxa"/>
            <w:gridSpan w:val="3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</w:p>
        </w:tc>
        <w:tc>
          <w:tcPr>
            <w:tcW w:w="3281" w:type="dxa"/>
          </w:tcPr>
          <w:p w:rsidR="0078371A" w:rsidRPr="00070A7A" w:rsidRDefault="0078371A" w:rsidP="000065D6">
            <w:pPr>
              <w:spacing w:before="0"/>
              <w:rPr>
                <w:sz w:val="12"/>
                <w:szCs w:val="16"/>
              </w:rPr>
            </w:pPr>
            <w:r w:rsidRPr="00070A7A">
              <w:rPr>
                <w:b/>
                <w:sz w:val="12"/>
                <w:szCs w:val="16"/>
              </w:rPr>
              <w:t>Strafrahmen</w:t>
            </w:r>
            <w:r w:rsidRPr="00070A7A">
              <w:rPr>
                <w:sz w:val="12"/>
                <w:szCs w:val="16"/>
              </w:rPr>
              <w:t xml:space="preserve"> ist für einen </w:t>
            </w:r>
            <w:r w:rsidRPr="00070A7A">
              <w:rPr>
                <w:b/>
                <w:sz w:val="12"/>
                <w:szCs w:val="16"/>
              </w:rPr>
              <w:t>Verpflichteten des GwG</w:t>
            </w:r>
            <w:r w:rsidRPr="00070A7A">
              <w:rPr>
                <w:sz w:val="12"/>
                <w:szCs w:val="16"/>
              </w:rPr>
              <w:t xml:space="preserve">, der den Tatbestand des § 261 Abs. 1 oder 2 StGB verwirklicht, </w:t>
            </w:r>
            <w:r w:rsidRPr="00070A7A">
              <w:rPr>
                <w:b/>
                <w:sz w:val="12"/>
                <w:szCs w:val="16"/>
              </w:rPr>
              <w:t>höher</w:t>
            </w:r>
            <w:r w:rsidRPr="00070A7A">
              <w:rPr>
                <w:sz w:val="12"/>
                <w:szCs w:val="16"/>
              </w:rPr>
              <w:t xml:space="preserve"> (§ 261 Abs. 4 StGB).</w:t>
            </w:r>
          </w:p>
        </w:tc>
        <w:tc>
          <w:tcPr>
            <w:tcW w:w="729" w:type="dxa"/>
          </w:tcPr>
          <w:p w:rsidR="0078371A" w:rsidRPr="00070A7A" w:rsidRDefault="0078371A" w:rsidP="000065D6">
            <w:pPr>
              <w:spacing w:before="0"/>
              <w:rPr>
                <w:sz w:val="10"/>
                <w:szCs w:val="16"/>
              </w:rPr>
            </w:pPr>
            <w:r w:rsidRPr="00070A7A">
              <w:rPr>
                <w:sz w:val="10"/>
                <w:szCs w:val="16"/>
              </w:rPr>
              <w:t>Tz. 193</w:t>
            </w:r>
          </w:p>
        </w:tc>
        <w:tc>
          <w:tcPr>
            <w:tcW w:w="413" w:type="dxa"/>
          </w:tcPr>
          <w:p w:rsidR="0078371A" w:rsidRPr="00070A7A" w:rsidRDefault="0078371A" w:rsidP="000065D6">
            <w:pPr>
              <w:spacing w:before="0"/>
              <w:rPr>
                <w:sz w:val="2"/>
                <w:szCs w:val="16"/>
              </w:rPr>
            </w:pPr>
          </w:p>
        </w:tc>
        <w:tc>
          <w:tcPr>
            <w:tcW w:w="574" w:type="dxa"/>
          </w:tcPr>
          <w:p w:rsidR="0078371A" w:rsidRPr="0014464E" w:rsidRDefault="0014464E" w:rsidP="000065D6">
            <w:pPr>
              <w:spacing w:before="0"/>
              <w:jc w:val="center"/>
              <w:rPr>
                <w:b/>
                <w:sz w:val="12"/>
                <w:szCs w:val="12"/>
              </w:rPr>
            </w:pPr>
            <w:r w:rsidRPr="0014464E">
              <w:rPr>
                <w:b/>
                <w:sz w:val="12"/>
                <w:szCs w:val="12"/>
              </w:rPr>
              <w:t>23</w:t>
            </w:r>
          </w:p>
        </w:tc>
      </w:tr>
    </w:tbl>
    <w:p w:rsidR="002E5913" w:rsidRPr="00FA3DF2" w:rsidRDefault="002E5913" w:rsidP="002E5913">
      <w:pPr>
        <w:rPr>
          <w:sz w:val="2"/>
          <w:szCs w:val="2"/>
        </w:rPr>
      </w:pPr>
    </w:p>
    <w:sectPr w:rsidR="002E5913" w:rsidRPr="00FA3DF2" w:rsidSect="001A654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00" w:right="1701" w:bottom="1134" w:left="1134" w:header="1134" w:footer="4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116" w:rsidRDefault="00706116">
      <w:pPr>
        <w:spacing w:before="0"/>
      </w:pPr>
      <w:r>
        <w:separator/>
      </w:r>
    </w:p>
  </w:endnote>
  <w:endnote w:type="continuationSeparator" w:id="0">
    <w:p w:rsidR="00706116" w:rsidRDefault="007061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 w:rsidR="00416098">
      <w:rPr>
        <w:rFonts w:eastAsiaTheme="minorHAnsi" w:cstheme="minorBidi"/>
        <w:noProof/>
        <w:sz w:val="20"/>
      </w:rPr>
      <w:drawing>
        <wp:inline distT="0" distB="0" distL="0" distR="0" wp14:anchorId="59693299" wp14:editId="33C6F611">
          <wp:extent cx="1404000" cy="542661"/>
          <wp:effectExtent l="0" t="0" r="5715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fit_Logo_4c_blau_by_LL_korr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54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4321E8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>
      <w:rPr>
        <w:rFonts w:eastAsiaTheme="minorHAnsi" w:cstheme="minorBidi"/>
        <w:b/>
        <w:color w:val="00B0F0"/>
        <w:sz w:val="20"/>
        <w:lang w:eastAsia="en-US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Seite: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4321E8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F263F7">
      <w:rPr>
        <w:rFonts w:eastAsiaTheme="minorHAnsi" w:cstheme="minorBidi"/>
        <w:b/>
        <w:color w:val="00B0F0"/>
        <w:sz w:val="20"/>
        <w:lang w:eastAsia="en-US"/>
      </w:rPr>
      <w:t>4/1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116" w:rsidRDefault="00706116" w:rsidP="00EE217B">
      <w:pPr>
        <w:pStyle w:val="Fuzeile"/>
      </w:pPr>
    </w:p>
    <w:p w:rsidR="00706116" w:rsidRPr="00EE217B" w:rsidRDefault="00706116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706116" w:rsidRDefault="00706116" w:rsidP="00711AB6">
      <w:pPr>
        <w:spacing w:before="0"/>
        <w:jc w:val="center"/>
      </w:pPr>
    </w:p>
    <w:p w:rsidR="00706116" w:rsidRPr="00711AB6" w:rsidRDefault="00706116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22" w:rsidRDefault="00CC4C22" w:rsidP="00F21551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16"/>
    <w:rsid w:val="00002230"/>
    <w:rsid w:val="00002EED"/>
    <w:rsid w:val="000030A9"/>
    <w:rsid w:val="000065D6"/>
    <w:rsid w:val="0001477C"/>
    <w:rsid w:val="00024D1E"/>
    <w:rsid w:val="0002748A"/>
    <w:rsid w:val="0003242D"/>
    <w:rsid w:val="0004061E"/>
    <w:rsid w:val="000503CF"/>
    <w:rsid w:val="0005326E"/>
    <w:rsid w:val="000616B8"/>
    <w:rsid w:val="00064F40"/>
    <w:rsid w:val="00070A7A"/>
    <w:rsid w:val="00075E7C"/>
    <w:rsid w:val="00080B9A"/>
    <w:rsid w:val="00086B8A"/>
    <w:rsid w:val="0009344D"/>
    <w:rsid w:val="00097B2B"/>
    <w:rsid w:val="000B1337"/>
    <w:rsid w:val="000E26F7"/>
    <w:rsid w:val="00111AC6"/>
    <w:rsid w:val="001205E2"/>
    <w:rsid w:val="00143F11"/>
    <w:rsid w:val="0014464E"/>
    <w:rsid w:val="00165A53"/>
    <w:rsid w:val="00180880"/>
    <w:rsid w:val="00184E10"/>
    <w:rsid w:val="00195534"/>
    <w:rsid w:val="0019585B"/>
    <w:rsid w:val="001A1B58"/>
    <w:rsid w:val="001A6548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2647"/>
    <w:rsid w:val="00213C34"/>
    <w:rsid w:val="00257647"/>
    <w:rsid w:val="002717FB"/>
    <w:rsid w:val="00283F41"/>
    <w:rsid w:val="00284FA6"/>
    <w:rsid w:val="00285560"/>
    <w:rsid w:val="00285C0D"/>
    <w:rsid w:val="00290924"/>
    <w:rsid w:val="0029592F"/>
    <w:rsid w:val="002A064F"/>
    <w:rsid w:val="002B17CE"/>
    <w:rsid w:val="002B298F"/>
    <w:rsid w:val="002B37AC"/>
    <w:rsid w:val="002D0908"/>
    <w:rsid w:val="002D7E2D"/>
    <w:rsid w:val="002E5913"/>
    <w:rsid w:val="002F09D8"/>
    <w:rsid w:val="002F6B99"/>
    <w:rsid w:val="002F771F"/>
    <w:rsid w:val="00304799"/>
    <w:rsid w:val="00340216"/>
    <w:rsid w:val="00342964"/>
    <w:rsid w:val="00352142"/>
    <w:rsid w:val="00353E56"/>
    <w:rsid w:val="00360F3D"/>
    <w:rsid w:val="00364269"/>
    <w:rsid w:val="00376DCD"/>
    <w:rsid w:val="00382BCD"/>
    <w:rsid w:val="003932A1"/>
    <w:rsid w:val="003A6FEB"/>
    <w:rsid w:val="003B420D"/>
    <w:rsid w:val="003E348F"/>
    <w:rsid w:val="003E5835"/>
    <w:rsid w:val="003F1B18"/>
    <w:rsid w:val="003F53CB"/>
    <w:rsid w:val="004076E9"/>
    <w:rsid w:val="0041402E"/>
    <w:rsid w:val="00416098"/>
    <w:rsid w:val="004248A0"/>
    <w:rsid w:val="004321E8"/>
    <w:rsid w:val="00433509"/>
    <w:rsid w:val="00440D21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50152B"/>
    <w:rsid w:val="005060F4"/>
    <w:rsid w:val="00516C43"/>
    <w:rsid w:val="0052103B"/>
    <w:rsid w:val="00525CDB"/>
    <w:rsid w:val="00527267"/>
    <w:rsid w:val="00534A4B"/>
    <w:rsid w:val="005473EF"/>
    <w:rsid w:val="0055136F"/>
    <w:rsid w:val="0055156D"/>
    <w:rsid w:val="00567521"/>
    <w:rsid w:val="00582D43"/>
    <w:rsid w:val="00583AA1"/>
    <w:rsid w:val="0058613C"/>
    <w:rsid w:val="005913EC"/>
    <w:rsid w:val="005921A2"/>
    <w:rsid w:val="005967E6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32C1A"/>
    <w:rsid w:val="006454CF"/>
    <w:rsid w:val="0065198F"/>
    <w:rsid w:val="006521FF"/>
    <w:rsid w:val="00665F75"/>
    <w:rsid w:val="0066763B"/>
    <w:rsid w:val="00684B37"/>
    <w:rsid w:val="00696C60"/>
    <w:rsid w:val="006C4228"/>
    <w:rsid w:val="006D45A1"/>
    <w:rsid w:val="006E24F6"/>
    <w:rsid w:val="006E7126"/>
    <w:rsid w:val="007026D1"/>
    <w:rsid w:val="00706116"/>
    <w:rsid w:val="00711AB6"/>
    <w:rsid w:val="00716DD5"/>
    <w:rsid w:val="00720E5C"/>
    <w:rsid w:val="00742EA1"/>
    <w:rsid w:val="00744772"/>
    <w:rsid w:val="007506E6"/>
    <w:rsid w:val="007626C5"/>
    <w:rsid w:val="00763FC1"/>
    <w:rsid w:val="007648E0"/>
    <w:rsid w:val="00765666"/>
    <w:rsid w:val="0078371A"/>
    <w:rsid w:val="0078728B"/>
    <w:rsid w:val="00790130"/>
    <w:rsid w:val="00796513"/>
    <w:rsid w:val="007A060E"/>
    <w:rsid w:val="007A3E0C"/>
    <w:rsid w:val="007B1945"/>
    <w:rsid w:val="007B457D"/>
    <w:rsid w:val="007D3976"/>
    <w:rsid w:val="007E0249"/>
    <w:rsid w:val="007F3A7C"/>
    <w:rsid w:val="00802ED4"/>
    <w:rsid w:val="00805892"/>
    <w:rsid w:val="0081072B"/>
    <w:rsid w:val="0082483A"/>
    <w:rsid w:val="008248D3"/>
    <w:rsid w:val="008471C9"/>
    <w:rsid w:val="00855B99"/>
    <w:rsid w:val="008563F1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C44B0"/>
    <w:rsid w:val="008C4EE0"/>
    <w:rsid w:val="008D1A8E"/>
    <w:rsid w:val="008E0D82"/>
    <w:rsid w:val="008E0FC7"/>
    <w:rsid w:val="008F75E7"/>
    <w:rsid w:val="009075A9"/>
    <w:rsid w:val="009212B4"/>
    <w:rsid w:val="0095198B"/>
    <w:rsid w:val="00970211"/>
    <w:rsid w:val="009760D0"/>
    <w:rsid w:val="009819D7"/>
    <w:rsid w:val="0099236A"/>
    <w:rsid w:val="009A6E64"/>
    <w:rsid w:val="009C2FF2"/>
    <w:rsid w:val="009C6EFB"/>
    <w:rsid w:val="009D429E"/>
    <w:rsid w:val="009E1FB1"/>
    <w:rsid w:val="009F6E01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87FE5"/>
    <w:rsid w:val="00A946ED"/>
    <w:rsid w:val="00A97EF4"/>
    <w:rsid w:val="00AA65D6"/>
    <w:rsid w:val="00AC17EE"/>
    <w:rsid w:val="00AE290A"/>
    <w:rsid w:val="00AF1983"/>
    <w:rsid w:val="00B13741"/>
    <w:rsid w:val="00B15817"/>
    <w:rsid w:val="00B1680D"/>
    <w:rsid w:val="00B22993"/>
    <w:rsid w:val="00B261B2"/>
    <w:rsid w:val="00B6345C"/>
    <w:rsid w:val="00B73242"/>
    <w:rsid w:val="00B77530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24E59"/>
    <w:rsid w:val="00C30D7D"/>
    <w:rsid w:val="00C43D74"/>
    <w:rsid w:val="00C470A2"/>
    <w:rsid w:val="00C61048"/>
    <w:rsid w:val="00C8522D"/>
    <w:rsid w:val="00C91AC1"/>
    <w:rsid w:val="00C940C7"/>
    <w:rsid w:val="00CA5FDE"/>
    <w:rsid w:val="00CA6FFC"/>
    <w:rsid w:val="00CB24C7"/>
    <w:rsid w:val="00CC19EF"/>
    <w:rsid w:val="00CC1F47"/>
    <w:rsid w:val="00CC4C22"/>
    <w:rsid w:val="00CD1A9A"/>
    <w:rsid w:val="00CD4117"/>
    <w:rsid w:val="00CE73C2"/>
    <w:rsid w:val="00D13BD1"/>
    <w:rsid w:val="00D45365"/>
    <w:rsid w:val="00D61222"/>
    <w:rsid w:val="00DA6374"/>
    <w:rsid w:val="00DB3534"/>
    <w:rsid w:val="00DB3B77"/>
    <w:rsid w:val="00DC5CF9"/>
    <w:rsid w:val="00DD3447"/>
    <w:rsid w:val="00DD5810"/>
    <w:rsid w:val="00DE10AB"/>
    <w:rsid w:val="00DE2B44"/>
    <w:rsid w:val="00E016C0"/>
    <w:rsid w:val="00E15EC8"/>
    <w:rsid w:val="00E211D2"/>
    <w:rsid w:val="00E342CA"/>
    <w:rsid w:val="00E368C3"/>
    <w:rsid w:val="00E50734"/>
    <w:rsid w:val="00E54CF5"/>
    <w:rsid w:val="00E57522"/>
    <w:rsid w:val="00E57793"/>
    <w:rsid w:val="00E61BCD"/>
    <w:rsid w:val="00E76C20"/>
    <w:rsid w:val="00E77518"/>
    <w:rsid w:val="00EA2ACF"/>
    <w:rsid w:val="00EA74B3"/>
    <w:rsid w:val="00EC00F0"/>
    <w:rsid w:val="00EE217B"/>
    <w:rsid w:val="00EF2558"/>
    <w:rsid w:val="00F029CC"/>
    <w:rsid w:val="00F02A61"/>
    <w:rsid w:val="00F21551"/>
    <w:rsid w:val="00F2421E"/>
    <w:rsid w:val="00F263F7"/>
    <w:rsid w:val="00F27814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76140"/>
    <w:rsid w:val="00F87375"/>
    <w:rsid w:val="00F920AB"/>
    <w:rsid w:val="00FA1E51"/>
    <w:rsid w:val="00FA3DF2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C6A94A3-8980-40F2-A6F6-3A76FF76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174B5A1-8276-4170-8ECA-DBF6CA93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1</Pages>
  <Words>476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Hirth, Tina - LÖSLE</cp:lastModifiedBy>
  <cp:revision>25</cp:revision>
  <cp:lastPrinted>2025-03-31T07:58:00Z</cp:lastPrinted>
  <dcterms:created xsi:type="dcterms:W3CDTF">2025-03-05T08:34:00Z</dcterms:created>
  <dcterms:modified xsi:type="dcterms:W3CDTF">2025-04-09T12:27:00Z</dcterms:modified>
</cp:coreProperties>
</file>