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tblBorders>
        <w:shd w:val="clear" w:color="auto" w:fill="CCECFF"/>
        <w:tblLook w:val="04A0" w:firstRow="1" w:lastRow="0" w:firstColumn="1" w:lastColumn="0" w:noHBand="0" w:noVBand="1"/>
      </w:tblPr>
      <w:tblGrid>
        <w:gridCol w:w="8699"/>
        <w:gridCol w:w="373"/>
      </w:tblGrid>
      <w:tr w:rsidR="003329DC" w:rsidRPr="00DB7B99" w:rsidTr="003329DC">
        <w:trPr>
          <w:cantSplit/>
          <w:trHeight w:val="762"/>
        </w:trPr>
        <w:tc>
          <w:tcPr>
            <w:tcW w:w="8789" w:type="dxa"/>
            <w:tcBorders>
              <w:right w:val="nil"/>
            </w:tcBorders>
            <w:shd w:val="clear" w:color="auto" w:fill="CCECFF"/>
            <w:tcMar>
              <w:top w:w="113" w:type="dxa"/>
              <w:bottom w:w="113" w:type="dxa"/>
            </w:tcMar>
            <w:vAlign w:val="center"/>
          </w:tcPr>
          <w:p w:rsidR="003329DC" w:rsidRPr="003329DC" w:rsidRDefault="003329DC" w:rsidP="003329DC">
            <w:pPr>
              <w:pStyle w:val="berschrift1"/>
              <w:numPr>
                <w:ilvl w:val="0"/>
                <w:numId w:val="0"/>
              </w:numPr>
              <w:rPr>
                <w:rFonts w:ascii="Century Gothic" w:hAnsi="Century Gothic"/>
                <w:sz w:val="28"/>
                <w:szCs w:val="28"/>
              </w:rPr>
            </w:pPr>
            <w:bookmarkStart w:id="0" w:name="_GoBack"/>
            <w:bookmarkEnd w:id="0"/>
            <w:r w:rsidRPr="003329DC">
              <w:rPr>
                <w:rFonts w:ascii="Century Gothic" w:hAnsi="Century Gothic"/>
                <w:color w:val="00B0F0"/>
                <w:sz w:val="28"/>
                <w:szCs w:val="28"/>
              </w:rPr>
              <w:t>Der besondere Straftatbestand zur Geldwäsche</w:t>
            </w:r>
          </w:p>
        </w:tc>
        <w:tc>
          <w:tcPr>
            <w:tcW w:w="283" w:type="dxa"/>
            <w:tcBorders>
              <w:top w:val="nil"/>
              <w:left w:val="nil"/>
              <w:bottom w:val="nil"/>
            </w:tcBorders>
            <w:shd w:val="clear" w:color="auto" w:fill="CCECFF"/>
            <w:textDirection w:val="btLr"/>
          </w:tcPr>
          <w:p w:rsidR="003329DC" w:rsidRPr="003329DC" w:rsidRDefault="003329DC" w:rsidP="003329DC">
            <w:pPr>
              <w:pStyle w:val="berschrift1"/>
              <w:numPr>
                <w:ilvl w:val="0"/>
                <w:numId w:val="0"/>
              </w:numPr>
              <w:ind w:left="113" w:right="113"/>
              <w:rPr>
                <w:rFonts w:ascii="Century Gothic" w:hAnsi="Century Gothic"/>
                <w:b w:val="0"/>
                <w:color w:val="FF0000"/>
                <w:sz w:val="12"/>
                <w:szCs w:val="12"/>
              </w:rPr>
            </w:pPr>
            <w:r w:rsidRPr="003329DC">
              <w:rPr>
                <w:rFonts w:ascii="Century Gothic" w:hAnsi="Century Gothic"/>
                <w:b w:val="0"/>
                <w:color w:val="FF0000"/>
                <w:sz w:val="12"/>
                <w:szCs w:val="12"/>
              </w:rPr>
              <w:t>03/2025</w:t>
            </w:r>
          </w:p>
        </w:tc>
      </w:tr>
    </w:tbl>
    <w:p w:rsidR="00195534" w:rsidRDefault="00195534" w:rsidP="00195534">
      <w:pPr>
        <w:spacing w:before="0"/>
        <w:rPr>
          <w:sz w:val="20"/>
          <w:szCs w:val="24"/>
        </w:rPr>
      </w:pPr>
    </w:p>
    <w:tbl>
      <w:tblPr>
        <w:tblStyle w:val="Tabellenraster"/>
        <w:tblW w:w="0" w:type="auto"/>
        <w:tblCellMar>
          <w:top w:w="85" w:type="dxa"/>
          <w:bottom w:w="85" w:type="dxa"/>
        </w:tblCellMar>
        <w:tblLook w:val="04A0" w:firstRow="1" w:lastRow="0" w:firstColumn="1" w:lastColumn="0" w:noHBand="0" w:noVBand="1"/>
      </w:tblPr>
      <w:tblGrid>
        <w:gridCol w:w="8359"/>
        <w:gridCol w:w="703"/>
      </w:tblGrid>
      <w:tr w:rsidR="003329DC" w:rsidTr="003E0221">
        <w:tc>
          <w:tcPr>
            <w:tcW w:w="8359" w:type="dxa"/>
            <w:tcBorders>
              <w:top w:val="nil"/>
              <w:left w:val="nil"/>
              <w:bottom w:val="nil"/>
              <w:right w:val="nil"/>
            </w:tcBorders>
          </w:tcPr>
          <w:p w:rsidR="003329DC" w:rsidRDefault="003329DC" w:rsidP="00E50CC2">
            <w:pPr>
              <w:spacing w:before="0"/>
              <w:jc w:val="center"/>
              <w:rPr>
                <w:b/>
                <w:sz w:val="20"/>
                <w:szCs w:val="24"/>
              </w:rPr>
            </w:pPr>
          </w:p>
        </w:tc>
        <w:tc>
          <w:tcPr>
            <w:tcW w:w="703" w:type="dxa"/>
            <w:tcBorders>
              <w:top w:val="nil"/>
              <w:left w:val="nil"/>
              <w:bottom w:val="nil"/>
              <w:right w:val="nil"/>
            </w:tcBorders>
            <w:vAlign w:val="center"/>
          </w:tcPr>
          <w:p w:rsidR="003329DC" w:rsidRDefault="003329DC" w:rsidP="003329DC">
            <w:pPr>
              <w:spacing w:before="0"/>
              <w:jc w:val="center"/>
              <w:rPr>
                <w:b/>
                <w:sz w:val="20"/>
                <w:szCs w:val="24"/>
              </w:rPr>
            </w:pPr>
            <w:r>
              <w:rPr>
                <w:rFonts w:cs="Arial"/>
                <w:b/>
                <w:sz w:val="16"/>
                <w:szCs w:val="16"/>
                <w:lang w:val="de"/>
              </w:rPr>
              <w:t>Tz</w:t>
            </w:r>
          </w:p>
        </w:tc>
      </w:tr>
      <w:tr w:rsidR="003329DC" w:rsidTr="003329DC">
        <w:tc>
          <w:tcPr>
            <w:tcW w:w="8359" w:type="dxa"/>
            <w:tcBorders>
              <w:top w:val="nil"/>
              <w:left w:val="nil"/>
              <w:bottom w:val="nil"/>
              <w:right w:val="nil"/>
            </w:tcBorders>
          </w:tcPr>
          <w:p w:rsidR="003329DC" w:rsidRDefault="003329DC" w:rsidP="003329DC">
            <w:pPr>
              <w:spacing w:before="0"/>
              <w:jc w:val="center"/>
              <w:rPr>
                <w:b/>
                <w:sz w:val="20"/>
                <w:szCs w:val="24"/>
              </w:rPr>
            </w:pPr>
            <w:r w:rsidRPr="00E50CC2">
              <w:rPr>
                <w:b/>
                <w:sz w:val="20"/>
                <w:szCs w:val="24"/>
              </w:rPr>
              <w:t>§ 261  StGB „Geldwäsche“</w:t>
            </w:r>
          </w:p>
        </w:tc>
        <w:tc>
          <w:tcPr>
            <w:tcW w:w="703" w:type="dxa"/>
            <w:tcBorders>
              <w:top w:val="nil"/>
              <w:left w:val="nil"/>
              <w:bottom w:val="nil"/>
              <w:right w:val="nil"/>
            </w:tcBorders>
          </w:tcPr>
          <w:p w:rsidR="003329DC" w:rsidRPr="003329DC" w:rsidRDefault="003329DC" w:rsidP="00E50CC2">
            <w:pPr>
              <w:spacing w:before="0"/>
              <w:jc w:val="center"/>
              <w:rPr>
                <w:rFonts w:cs="Arial"/>
                <w:b/>
                <w:sz w:val="16"/>
                <w:szCs w:val="16"/>
                <w:lang w:val="de"/>
              </w:rPr>
            </w:pPr>
          </w:p>
        </w:tc>
      </w:tr>
      <w:tr w:rsidR="003329DC" w:rsidTr="003329DC">
        <w:tc>
          <w:tcPr>
            <w:tcW w:w="8359" w:type="dxa"/>
            <w:tcBorders>
              <w:top w:val="nil"/>
              <w:left w:val="nil"/>
              <w:bottom w:val="nil"/>
              <w:right w:val="nil"/>
            </w:tcBorders>
          </w:tcPr>
          <w:p w:rsidR="003329DC" w:rsidRDefault="003329DC" w:rsidP="00E50CC2">
            <w:pPr>
              <w:spacing w:before="0"/>
              <w:jc w:val="center"/>
              <w:rPr>
                <w:b/>
                <w:sz w:val="20"/>
                <w:szCs w:val="24"/>
              </w:rPr>
            </w:pPr>
          </w:p>
        </w:tc>
        <w:tc>
          <w:tcPr>
            <w:tcW w:w="703" w:type="dxa"/>
            <w:tcBorders>
              <w:top w:val="nil"/>
              <w:left w:val="nil"/>
              <w:bottom w:val="nil"/>
              <w:right w:val="nil"/>
            </w:tcBorders>
          </w:tcPr>
          <w:p w:rsidR="003329DC" w:rsidRPr="003329DC" w:rsidRDefault="003329DC" w:rsidP="00E50CC2">
            <w:pPr>
              <w:spacing w:before="0"/>
              <w:jc w:val="center"/>
              <w:rPr>
                <w:rFonts w:cs="Arial"/>
                <w:b/>
                <w:sz w:val="16"/>
                <w:szCs w:val="16"/>
                <w:lang w:val="de"/>
              </w:rPr>
            </w:pPr>
          </w:p>
        </w:tc>
      </w:tr>
      <w:tr w:rsidR="003329DC" w:rsidTr="003329DC">
        <w:tc>
          <w:tcPr>
            <w:tcW w:w="8359" w:type="dxa"/>
            <w:tcBorders>
              <w:top w:val="nil"/>
              <w:left w:val="nil"/>
              <w:bottom w:val="nil"/>
              <w:right w:val="nil"/>
            </w:tcBorders>
          </w:tcPr>
          <w:p w:rsidR="003329DC" w:rsidRPr="008D28A7" w:rsidRDefault="003329DC" w:rsidP="003E0221">
            <w:pPr>
              <w:pStyle w:val="Listenabsatz"/>
              <w:numPr>
                <w:ilvl w:val="0"/>
                <w:numId w:val="27"/>
              </w:numPr>
              <w:spacing w:before="0"/>
              <w:ind w:left="425" w:hanging="425"/>
              <w:rPr>
                <w:b/>
                <w:sz w:val="20"/>
                <w:szCs w:val="24"/>
              </w:rPr>
            </w:pPr>
            <w:r w:rsidRPr="008D28A7">
              <w:rPr>
                <w:sz w:val="20"/>
                <w:szCs w:val="24"/>
              </w:rPr>
              <w:t xml:space="preserve">Wer einen Gegenstand, </w:t>
            </w:r>
            <w:r w:rsidRPr="008D28A7">
              <w:rPr>
                <w:b/>
                <w:color w:val="FF0000"/>
                <w:sz w:val="20"/>
                <w:szCs w:val="24"/>
              </w:rPr>
              <w:t>der aus einer rechtswidrigen Tat herrührt</w:t>
            </w:r>
            <w:r w:rsidRPr="008D28A7">
              <w:rPr>
                <w:sz w:val="20"/>
                <w:szCs w:val="24"/>
              </w:rPr>
              <w:t>,</w:t>
            </w:r>
          </w:p>
        </w:tc>
        <w:tc>
          <w:tcPr>
            <w:tcW w:w="703" w:type="dxa"/>
            <w:tcBorders>
              <w:top w:val="nil"/>
              <w:left w:val="nil"/>
              <w:bottom w:val="nil"/>
              <w:right w:val="nil"/>
            </w:tcBorders>
          </w:tcPr>
          <w:p w:rsidR="003329DC" w:rsidRPr="003329DC" w:rsidRDefault="003329DC" w:rsidP="003E0221">
            <w:pPr>
              <w:spacing w:before="0"/>
              <w:rPr>
                <w:rFonts w:cs="Arial"/>
                <w:b/>
                <w:sz w:val="16"/>
                <w:szCs w:val="16"/>
                <w:lang w:val="de"/>
              </w:rPr>
            </w:pPr>
            <w:r w:rsidRPr="003329DC">
              <w:rPr>
                <w:rFonts w:cs="Arial"/>
                <w:b/>
                <w:sz w:val="16"/>
                <w:szCs w:val="16"/>
                <w:lang w:val="de"/>
              </w:rPr>
              <w:t>1</w:t>
            </w:r>
          </w:p>
        </w:tc>
      </w:tr>
      <w:tr w:rsidR="003329DC" w:rsidTr="003329DC">
        <w:tc>
          <w:tcPr>
            <w:tcW w:w="8359" w:type="dxa"/>
            <w:tcBorders>
              <w:top w:val="nil"/>
              <w:left w:val="nil"/>
              <w:bottom w:val="nil"/>
              <w:right w:val="nil"/>
            </w:tcBorders>
          </w:tcPr>
          <w:p w:rsidR="003329DC" w:rsidRPr="003329DC" w:rsidRDefault="003329DC" w:rsidP="003E0221">
            <w:pPr>
              <w:pStyle w:val="Listenabsatz"/>
              <w:numPr>
                <w:ilvl w:val="0"/>
                <w:numId w:val="21"/>
              </w:numPr>
              <w:spacing w:before="0"/>
              <w:ind w:left="425" w:hanging="425"/>
              <w:rPr>
                <w:sz w:val="20"/>
                <w:szCs w:val="24"/>
              </w:rPr>
            </w:pPr>
            <w:r w:rsidRPr="003329DC">
              <w:rPr>
                <w:b/>
                <w:sz w:val="20"/>
                <w:szCs w:val="24"/>
              </w:rPr>
              <w:t>verbirgt</w:t>
            </w:r>
            <w:r w:rsidRPr="003329DC">
              <w:rPr>
                <w:sz w:val="20"/>
                <w:szCs w:val="24"/>
              </w:rPr>
              <w:t>,</w:t>
            </w:r>
          </w:p>
        </w:tc>
        <w:tc>
          <w:tcPr>
            <w:tcW w:w="703" w:type="dxa"/>
            <w:tcBorders>
              <w:top w:val="nil"/>
              <w:left w:val="nil"/>
              <w:bottom w:val="nil"/>
              <w:right w:val="nil"/>
            </w:tcBorders>
          </w:tcPr>
          <w:p w:rsidR="003329DC" w:rsidRPr="003329DC" w:rsidRDefault="008D28A7" w:rsidP="003E0221">
            <w:pPr>
              <w:spacing w:before="0"/>
              <w:rPr>
                <w:rFonts w:cs="Arial"/>
                <w:b/>
                <w:sz w:val="16"/>
                <w:szCs w:val="16"/>
                <w:lang w:val="de"/>
              </w:rPr>
            </w:pPr>
            <w:r>
              <w:rPr>
                <w:rFonts w:cs="Arial"/>
                <w:b/>
                <w:sz w:val="16"/>
                <w:szCs w:val="16"/>
                <w:lang w:val="de"/>
              </w:rPr>
              <w:t>2</w:t>
            </w:r>
          </w:p>
        </w:tc>
      </w:tr>
      <w:tr w:rsidR="003329DC" w:rsidTr="003329DC">
        <w:tc>
          <w:tcPr>
            <w:tcW w:w="8359" w:type="dxa"/>
            <w:tcBorders>
              <w:top w:val="nil"/>
              <w:left w:val="nil"/>
              <w:bottom w:val="nil"/>
              <w:right w:val="nil"/>
            </w:tcBorders>
          </w:tcPr>
          <w:p w:rsidR="003329DC" w:rsidRPr="00DB7B99" w:rsidRDefault="003329DC" w:rsidP="003E0221">
            <w:pPr>
              <w:pStyle w:val="Listenabsatz"/>
              <w:numPr>
                <w:ilvl w:val="0"/>
                <w:numId w:val="21"/>
              </w:numPr>
              <w:spacing w:before="0"/>
              <w:ind w:left="425" w:hanging="425"/>
              <w:rPr>
                <w:sz w:val="20"/>
                <w:szCs w:val="24"/>
              </w:rPr>
            </w:pPr>
            <w:r w:rsidRPr="003329DC">
              <w:rPr>
                <w:sz w:val="20"/>
                <w:szCs w:val="24"/>
              </w:rPr>
              <w:t xml:space="preserve">in der Absicht, dessen Auffinden, dessen Einziehung oder die Ermittlung von dessen Herkunft zu vereiteln, </w:t>
            </w:r>
            <w:r w:rsidRPr="003329DC">
              <w:rPr>
                <w:b/>
                <w:sz w:val="20"/>
                <w:szCs w:val="24"/>
              </w:rPr>
              <w:t>umtauscht, überträgt oder verbringt</w:t>
            </w:r>
            <w:r w:rsidRPr="003329DC">
              <w:rPr>
                <w:sz w:val="20"/>
                <w:szCs w:val="24"/>
              </w:rPr>
              <w:t>,</w:t>
            </w:r>
          </w:p>
        </w:tc>
        <w:tc>
          <w:tcPr>
            <w:tcW w:w="703" w:type="dxa"/>
            <w:tcBorders>
              <w:top w:val="nil"/>
              <w:left w:val="nil"/>
              <w:bottom w:val="nil"/>
              <w:right w:val="nil"/>
            </w:tcBorders>
          </w:tcPr>
          <w:p w:rsidR="003329DC" w:rsidRPr="003329DC" w:rsidRDefault="008D28A7" w:rsidP="003E0221">
            <w:pPr>
              <w:spacing w:before="0"/>
              <w:rPr>
                <w:rFonts w:cs="Arial"/>
                <w:b/>
                <w:sz w:val="16"/>
                <w:szCs w:val="16"/>
                <w:lang w:val="de"/>
              </w:rPr>
            </w:pPr>
            <w:r>
              <w:rPr>
                <w:rFonts w:cs="Arial"/>
                <w:b/>
                <w:sz w:val="16"/>
                <w:szCs w:val="16"/>
                <w:lang w:val="de"/>
              </w:rPr>
              <w:t>3</w:t>
            </w:r>
          </w:p>
        </w:tc>
      </w:tr>
      <w:tr w:rsidR="003329DC" w:rsidTr="003329DC">
        <w:tc>
          <w:tcPr>
            <w:tcW w:w="8359" w:type="dxa"/>
            <w:tcBorders>
              <w:top w:val="nil"/>
              <w:left w:val="nil"/>
              <w:bottom w:val="nil"/>
              <w:right w:val="nil"/>
            </w:tcBorders>
          </w:tcPr>
          <w:p w:rsidR="003329DC" w:rsidRPr="00DB7B99" w:rsidRDefault="003329DC" w:rsidP="003E0221">
            <w:pPr>
              <w:pStyle w:val="Listenabsatz"/>
              <w:numPr>
                <w:ilvl w:val="0"/>
                <w:numId w:val="22"/>
              </w:numPr>
              <w:spacing w:before="0"/>
              <w:ind w:left="425" w:hanging="425"/>
              <w:rPr>
                <w:sz w:val="20"/>
                <w:szCs w:val="24"/>
              </w:rPr>
            </w:pPr>
            <w:r w:rsidRPr="003329DC">
              <w:rPr>
                <w:sz w:val="20"/>
                <w:szCs w:val="24"/>
              </w:rPr>
              <w:t xml:space="preserve">sich oder einem Dritten </w:t>
            </w:r>
            <w:r w:rsidRPr="003329DC">
              <w:rPr>
                <w:b/>
                <w:sz w:val="20"/>
                <w:szCs w:val="24"/>
              </w:rPr>
              <w:t>verschafft</w:t>
            </w:r>
            <w:r w:rsidRPr="003329DC">
              <w:rPr>
                <w:sz w:val="20"/>
                <w:szCs w:val="24"/>
              </w:rPr>
              <w:t xml:space="preserve"> oder</w:t>
            </w:r>
          </w:p>
        </w:tc>
        <w:tc>
          <w:tcPr>
            <w:tcW w:w="703" w:type="dxa"/>
            <w:tcBorders>
              <w:top w:val="nil"/>
              <w:left w:val="nil"/>
              <w:bottom w:val="nil"/>
              <w:right w:val="nil"/>
            </w:tcBorders>
          </w:tcPr>
          <w:p w:rsidR="003329DC" w:rsidRPr="003329DC" w:rsidRDefault="008D28A7" w:rsidP="003E0221">
            <w:pPr>
              <w:spacing w:before="0"/>
              <w:rPr>
                <w:rFonts w:cs="Arial"/>
                <w:b/>
                <w:sz w:val="16"/>
                <w:szCs w:val="16"/>
                <w:lang w:val="de"/>
              </w:rPr>
            </w:pPr>
            <w:r>
              <w:rPr>
                <w:rFonts w:cs="Arial"/>
                <w:b/>
                <w:sz w:val="16"/>
                <w:szCs w:val="16"/>
                <w:lang w:val="de"/>
              </w:rPr>
              <w:t>4</w:t>
            </w:r>
          </w:p>
        </w:tc>
      </w:tr>
      <w:tr w:rsidR="003329DC" w:rsidTr="003329DC">
        <w:tc>
          <w:tcPr>
            <w:tcW w:w="8359" w:type="dxa"/>
            <w:tcBorders>
              <w:top w:val="nil"/>
              <w:left w:val="nil"/>
              <w:bottom w:val="nil"/>
              <w:right w:val="nil"/>
            </w:tcBorders>
          </w:tcPr>
          <w:p w:rsidR="003329DC" w:rsidRPr="00E23A06" w:rsidRDefault="00E23A06" w:rsidP="003E0221">
            <w:pPr>
              <w:pStyle w:val="Listenabsatz"/>
              <w:numPr>
                <w:ilvl w:val="0"/>
                <w:numId w:val="22"/>
              </w:numPr>
              <w:spacing w:before="0"/>
              <w:ind w:left="425" w:hanging="425"/>
              <w:rPr>
                <w:sz w:val="20"/>
                <w:szCs w:val="24"/>
              </w:rPr>
            </w:pPr>
            <w:r w:rsidRPr="00DB7B99">
              <w:rPr>
                <w:b/>
                <w:sz w:val="20"/>
                <w:szCs w:val="24"/>
              </w:rPr>
              <w:t>verwahrt</w:t>
            </w:r>
            <w:r w:rsidRPr="00DB7B99">
              <w:rPr>
                <w:sz w:val="20"/>
                <w:szCs w:val="24"/>
              </w:rPr>
              <w:t xml:space="preserve"> oder für sich oder einen Dritten </w:t>
            </w:r>
            <w:r w:rsidRPr="00DB7B99">
              <w:rPr>
                <w:b/>
                <w:sz w:val="20"/>
                <w:szCs w:val="24"/>
              </w:rPr>
              <w:t>verwendet</w:t>
            </w:r>
            <w:r w:rsidRPr="00DB7B99">
              <w:rPr>
                <w:sz w:val="20"/>
                <w:szCs w:val="24"/>
              </w:rPr>
              <w:t>, wenn er dessen Herkunft zu dem Zeitpunkt gekannt hat, zu dem er ihn erlangt hat,</w:t>
            </w:r>
          </w:p>
        </w:tc>
        <w:tc>
          <w:tcPr>
            <w:tcW w:w="703" w:type="dxa"/>
            <w:tcBorders>
              <w:top w:val="nil"/>
              <w:left w:val="nil"/>
              <w:bottom w:val="nil"/>
              <w:right w:val="nil"/>
            </w:tcBorders>
          </w:tcPr>
          <w:p w:rsidR="003329DC" w:rsidRPr="003329DC" w:rsidRDefault="008D28A7" w:rsidP="003E0221">
            <w:pPr>
              <w:spacing w:before="0"/>
              <w:rPr>
                <w:rFonts w:cs="Arial"/>
                <w:b/>
                <w:sz w:val="16"/>
                <w:szCs w:val="16"/>
                <w:lang w:val="de"/>
              </w:rPr>
            </w:pPr>
            <w:r>
              <w:rPr>
                <w:rFonts w:cs="Arial"/>
                <w:b/>
                <w:sz w:val="16"/>
                <w:szCs w:val="16"/>
                <w:lang w:val="de"/>
              </w:rPr>
              <w:t>5</w:t>
            </w:r>
          </w:p>
        </w:tc>
      </w:tr>
      <w:tr w:rsidR="003329DC" w:rsidTr="003329DC">
        <w:tc>
          <w:tcPr>
            <w:tcW w:w="8359" w:type="dxa"/>
            <w:tcBorders>
              <w:top w:val="nil"/>
              <w:left w:val="nil"/>
              <w:bottom w:val="nil"/>
              <w:right w:val="nil"/>
            </w:tcBorders>
          </w:tcPr>
          <w:p w:rsidR="003329DC" w:rsidRDefault="00E23A06" w:rsidP="003E0221">
            <w:pPr>
              <w:spacing w:before="0"/>
              <w:rPr>
                <w:b/>
                <w:sz w:val="20"/>
                <w:szCs w:val="24"/>
              </w:rPr>
            </w:pPr>
            <w:r w:rsidRPr="00DB7B99">
              <w:rPr>
                <w:sz w:val="20"/>
                <w:szCs w:val="24"/>
              </w:rPr>
              <w:t xml:space="preserve">wird mit </w:t>
            </w:r>
            <w:r w:rsidRPr="00DB7B99">
              <w:rPr>
                <w:b/>
                <w:sz w:val="20"/>
                <w:szCs w:val="24"/>
              </w:rPr>
              <w:t>Freiheitsstrafe bis zu fünf Jahren oder mit Geldstrafe</w:t>
            </w:r>
            <w:r w:rsidRPr="00DB7B99">
              <w:rPr>
                <w:sz w:val="20"/>
                <w:szCs w:val="24"/>
              </w:rPr>
              <w:t xml:space="preserve"> </w:t>
            </w:r>
            <w:r w:rsidRPr="00DB7B99">
              <w:rPr>
                <w:b/>
                <w:color w:val="FF0000"/>
                <w:sz w:val="20"/>
                <w:szCs w:val="24"/>
              </w:rPr>
              <w:t>bestraft</w:t>
            </w:r>
            <w:r w:rsidRPr="00DB7B99">
              <w:rPr>
                <w:sz w:val="20"/>
                <w:szCs w:val="24"/>
              </w:rPr>
              <w:t>. In den Fällen des Satzes 1 Nummer 3 und 4 gilt dies nicht in Bezug auf einen Gegenstand, den ein Dritter zuvor erlangt hat, ohne hierdurch eine rechtswidrige Tat zu begehen. Wer als Strafverteidiger ein Honorar für seine Tätigkeit annimmt, handelt in den Fällen des Satzes 1 Nummer 3 und 4 nur dann vorsätzlich, wenn er zu dem Zeitpunkt der Annahme des Honorars sichere Kenntnis von dessen Herkunft hatte.</w:t>
            </w:r>
          </w:p>
        </w:tc>
        <w:tc>
          <w:tcPr>
            <w:tcW w:w="703" w:type="dxa"/>
            <w:tcBorders>
              <w:top w:val="nil"/>
              <w:left w:val="nil"/>
              <w:bottom w:val="nil"/>
              <w:right w:val="nil"/>
            </w:tcBorders>
          </w:tcPr>
          <w:p w:rsidR="003329DC" w:rsidRPr="003329DC" w:rsidRDefault="008D28A7" w:rsidP="003E0221">
            <w:pPr>
              <w:spacing w:before="0"/>
              <w:rPr>
                <w:rFonts w:cs="Arial"/>
                <w:b/>
                <w:sz w:val="16"/>
                <w:szCs w:val="16"/>
                <w:lang w:val="de"/>
              </w:rPr>
            </w:pPr>
            <w:r>
              <w:rPr>
                <w:rFonts w:cs="Arial"/>
                <w:b/>
                <w:sz w:val="16"/>
                <w:szCs w:val="16"/>
                <w:lang w:val="de"/>
              </w:rPr>
              <w:t>6</w:t>
            </w:r>
          </w:p>
        </w:tc>
      </w:tr>
      <w:tr w:rsidR="00E23A06" w:rsidTr="003329DC">
        <w:tc>
          <w:tcPr>
            <w:tcW w:w="8359" w:type="dxa"/>
            <w:tcBorders>
              <w:top w:val="nil"/>
              <w:left w:val="nil"/>
              <w:bottom w:val="nil"/>
              <w:right w:val="nil"/>
            </w:tcBorders>
          </w:tcPr>
          <w:p w:rsidR="00E23A06" w:rsidRDefault="00E23A06" w:rsidP="003E0221">
            <w:pPr>
              <w:pStyle w:val="Listenabsatz"/>
              <w:numPr>
                <w:ilvl w:val="0"/>
                <w:numId w:val="27"/>
              </w:numPr>
              <w:spacing w:before="0"/>
              <w:ind w:left="425" w:hanging="425"/>
              <w:rPr>
                <w:b/>
                <w:sz w:val="20"/>
                <w:szCs w:val="24"/>
              </w:rPr>
            </w:pPr>
            <w:r w:rsidRPr="00DB7B99">
              <w:rPr>
                <w:sz w:val="20"/>
                <w:szCs w:val="24"/>
              </w:rPr>
              <w:t xml:space="preserve">Ebenso wird bestraft, </w:t>
            </w:r>
            <w:r w:rsidRPr="00DB7B99">
              <w:rPr>
                <w:b/>
                <w:sz w:val="20"/>
                <w:szCs w:val="24"/>
              </w:rPr>
              <w:t>wer Tatsachen</w:t>
            </w:r>
            <w:r w:rsidRPr="00DB7B99">
              <w:rPr>
                <w:sz w:val="20"/>
                <w:szCs w:val="24"/>
              </w:rPr>
              <w:t>, die für das Auffinden, die Einziehung oder die Ermittlung der Herkunft eines Gegenstands nach Absatz 1 von Bedeutung sein können, verheimlicht oder verschleiert.</w:t>
            </w:r>
          </w:p>
        </w:tc>
        <w:tc>
          <w:tcPr>
            <w:tcW w:w="703" w:type="dxa"/>
            <w:tcBorders>
              <w:top w:val="nil"/>
              <w:left w:val="nil"/>
              <w:bottom w:val="nil"/>
              <w:right w:val="nil"/>
            </w:tcBorders>
          </w:tcPr>
          <w:p w:rsidR="00E23A06" w:rsidRPr="003329DC" w:rsidRDefault="008D28A7" w:rsidP="003E0221">
            <w:pPr>
              <w:spacing w:before="0"/>
              <w:rPr>
                <w:rFonts w:cs="Arial"/>
                <w:b/>
                <w:sz w:val="16"/>
                <w:szCs w:val="16"/>
                <w:lang w:val="de"/>
              </w:rPr>
            </w:pPr>
            <w:r>
              <w:rPr>
                <w:rFonts w:cs="Arial"/>
                <w:b/>
                <w:sz w:val="16"/>
                <w:szCs w:val="16"/>
                <w:lang w:val="de"/>
              </w:rPr>
              <w:t>7</w:t>
            </w:r>
          </w:p>
        </w:tc>
      </w:tr>
      <w:tr w:rsidR="00E23A06" w:rsidTr="003329DC">
        <w:tc>
          <w:tcPr>
            <w:tcW w:w="8359" w:type="dxa"/>
            <w:tcBorders>
              <w:top w:val="nil"/>
              <w:left w:val="nil"/>
              <w:bottom w:val="nil"/>
              <w:right w:val="nil"/>
            </w:tcBorders>
          </w:tcPr>
          <w:p w:rsidR="00E23A06" w:rsidRDefault="00E23A06" w:rsidP="003E0221">
            <w:pPr>
              <w:pStyle w:val="Listenabsatz"/>
              <w:numPr>
                <w:ilvl w:val="0"/>
                <w:numId w:val="27"/>
              </w:numPr>
              <w:spacing w:before="0"/>
              <w:ind w:left="425" w:hanging="425"/>
              <w:rPr>
                <w:b/>
                <w:sz w:val="20"/>
                <w:szCs w:val="24"/>
              </w:rPr>
            </w:pPr>
            <w:r w:rsidRPr="00DB7B99">
              <w:rPr>
                <w:sz w:val="20"/>
                <w:szCs w:val="24"/>
              </w:rPr>
              <w:t>Der Versuch ist strafbar.</w:t>
            </w:r>
          </w:p>
        </w:tc>
        <w:tc>
          <w:tcPr>
            <w:tcW w:w="703" w:type="dxa"/>
            <w:tcBorders>
              <w:top w:val="nil"/>
              <w:left w:val="nil"/>
              <w:bottom w:val="nil"/>
              <w:right w:val="nil"/>
            </w:tcBorders>
          </w:tcPr>
          <w:p w:rsidR="00E23A06" w:rsidRPr="003329DC" w:rsidRDefault="008D28A7" w:rsidP="003E0221">
            <w:pPr>
              <w:spacing w:before="0"/>
              <w:rPr>
                <w:rFonts w:cs="Arial"/>
                <w:b/>
                <w:sz w:val="16"/>
                <w:szCs w:val="16"/>
                <w:lang w:val="de"/>
              </w:rPr>
            </w:pPr>
            <w:r>
              <w:rPr>
                <w:rFonts w:cs="Arial"/>
                <w:b/>
                <w:sz w:val="16"/>
                <w:szCs w:val="16"/>
                <w:lang w:val="de"/>
              </w:rPr>
              <w:t>8</w:t>
            </w:r>
          </w:p>
        </w:tc>
      </w:tr>
      <w:tr w:rsidR="00E23A06" w:rsidTr="003329DC">
        <w:tc>
          <w:tcPr>
            <w:tcW w:w="8359" w:type="dxa"/>
            <w:tcBorders>
              <w:top w:val="nil"/>
              <w:left w:val="nil"/>
              <w:bottom w:val="nil"/>
              <w:right w:val="nil"/>
            </w:tcBorders>
          </w:tcPr>
          <w:p w:rsidR="00E23A06" w:rsidRDefault="00E23A06" w:rsidP="003E0221">
            <w:pPr>
              <w:pStyle w:val="Listenabsatz"/>
              <w:numPr>
                <w:ilvl w:val="0"/>
                <w:numId w:val="27"/>
              </w:numPr>
              <w:spacing w:before="0"/>
              <w:ind w:left="425" w:hanging="425"/>
              <w:rPr>
                <w:b/>
                <w:sz w:val="20"/>
                <w:szCs w:val="24"/>
              </w:rPr>
            </w:pPr>
            <w:r w:rsidRPr="00DB7B99">
              <w:rPr>
                <w:b/>
                <w:sz w:val="20"/>
                <w:szCs w:val="24"/>
              </w:rPr>
              <w:t>Wer</w:t>
            </w:r>
            <w:r w:rsidRPr="008D28A7">
              <w:rPr>
                <w:b/>
                <w:sz w:val="20"/>
                <w:szCs w:val="24"/>
              </w:rPr>
              <w:t xml:space="preserve"> eine </w:t>
            </w:r>
            <w:r w:rsidRPr="00DB7B99">
              <w:rPr>
                <w:b/>
                <w:sz w:val="20"/>
                <w:szCs w:val="24"/>
              </w:rPr>
              <w:t>Tat</w:t>
            </w:r>
            <w:r w:rsidRPr="00DB7B99">
              <w:rPr>
                <w:sz w:val="20"/>
                <w:szCs w:val="24"/>
              </w:rPr>
              <w:t xml:space="preserve"> nach Absatz 1 oder Absatz 2 </w:t>
            </w:r>
            <w:r w:rsidRPr="00DB7B99">
              <w:rPr>
                <w:b/>
                <w:color w:val="FF0000"/>
                <w:sz w:val="20"/>
                <w:szCs w:val="24"/>
              </w:rPr>
              <w:t>als Verpflichteter nach § 2 des Geldwäschegesetzes begeht</w:t>
            </w:r>
            <w:r w:rsidRPr="00DB7B99">
              <w:rPr>
                <w:sz w:val="20"/>
                <w:szCs w:val="24"/>
              </w:rPr>
              <w:t xml:space="preserve">, wird mit </w:t>
            </w:r>
            <w:r w:rsidRPr="00DB7B99">
              <w:rPr>
                <w:b/>
                <w:sz w:val="20"/>
                <w:szCs w:val="24"/>
              </w:rPr>
              <w:t>Freiheitsstrafe von drei Monaten bis zu fünf Jahren</w:t>
            </w:r>
            <w:r w:rsidRPr="00DB7B99">
              <w:rPr>
                <w:sz w:val="20"/>
                <w:szCs w:val="24"/>
              </w:rPr>
              <w:t xml:space="preserve"> bestraft.</w:t>
            </w:r>
          </w:p>
        </w:tc>
        <w:tc>
          <w:tcPr>
            <w:tcW w:w="703" w:type="dxa"/>
            <w:tcBorders>
              <w:top w:val="nil"/>
              <w:left w:val="nil"/>
              <w:bottom w:val="nil"/>
              <w:right w:val="nil"/>
            </w:tcBorders>
          </w:tcPr>
          <w:p w:rsidR="00E23A06" w:rsidRPr="003329DC" w:rsidRDefault="008D28A7" w:rsidP="003E0221">
            <w:pPr>
              <w:spacing w:before="0"/>
              <w:rPr>
                <w:rFonts w:cs="Arial"/>
                <w:b/>
                <w:sz w:val="16"/>
                <w:szCs w:val="16"/>
                <w:lang w:val="de"/>
              </w:rPr>
            </w:pPr>
            <w:r>
              <w:rPr>
                <w:rFonts w:cs="Arial"/>
                <w:b/>
                <w:sz w:val="16"/>
                <w:szCs w:val="16"/>
                <w:lang w:val="de"/>
              </w:rPr>
              <w:t>9</w:t>
            </w:r>
          </w:p>
        </w:tc>
      </w:tr>
      <w:tr w:rsidR="00E23A06" w:rsidTr="003329DC">
        <w:tc>
          <w:tcPr>
            <w:tcW w:w="8359" w:type="dxa"/>
            <w:tcBorders>
              <w:top w:val="nil"/>
              <w:left w:val="nil"/>
              <w:bottom w:val="nil"/>
              <w:right w:val="nil"/>
            </w:tcBorders>
          </w:tcPr>
          <w:p w:rsidR="00E23A06" w:rsidRDefault="00E23A06" w:rsidP="003E0221">
            <w:pPr>
              <w:pStyle w:val="Listenabsatz"/>
              <w:numPr>
                <w:ilvl w:val="0"/>
                <w:numId w:val="27"/>
              </w:numPr>
              <w:spacing w:before="0"/>
              <w:ind w:left="425" w:hanging="425"/>
              <w:rPr>
                <w:b/>
                <w:sz w:val="20"/>
                <w:szCs w:val="24"/>
              </w:rPr>
            </w:pPr>
            <w:r w:rsidRPr="00DB7B99">
              <w:rPr>
                <w:b/>
                <w:sz w:val="20"/>
                <w:szCs w:val="24"/>
              </w:rPr>
              <w:t>In besonders schweren Fällen</w:t>
            </w:r>
            <w:r w:rsidRPr="00DB7B99">
              <w:rPr>
                <w:sz w:val="20"/>
                <w:szCs w:val="24"/>
              </w:rPr>
              <w:t xml:space="preserve"> ist die Strafe Freiheitsstrafe von sechs Monaten bis zu zehn Jahren. Ein besonders schwerer Fall liegt in der Regel vor, wenn der Täter gewerbsmäßig handelt oder als Mitglied einer Bande, die sich zur fortgesetzten Begehung von Geldwäsche verbunden hat.</w:t>
            </w:r>
          </w:p>
        </w:tc>
        <w:tc>
          <w:tcPr>
            <w:tcW w:w="703" w:type="dxa"/>
            <w:tcBorders>
              <w:top w:val="nil"/>
              <w:left w:val="nil"/>
              <w:bottom w:val="nil"/>
              <w:right w:val="nil"/>
            </w:tcBorders>
          </w:tcPr>
          <w:p w:rsidR="00E23A06" w:rsidRPr="003329DC" w:rsidRDefault="008D28A7" w:rsidP="003E0221">
            <w:pPr>
              <w:spacing w:before="0"/>
              <w:rPr>
                <w:rFonts w:cs="Arial"/>
                <w:b/>
                <w:sz w:val="16"/>
                <w:szCs w:val="16"/>
                <w:lang w:val="de"/>
              </w:rPr>
            </w:pPr>
            <w:r>
              <w:rPr>
                <w:rFonts w:cs="Arial"/>
                <w:b/>
                <w:sz w:val="16"/>
                <w:szCs w:val="16"/>
                <w:lang w:val="de"/>
              </w:rPr>
              <w:t>10</w:t>
            </w:r>
          </w:p>
        </w:tc>
      </w:tr>
      <w:tr w:rsidR="00E23A06" w:rsidTr="003329DC">
        <w:tc>
          <w:tcPr>
            <w:tcW w:w="8359" w:type="dxa"/>
            <w:tcBorders>
              <w:top w:val="nil"/>
              <w:left w:val="nil"/>
              <w:bottom w:val="nil"/>
              <w:right w:val="nil"/>
            </w:tcBorders>
          </w:tcPr>
          <w:p w:rsidR="00E23A06" w:rsidRDefault="00E23A06" w:rsidP="003E0221">
            <w:pPr>
              <w:pStyle w:val="Listenabsatz"/>
              <w:numPr>
                <w:ilvl w:val="0"/>
                <w:numId w:val="27"/>
              </w:numPr>
              <w:spacing w:before="0"/>
              <w:ind w:left="425" w:hanging="425"/>
              <w:rPr>
                <w:b/>
                <w:sz w:val="20"/>
                <w:szCs w:val="24"/>
              </w:rPr>
            </w:pPr>
            <w:r w:rsidRPr="00DB7B99">
              <w:rPr>
                <w:sz w:val="20"/>
                <w:szCs w:val="24"/>
              </w:rPr>
              <w:t xml:space="preserve">Wer in den Fällen des Absatzes 1 oder 2 </w:t>
            </w:r>
            <w:r w:rsidRPr="00DB7B99">
              <w:rPr>
                <w:b/>
                <w:color w:val="FF0000"/>
                <w:sz w:val="20"/>
                <w:szCs w:val="24"/>
              </w:rPr>
              <w:t>leichtfertig nicht erkennt</w:t>
            </w:r>
            <w:r w:rsidRPr="00DB7B99">
              <w:rPr>
                <w:sz w:val="20"/>
                <w:szCs w:val="24"/>
              </w:rPr>
              <w:t xml:space="preserve">, dass es sich um einen </w:t>
            </w:r>
            <w:r w:rsidRPr="00DB7B99">
              <w:rPr>
                <w:b/>
                <w:sz w:val="20"/>
                <w:szCs w:val="24"/>
              </w:rPr>
              <w:t>Gegenstand nach Absatz 1 handelt</w:t>
            </w:r>
            <w:r w:rsidRPr="00DB7B99">
              <w:rPr>
                <w:sz w:val="20"/>
                <w:szCs w:val="24"/>
              </w:rPr>
              <w:t xml:space="preserve">, wird mit Freiheitsstrafe bis zu zwei Jahren oder mit Geldstrafe bestraft. Satz 1 gilt in den Fällen des Absatzes 1 Satz 1 Nummer 3 und 4 </w:t>
            </w:r>
            <w:r w:rsidRPr="00DB7B99">
              <w:rPr>
                <w:b/>
                <w:color w:val="FF0000"/>
                <w:sz w:val="20"/>
                <w:szCs w:val="24"/>
              </w:rPr>
              <w:t>nicht</w:t>
            </w:r>
            <w:r w:rsidRPr="00DB7B99">
              <w:rPr>
                <w:color w:val="FF0000"/>
                <w:sz w:val="20"/>
                <w:szCs w:val="24"/>
              </w:rPr>
              <w:t xml:space="preserve"> </w:t>
            </w:r>
            <w:r w:rsidRPr="00DB7B99">
              <w:rPr>
                <w:b/>
                <w:sz w:val="20"/>
                <w:szCs w:val="24"/>
              </w:rPr>
              <w:t>für einen Strafverteidiger,</w:t>
            </w:r>
            <w:r w:rsidRPr="00DB7B99">
              <w:rPr>
                <w:sz w:val="20"/>
                <w:szCs w:val="24"/>
              </w:rPr>
              <w:t xml:space="preserve"> der ein Honorar für seine Tätigkeit annimmt.</w:t>
            </w:r>
          </w:p>
        </w:tc>
        <w:tc>
          <w:tcPr>
            <w:tcW w:w="703" w:type="dxa"/>
            <w:tcBorders>
              <w:top w:val="nil"/>
              <w:left w:val="nil"/>
              <w:bottom w:val="nil"/>
              <w:right w:val="nil"/>
            </w:tcBorders>
          </w:tcPr>
          <w:p w:rsidR="00E23A06" w:rsidRPr="003329DC" w:rsidRDefault="008D28A7" w:rsidP="003E0221">
            <w:pPr>
              <w:spacing w:before="0"/>
              <w:rPr>
                <w:rFonts w:cs="Arial"/>
                <w:b/>
                <w:sz w:val="16"/>
                <w:szCs w:val="16"/>
                <w:lang w:val="de"/>
              </w:rPr>
            </w:pPr>
            <w:r>
              <w:rPr>
                <w:rFonts w:cs="Arial"/>
                <w:b/>
                <w:sz w:val="16"/>
                <w:szCs w:val="16"/>
                <w:lang w:val="de"/>
              </w:rPr>
              <w:t>11</w:t>
            </w:r>
          </w:p>
        </w:tc>
      </w:tr>
      <w:tr w:rsidR="00E23A06" w:rsidTr="003329DC">
        <w:tc>
          <w:tcPr>
            <w:tcW w:w="8359" w:type="dxa"/>
            <w:tcBorders>
              <w:top w:val="nil"/>
              <w:left w:val="nil"/>
              <w:bottom w:val="nil"/>
              <w:right w:val="nil"/>
            </w:tcBorders>
          </w:tcPr>
          <w:p w:rsidR="00E23A06" w:rsidRDefault="00E23A06" w:rsidP="003E0221">
            <w:pPr>
              <w:pStyle w:val="Listenabsatz"/>
              <w:numPr>
                <w:ilvl w:val="0"/>
                <w:numId w:val="27"/>
              </w:numPr>
              <w:spacing w:before="0"/>
              <w:ind w:left="425" w:hanging="425"/>
              <w:rPr>
                <w:b/>
                <w:sz w:val="20"/>
                <w:szCs w:val="24"/>
              </w:rPr>
            </w:pPr>
            <w:r w:rsidRPr="00DB7B99">
              <w:rPr>
                <w:sz w:val="20"/>
                <w:szCs w:val="24"/>
              </w:rPr>
              <w:t>Wer wegen Beteiligung an der Vortat strafbar ist, wird nach den Absätzen 1 bis 6 nur dann bestraft, wenn er den Gegenstand in den Verkehr bringt und dabei dessen rechtswidrige Herkunft verschleiert.</w:t>
            </w:r>
          </w:p>
        </w:tc>
        <w:tc>
          <w:tcPr>
            <w:tcW w:w="703" w:type="dxa"/>
            <w:tcBorders>
              <w:top w:val="nil"/>
              <w:left w:val="nil"/>
              <w:bottom w:val="nil"/>
              <w:right w:val="nil"/>
            </w:tcBorders>
          </w:tcPr>
          <w:p w:rsidR="00E23A06" w:rsidRPr="003329DC" w:rsidRDefault="008D28A7" w:rsidP="003E0221">
            <w:pPr>
              <w:spacing w:before="0"/>
              <w:rPr>
                <w:rFonts w:cs="Arial"/>
                <w:b/>
                <w:sz w:val="16"/>
                <w:szCs w:val="16"/>
                <w:lang w:val="de"/>
              </w:rPr>
            </w:pPr>
            <w:r>
              <w:rPr>
                <w:rFonts w:cs="Arial"/>
                <w:b/>
                <w:sz w:val="16"/>
                <w:szCs w:val="16"/>
                <w:lang w:val="de"/>
              </w:rPr>
              <w:t>12</w:t>
            </w:r>
          </w:p>
        </w:tc>
      </w:tr>
      <w:tr w:rsidR="00E23A06" w:rsidTr="003329DC">
        <w:tc>
          <w:tcPr>
            <w:tcW w:w="8359" w:type="dxa"/>
            <w:tcBorders>
              <w:top w:val="nil"/>
              <w:left w:val="nil"/>
              <w:bottom w:val="nil"/>
              <w:right w:val="nil"/>
            </w:tcBorders>
          </w:tcPr>
          <w:p w:rsidR="00E23A06" w:rsidRPr="00E23A06" w:rsidRDefault="00E23A06" w:rsidP="003E0221">
            <w:pPr>
              <w:pStyle w:val="Listenabsatz"/>
              <w:numPr>
                <w:ilvl w:val="0"/>
                <w:numId w:val="27"/>
              </w:numPr>
              <w:spacing w:before="0"/>
              <w:ind w:left="425" w:hanging="425"/>
              <w:rPr>
                <w:sz w:val="20"/>
                <w:szCs w:val="24"/>
              </w:rPr>
            </w:pPr>
            <w:r w:rsidRPr="00DB7B99">
              <w:rPr>
                <w:sz w:val="20"/>
                <w:szCs w:val="24"/>
              </w:rPr>
              <w:t xml:space="preserve">Nach den Absätzen 1 bis 6 </w:t>
            </w:r>
            <w:r w:rsidRPr="00DB7B99">
              <w:rPr>
                <w:b/>
                <w:color w:val="FF0000"/>
                <w:sz w:val="20"/>
                <w:szCs w:val="24"/>
              </w:rPr>
              <w:t>wird nicht bestraft</w:t>
            </w:r>
            <w:r w:rsidRPr="00DB7B99">
              <w:rPr>
                <w:sz w:val="20"/>
                <w:szCs w:val="24"/>
              </w:rPr>
              <w:t xml:space="preserve">, </w:t>
            </w:r>
          </w:p>
        </w:tc>
        <w:tc>
          <w:tcPr>
            <w:tcW w:w="703" w:type="dxa"/>
            <w:tcBorders>
              <w:top w:val="nil"/>
              <w:left w:val="nil"/>
              <w:bottom w:val="nil"/>
              <w:right w:val="nil"/>
            </w:tcBorders>
          </w:tcPr>
          <w:p w:rsidR="00E23A06" w:rsidRPr="003329DC" w:rsidRDefault="008D28A7" w:rsidP="003E0221">
            <w:pPr>
              <w:spacing w:before="0"/>
              <w:rPr>
                <w:rFonts w:cs="Arial"/>
                <w:b/>
                <w:sz w:val="16"/>
                <w:szCs w:val="16"/>
                <w:lang w:val="de"/>
              </w:rPr>
            </w:pPr>
            <w:r>
              <w:rPr>
                <w:rFonts w:cs="Arial"/>
                <w:b/>
                <w:sz w:val="16"/>
                <w:szCs w:val="16"/>
                <w:lang w:val="de"/>
              </w:rPr>
              <w:t>13</w:t>
            </w:r>
          </w:p>
        </w:tc>
      </w:tr>
      <w:tr w:rsidR="00E23A06" w:rsidTr="003329DC">
        <w:tc>
          <w:tcPr>
            <w:tcW w:w="8359" w:type="dxa"/>
            <w:tcBorders>
              <w:top w:val="nil"/>
              <w:left w:val="nil"/>
              <w:bottom w:val="nil"/>
              <w:right w:val="nil"/>
            </w:tcBorders>
          </w:tcPr>
          <w:p w:rsidR="00E23A06" w:rsidRPr="00E23A06" w:rsidRDefault="00E23A06" w:rsidP="003E0221">
            <w:pPr>
              <w:pStyle w:val="Listenabsatz"/>
              <w:numPr>
                <w:ilvl w:val="0"/>
                <w:numId w:val="23"/>
              </w:numPr>
              <w:spacing w:before="0"/>
              <w:ind w:left="850" w:hanging="425"/>
              <w:rPr>
                <w:sz w:val="20"/>
                <w:szCs w:val="24"/>
              </w:rPr>
            </w:pPr>
            <w:r w:rsidRPr="00E23A06">
              <w:rPr>
                <w:sz w:val="20"/>
                <w:szCs w:val="24"/>
              </w:rPr>
              <w:t xml:space="preserve">wer die Tat </w:t>
            </w:r>
            <w:r w:rsidRPr="00E23A06">
              <w:rPr>
                <w:b/>
                <w:sz w:val="20"/>
                <w:szCs w:val="24"/>
              </w:rPr>
              <w:t>freiwillig bei der zuständigen Behörde anzeigt</w:t>
            </w:r>
            <w:r w:rsidRPr="00E23A06">
              <w:rPr>
                <w:sz w:val="20"/>
                <w:szCs w:val="24"/>
              </w:rPr>
              <w:t xml:space="preserve"> oder freiwillig eine solche Anzeige veranlasst, wenn nicht die Tat zu diesem Zeitpunkt bereits </w:t>
            </w:r>
            <w:r w:rsidRPr="00E23A06">
              <w:rPr>
                <w:sz w:val="20"/>
                <w:szCs w:val="24"/>
              </w:rPr>
              <w:lastRenderedPageBreak/>
              <w:t>ganz oder zum Teil entdeckt war und der Täter dies wusste oder bei verständiger Würdigung der Sachlage damit rechnen musste, und</w:t>
            </w:r>
          </w:p>
        </w:tc>
        <w:tc>
          <w:tcPr>
            <w:tcW w:w="703" w:type="dxa"/>
            <w:tcBorders>
              <w:top w:val="nil"/>
              <w:left w:val="nil"/>
              <w:bottom w:val="nil"/>
              <w:right w:val="nil"/>
            </w:tcBorders>
          </w:tcPr>
          <w:p w:rsidR="00E23A06" w:rsidRPr="003329DC" w:rsidRDefault="008D28A7" w:rsidP="003E0221">
            <w:pPr>
              <w:spacing w:before="0"/>
              <w:rPr>
                <w:rFonts w:cs="Arial"/>
                <w:b/>
                <w:sz w:val="16"/>
                <w:szCs w:val="16"/>
                <w:lang w:val="de"/>
              </w:rPr>
            </w:pPr>
            <w:r>
              <w:rPr>
                <w:rFonts w:cs="Arial"/>
                <w:b/>
                <w:sz w:val="16"/>
                <w:szCs w:val="16"/>
                <w:lang w:val="de"/>
              </w:rPr>
              <w:lastRenderedPageBreak/>
              <w:t>14</w:t>
            </w:r>
          </w:p>
        </w:tc>
      </w:tr>
      <w:tr w:rsidR="00E23A06" w:rsidTr="003329DC">
        <w:tc>
          <w:tcPr>
            <w:tcW w:w="8359" w:type="dxa"/>
            <w:tcBorders>
              <w:top w:val="nil"/>
              <w:left w:val="nil"/>
              <w:bottom w:val="nil"/>
              <w:right w:val="nil"/>
            </w:tcBorders>
          </w:tcPr>
          <w:p w:rsidR="00E23A06" w:rsidRPr="00DB7B99" w:rsidRDefault="00E23A06" w:rsidP="003E0221">
            <w:pPr>
              <w:pStyle w:val="Listenabsatz"/>
              <w:numPr>
                <w:ilvl w:val="0"/>
                <w:numId w:val="23"/>
              </w:numPr>
              <w:spacing w:before="0"/>
              <w:ind w:left="850" w:hanging="425"/>
              <w:rPr>
                <w:sz w:val="20"/>
                <w:szCs w:val="24"/>
              </w:rPr>
            </w:pPr>
            <w:r w:rsidRPr="00DB7B99">
              <w:rPr>
                <w:sz w:val="20"/>
                <w:szCs w:val="24"/>
              </w:rPr>
              <w:t>in den Fällen des Absatzes 1 oder des Absatzes 2 unter den in Nummer 1 genannten Voraussetzungen die Sicherstellung des Gegenstandes bewirkt.</w:t>
            </w:r>
          </w:p>
        </w:tc>
        <w:tc>
          <w:tcPr>
            <w:tcW w:w="703" w:type="dxa"/>
            <w:tcBorders>
              <w:top w:val="nil"/>
              <w:left w:val="nil"/>
              <w:bottom w:val="nil"/>
              <w:right w:val="nil"/>
            </w:tcBorders>
          </w:tcPr>
          <w:p w:rsidR="00E23A06" w:rsidRPr="003329DC" w:rsidRDefault="008D28A7" w:rsidP="003E0221">
            <w:pPr>
              <w:spacing w:before="0"/>
              <w:rPr>
                <w:rFonts w:cs="Arial"/>
                <w:b/>
                <w:sz w:val="16"/>
                <w:szCs w:val="16"/>
                <w:lang w:val="de"/>
              </w:rPr>
            </w:pPr>
            <w:r>
              <w:rPr>
                <w:rFonts w:cs="Arial"/>
                <w:b/>
                <w:sz w:val="16"/>
                <w:szCs w:val="16"/>
                <w:lang w:val="de"/>
              </w:rPr>
              <w:t>15</w:t>
            </w:r>
          </w:p>
        </w:tc>
      </w:tr>
      <w:tr w:rsidR="00E23A06" w:rsidTr="003329DC">
        <w:tc>
          <w:tcPr>
            <w:tcW w:w="8359" w:type="dxa"/>
            <w:tcBorders>
              <w:top w:val="nil"/>
              <w:left w:val="nil"/>
              <w:bottom w:val="nil"/>
              <w:right w:val="nil"/>
            </w:tcBorders>
          </w:tcPr>
          <w:p w:rsidR="00E23A06" w:rsidRPr="00E23A06" w:rsidRDefault="00E23A06" w:rsidP="003E0221">
            <w:pPr>
              <w:pStyle w:val="Listenabsatz"/>
              <w:numPr>
                <w:ilvl w:val="0"/>
                <w:numId w:val="27"/>
              </w:numPr>
              <w:spacing w:before="0"/>
              <w:ind w:left="425" w:hanging="425"/>
              <w:rPr>
                <w:sz w:val="20"/>
                <w:szCs w:val="24"/>
              </w:rPr>
            </w:pPr>
            <w:r w:rsidRPr="00DB7B99">
              <w:rPr>
                <w:b/>
                <w:sz w:val="20"/>
                <w:szCs w:val="24"/>
              </w:rPr>
              <w:t>Einem Gegenstand</w:t>
            </w:r>
            <w:r w:rsidRPr="00DB7B99">
              <w:rPr>
                <w:sz w:val="20"/>
                <w:szCs w:val="24"/>
              </w:rPr>
              <w:t xml:space="preserve"> im Sinne des Absatzes 1 stehen Gegenstände, die </w:t>
            </w:r>
            <w:r w:rsidRPr="00DB7B99">
              <w:rPr>
                <w:b/>
                <w:sz w:val="20"/>
                <w:szCs w:val="24"/>
              </w:rPr>
              <w:t>aus einer im Ausland begangenen Tat</w:t>
            </w:r>
            <w:r w:rsidRPr="00DB7B99">
              <w:rPr>
                <w:sz w:val="20"/>
                <w:szCs w:val="24"/>
              </w:rPr>
              <w:t xml:space="preserve"> herrühren, gleich, wenn die Tat nach deutschem Strafrecht eine rechtswidrige Tat wäre und </w:t>
            </w:r>
          </w:p>
        </w:tc>
        <w:tc>
          <w:tcPr>
            <w:tcW w:w="703" w:type="dxa"/>
            <w:tcBorders>
              <w:top w:val="nil"/>
              <w:left w:val="nil"/>
              <w:bottom w:val="nil"/>
              <w:right w:val="nil"/>
            </w:tcBorders>
          </w:tcPr>
          <w:p w:rsidR="00E23A06" w:rsidRPr="003329DC" w:rsidRDefault="008D28A7" w:rsidP="003E0221">
            <w:pPr>
              <w:spacing w:before="0"/>
              <w:rPr>
                <w:rFonts w:cs="Arial"/>
                <w:b/>
                <w:sz w:val="16"/>
                <w:szCs w:val="16"/>
                <w:lang w:val="de"/>
              </w:rPr>
            </w:pPr>
            <w:r>
              <w:rPr>
                <w:rFonts w:cs="Arial"/>
                <w:b/>
                <w:sz w:val="16"/>
                <w:szCs w:val="16"/>
                <w:lang w:val="de"/>
              </w:rPr>
              <w:t>16</w:t>
            </w:r>
          </w:p>
        </w:tc>
      </w:tr>
      <w:tr w:rsidR="00E23A06" w:rsidTr="003329DC">
        <w:tc>
          <w:tcPr>
            <w:tcW w:w="8359" w:type="dxa"/>
            <w:tcBorders>
              <w:top w:val="nil"/>
              <w:left w:val="nil"/>
              <w:bottom w:val="nil"/>
              <w:right w:val="nil"/>
            </w:tcBorders>
          </w:tcPr>
          <w:p w:rsidR="00E23A06" w:rsidRPr="00E23A06" w:rsidRDefault="00E23A06" w:rsidP="003E0221">
            <w:pPr>
              <w:pStyle w:val="Listenabsatz"/>
              <w:numPr>
                <w:ilvl w:val="0"/>
                <w:numId w:val="28"/>
              </w:numPr>
              <w:spacing w:before="0"/>
              <w:ind w:left="850" w:hanging="425"/>
              <w:rPr>
                <w:sz w:val="20"/>
                <w:szCs w:val="24"/>
              </w:rPr>
            </w:pPr>
            <w:r w:rsidRPr="00E23A06">
              <w:rPr>
                <w:sz w:val="20"/>
                <w:szCs w:val="24"/>
              </w:rPr>
              <w:t>am Tatort mit Strafe bedroht ist oder</w:t>
            </w:r>
          </w:p>
        </w:tc>
        <w:tc>
          <w:tcPr>
            <w:tcW w:w="703" w:type="dxa"/>
            <w:tcBorders>
              <w:top w:val="nil"/>
              <w:left w:val="nil"/>
              <w:bottom w:val="nil"/>
              <w:right w:val="nil"/>
            </w:tcBorders>
          </w:tcPr>
          <w:p w:rsidR="00E23A06" w:rsidRPr="003329DC" w:rsidRDefault="008D28A7" w:rsidP="003E0221">
            <w:pPr>
              <w:spacing w:before="0"/>
              <w:rPr>
                <w:rFonts w:cs="Arial"/>
                <w:b/>
                <w:sz w:val="16"/>
                <w:szCs w:val="16"/>
                <w:lang w:val="de"/>
              </w:rPr>
            </w:pPr>
            <w:r>
              <w:rPr>
                <w:rFonts w:cs="Arial"/>
                <w:b/>
                <w:sz w:val="16"/>
                <w:szCs w:val="16"/>
                <w:lang w:val="de"/>
              </w:rPr>
              <w:t>17</w:t>
            </w:r>
          </w:p>
        </w:tc>
      </w:tr>
      <w:tr w:rsidR="00E23A06" w:rsidTr="003329DC">
        <w:tc>
          <w:tcPr>
            <w:tcW w:w="8359" w:type="dxa"/>
            <w:tcBorders>
              <w:top w:val="nil"/>
              <w:left w:val="nil"/>
              <w:bottom w:val="nil"/>
              <w:right w:val="nil"/>
            </w:tcBorders>
          </w:tcPr>
          <w:p w:rsidR="00E23A06" w:rsidRPr="00E23A06" w:rsidRDefault="00E23A06" w:rsidP="003E0221">
            <w:pPr>
              <w:pStyle w:val="Listenabsatz"/>
              <w:numPr>
                <w:ilvl w:val="0"/>
                <w:numId w:val="28"/>
              </w:numPr>
              <w:spacing w:before="0"/>
              <w:ind w:left="850" w:hanging="425"/>
              <w:rPr>
                <w:sz w:val="20"/>
                <w:szCs w:val="24"/>
              </w:rPr>
            </w:pPr>
            <w:r w:rsidRPr="00DB7B99">
              <w:rPr>
                <w:sz w:val="20"/>
                <w:szCs w:val="24"/>
              </w:rPr>
              <w:t xml:space="preserve">nach einer der folgenden Vorschriften und Übereinkommen der Europäischen Union mit Strafe zu bedrohen ist: </w:t>
            </w:r>
          </w:p>
        </w:tc>
        <w:tc>
          <w:tcPr>
            <w:tcW w:w="703" w:type="dxa"/>
            <w:tcBorders>
              <w:top w:val="nil"/>
              <w:left w:val="nil"/>
              <w:bottom w:val="nil"/>
              <w:right w:val="nil"/>
            </w:tcBorders>
          </w:tcPr>
          <w:p w:rsidR="00E23A06" w:rsidRPr="003329DC" w:rsidRDefault="008D28A7" w:rsidP="003E0221">
            <w:pPr>
              <w:spacing w:before="0"/>
              <w:rPr>
                <w:rFonts w:cs="Arial"/>
                <w:b/>
                <w:sz w:val="16"/>
                <w:szCs w:val="16"/>
                <w:lang w:val="de"/>
              </w:rPr>
            </w:pPr>
            <w:r>
              <w:rPr>
                <w:rFonts w:cs="Arial"/>
                <w:b/>
                <w:sz w:val="16"/>
                <w:szCs w:val="16"/>
                <w:lang w:val="de"/>
              </w:rPr>
              <w:t>18</w:t>
            </w:r>
          </w:p>
        </w:tc>
      </w:tr>
      <w:tr w:rsidR="00E23A06" w:rsidTr="003329DC">
        <w:tc>
          <w:tcPr>
            <w:tcW w:w="8359" w:type="dxa"/>
            <w:tcBorders>
              <w:top w:val="nil"/>
              <w:left w:val="nil"/>
              <w:bottom w:val="nil"/>
              <w:right w:val="nil"/>
            </w:tcBorders>
          </w:tcPr>
          <w:p w:rsidR="00E23A06" w:rsidRDefault="00E23A06" w:rsidP="003E0221">
            <w:pPr>
              <w:pStyle w:val="Listenabsatz"/>
              <w:numPr>
                <w:ilvl w:val="0"/>
                <w:numId w:val="26"/>
              </w:numPr>
              <w:spacing w:before="0"/>
              <w:ind w:left="1276" w:hanging="425"/>
              <w:rPr>
                <w:b/>
                <w:sz w:val="20"/>
                <w:szCs w:val="24"/>
              </w:rPr>
            </w:pPr>
            <w:r w:rsidRPr="00E23A06">
              <w:rPr>
                <w:sz w:val="20"/>
                <w:szCs w:val="24"/>
              </w:rPr>
              <w:t>Artikel 2 oder Artikel 3 des Übereinkommens vom 26. Mai 1997 aufgrund von Artikel K.3 Absatz 2 Buchstabe c des Vertrags über die Europäische Union über die Bekämpfung der Bestechung, an der Beamte der Europäischen Gemeinschaften oder der Mitgliedstaaten der Europäischen Union beteiligt sind (BGBl. 2002 II S. 2727, 2729),</w:t>
            </w:r>
          </w:p>
        </w:tc>
        <w:tc>
          <w:tcPr>
            <w:tcW w:w="703" w:type="dxa"/>
            <w:tcBorders>
              <w:top w:val="nil"/>
              <w:left w:val="nil"/>
              <w:bottom w:val="nil"/>
              <w:right w:val="nil"/>
            </w:tcBorders>
          </w:tcPr>
          <w:p w:rsidR="00E23A06" w:rsidRPr="003329DC" w:rsidRDefault="008D28A7" w:rsidP="003E0221">
            <w:pPr>
              <w:spacing w:before="0"/>
              <w:rPr>
                <w:rFonts w:cs="Arial"/>
                <w:b/>
                <w:sz w:val="16"/>
                <w:szCs w:val="16"/>
                <w:lang w:val="de"/>
              </w:rPr>
            </w:pPr>
            <w:r>
              <w:rPr>
                <w:rFonts w:cs="Arial"/>
                <w:b/>
                <w:sz w:val="16"/>
                <w:szCs w:val="16"/>
                <w:lang w:val="de"/>
              </w:rPr>
              <w:t>19</w:t>
            </w:r>
          </w:p>
        </w:tc>
      </w:tr>
      <w:tr w:rsidR="00E23A06" w:rsidTr="003329DC">
        <w:tc>
          <w:tcPr>
            <w:tcW w:w="8359" w:type="dxa"/>
            <w:tcBorders>
              <w:top w:val="nil"/>
              <w:left w:val="nil"/>
              <w:bottom w:val="nil"/>
              <w:right w:val="nil"/>
            </w:tcBorders>
          </w:tcPr>
          <w:p w:rsidR="00E23A06" w:rsidRPr="00E23A06" w:rsidRDefault="00E23A06" w:rsidP="003E0221">
            <w:pPr>
              <w:pStyle w:val="Listenabsatz"/>
              <w:numPr>
                <w:ilvl w:val="0"/>
                <w:numId w:val="26"/>
              </w:numPr>
              <w:spacing w:before="0"/>
              <w:ind w:left="1276" w:hanging="425"/>
              <w:rPr>
                <w:sz w:val="20"/>
                <w:szCs w:val="24"/>
              </w:rPr>
            </w:pPr>
            <w:r w:rsidRPr="00E23A06">
              <w:rPr>
                <w:sz w:val="20"/>
                <w:szCs w:val="24"/>
              </w:rPr>
              <w:t>Artikel 1 des Rahmenbeschlusses 2002/946/JI des Rates vom 28. November 2002 betreffend die Verstärkung des strafrechtlichen Rahmens für die Bekämpfung der Beihilfe zur unerlaubten Ein- und Durchreise und zum unerlaubten Aufenthalt (</w:t>
            </w:r>
            <w:proofErr w:type="spellStart"/>
            <w:r w:rsidRPr="00E23A06">
              <w:rPr>
                <w:sz w:val="20"/>
                <w:szCs w:val="24"/>
              </w:rPr>
              <w:t>ABl.</w:t>
            </w:r>
            <w:proofErr w:type="spellEnd"/>
            <w:r w:rsidRPr="00E23A06">
              <w:rPr>
                <w:sz w:val="20"/>
                <w:szCs w:val="24"/>
              </w:rPr>
              <w:t xml:space="preserve"> L 328 vom 5.12.2002, S. 1),</w:t>
            </w:r>
          </w:p>
        </w:tc>
        <w:tc>
          <w:tcPr>
            <w:tcW w:w="703" w:type="dxa"/>
            <w:tcBorders>
              <w:top w:val="nil"/>
              <w:left w:val="nil"/>
              <w:bottom w:val="nil"/>
              <w:right w:val="nil"/>
            </w:tcBorders>
          </w:tcPr>
          <w:p w:rsidR="00E23A06" w:rsidRPr="003329DC" w:rsidRDefault="008D28A7" w:rsidP="003E0221">
            <w:pPr>
              <w:spacing w:before="0"/>
              <w:rPr>
                <w:rFonts w:cs="Arial"/>
                <w:b/>
                <w:sz w:val="16"/>
                <w:szCs w:val="16"/>
                <w:lang w:val="de"/>
              </w:rPr>
            </w:pPr>
            <w:r>
              <w:rPr>
                <w:rFonts w:cs="Arial"/>
                <w:b/>
                <w:sz w:val="16"/>
                <w:szCs w:val="16"/>
                <w:lang w:val="de"/>
              </w:rPr>
              <w:t>20</w:t>
            </w:r>
          </w:p>
        </w:tc>
      </w:tr>
      <w:tr w:rsidR="00E23A06" w:rsidTr="003329DC">
        <w:tc>
          <w:tcPr>
            <w:tcW w:w="8359" w:type="dxa"/>
            <w:tcBorders>
              <w:top w:val="nil"/>
              <w:left w:val="nil"/>
              <w:bottom w:val="nil"/>
              <w:right w:val="nil"/>
            </w:tcBorders>
          </w:tcPr>
          <w:p w:rsidR="00E23A06" w:rsidRPr="00E23A06" w:rsidRDefault="00E23A06" w:rsidP="003E0221">
            <w:pPr>
              <w:pStyle w:val="Listenabsatz"/>
              <w:numPr>
                <w:ilvl w:val="0"/>
                <w:numId w:val="26"/>
              </w:numPr>
              <w:spacing w:before="0"/>
              <w:ind w:left="1276" w:hanging="425"/>
              <w:rPr>
                <w:sz w:val="20"/>
                <w:szCs w:val="24"/>
              </w:rPr>
            </w:pPr>
            <w:r w:rsidRPr="00DB7B99">
              <w:rPr>
                <w:sz w:val="20"/>
                <w:szCs w:val="24"/>
              </w:rPr>
              <w:t>Artikel 2 oder Artikel 3 des Rahmenbeschlusses 2003/568/JI des Rates vom 22. Juli 2003 zur Bekämpfung der Bestechung im privaten Sektor (</w:t>
            </w:r>
            <w:proofErr w:type="spellStart"/>
            <w:r w:rsidRPr="00DB7B99">
              <w:rPr>
                <w:sz w:val="20"/>
                <w:szCs w:val="24"/>
              </w:rPr>
              <w:t>ABl.</w:t>
            </w:r>
            <w:proofErr w:type="spellEnd"/>
            <w:r w:rsidRPr="00DB7B99">
              <w:rPr>
                <w:sz w:val="20"/>
                <w:szCs w:val="24"/>
              </w:rPr>
              <w:t xml:space="preserve"> L 192 vom 31.7.2003, S. 54),</w:t>
            </w:r>
          </w:p>
        </w:tc>
        <w:tc>
          <w:tcPr>
            <w:tcW w:w="703" w:type="dxa"/>
            <w:tcBorders>
              <w:top w:val="nil"/>
              <w:left w:val="nil"/>
              <w:bottom w:val="nil"/>
              <w:right w:val="nil"/>
            </w:tcBorders>
          </w:tcPr>
          <w:p w:rsidR="00E23A06" w:rsidRPr="003329DC" w:rsidRDefault="008D28A7" w:rsidP="003E0221">
            <w:pPr>
              <w:spacing w:before="0"/>
              <w:rPr>
                <w:rFonts w:cs="Arial"/>
                <w:b/>
                <w:sz w:val="16"/>
                <w:szCs w:val="16"/>
                <w:lang w:val="de"/>
              </w:rPr>
            </w:pPr>
            <w:r>
              <w:rPr>
                <w:rFonts w:cs="Arial"/>
                <w:b/>
                <w:sz w:val="16"/>
                <w:szCs w:val="16"/>
                <w:lang w:val="de"/>
              </w:rPr>
              <w:t>21</w:t>
            </w:r>
          </w:p>
        </w:tc>
      </w:tr>
      <w:tr w:rsidR="00E23A06" w:rsidTr="003329DC">
        <w:tc>
          <w:tcPr>
            <w:tcW w:w="8359" w:type="dxa"/>
            <w:tcBorders>
              <w:top w:val="nil"/>
              <w:left w:val="nil"/>
              <w:bottom w:val="nil"/>
              <w:right w:val="nil"/>
            </w:tcBorders>
          </w:tcPr>
          <w:p w:rsidR="00E23A06" w:rsidRPr="00E23A06" w:rsidRDefault="00E23A06" w:rsidP="003E0221">
            <w:pPr>
              <w:pStyle w:val="Listenabsatz"/>
              <w:numPr>
                <w:ilvl w:val="0"/>
                <w:numId w:val="26"/>
              </w:numPr>
              <w:spacing w:before="0"/>
              <w:ind w:left="1276" w:hanging="425"/>
              <w:rPr>
                <w:sz w:val="20"/>
                <w:szCs w:val="24"/>
              </w:rPr>
            </w:pPr>
            <w:r w:rsidRPr="00DB7B99">
              <w:rPr>
                <w:sz w:val="20"/>
                <w:szCs w:val="24"/>
              </w:rPr>
              <w:t>Artikel 2 oder Artikel 3 des Rahmenbeschlusses 2004/757/JI des Rates vom 25. Oktober 2004 zur Festlegung von Mindestvorschriften über die Tatbestandsmerkmale strafbarer Handlungen und die Strafen im Bereich des illegalen Drogenhandels (</w:t>
            </w:r>
            <w:proofErr w:type="spellStart"/>
            <w:r w:rsidRPr="00DB7B99">
              <w:rPr>
                <w:sz w:val="20"/>
                <w:szCs w:val="24"/>
              </w:rPr>
              <w:t>ABl.</w:t>
            </w:r>
            <w:proofErr w:type="spellEnd"/>
            <w:r w:rsidRPr="00DB7B99">
              <w:rPr>
                <w:sz w:val="20"/>
                <w:szCs w:val="24"/>
              </w:rPr>
              <w:t xml:space="preserve"> L 335 vom 11.11.2004, S. 8), der zuletzt durch die Delegierte Richtlinie (EU) 2019/369 (</w:t>
            </w:r>
            <w:proofErr w:type="spellStart"/>
            <w:r w:rsidRPr="00DB7B99">
              <w:rPr>
                <w:sz w:val="20"/>
                <w:szCs w:val="24"/>
              </w:rPr>
              <w:t>ABl.</w:t>
            </w:r>
            <w:proofErr w:type="spellEnd"/>
            <w:r w:rsidRPr="00DB7B99">
              <w:rPr>
                <w:sz w:val="20"/>
                <w:szCs w:val="24"/>
              </w:rPr>
              <w:t xml:space="preserve"> L 66 vom 7.3.2019, S. 3) geändert worden ist,</w:t>
            </w:r>
          </w:p>
        </w:tc>
        <w:tc>
          <w:tcPr>
            <w:tcW w:w="703" w:type="dxa"/>
            <w:tcBorders>
              <w:top w:val="nil"/>
              <w:left w:val="nil"/>
              <w:bottom w:val="nil"/>
              <w:right w:val="nil"/>
            </w:tcBorders>
          </w:tcPr>
          <w:p w:rsidR="00E23A06" w:rsidRPr="003329DC" w:rsidRDefault="008D28A7" w:rsidP="003E0221">
            <w:pPr>
              <w:spacing w:before="0"/>
              <w:rPr>
                <w:rFonts w:cs="Arial"/>
                <w:b/>
                <w:sz w:val="16"/>
                <w:szCs w:val="16"/>
                <w:lang w:val="de"/>
              </w:rPr>
            </w:pPr>
            <w:r>
              <w:rPr>
                <w:rFonts w:cs="Arial"/>
                <w:b/>
                <w:sz w:val="16"/>
                <w:szCs w:val="16"/>
                <w:lang w:val="de"/>
              </w:rPr>
              <w:t>22</w:t>
            </w:r>
          </w:p>
        </w:tc>
      </w:tr>
      <w:tr w:rsidR="00E23A06" w:rsidTr="003329DC">
        <w:tc>
          <w:tcPr>
            <w:tcW w:w="8359" w:type="dxa"/>
            <w:tcBorders>
              <w:top w:val="nil"/>
              <w:left w:val="nil"/>
              <w:bottom w:val="nil"/>
              <w:right w:val="nil"/>
            </w:tcBorders>
          </w:tcPr>
          <w:p w:rsidR="00E23A06" w:rsidRPr="00E23A06" w:rsidRDefault="00E23A06" w:rsidP="003E0221">
            <w:pPr>
              <w:pStyle w:val="Listenabsatz"/>
              <w:numPr>
                <w:ilvl w:val="0"/>
                <w:numId w:val="26"/>
              </w:numPr>
              <w:spacing w:before="0"/>
              <w:ind w:left="1276" w:hanging="425"/>
              <w:rPr>
                <w:sz w:val="20"/>
                <w:szCs w:val="24"/>
              </w:rPr>
            </w:pPr>
            <w:r w:rsidRPr="00DB7B99">
              <w:rPr>
                <w:sz w:val="20"/>
                <w:szCs w:val="24"/>
              </w:rPr>
              <w:t>Artikel 2 Buchstabe a des Rahmenbeschlusses 2008/841/JI des Rates vom 24. Oktober 2008 zur Bekämpfung der organisierten Kriminalität (</w:t>
            </w:r>
            <w:proofErr w:type="spellStart"/>
            <w:r w:rsidRPr="00DB7B99">
              <w:rPr>
                <w:sz w:val="20"/>
                <w:szCs w:val="24"/>
              </w:rPr>
              <w:t>ABl.</w:t>
            </w:r>
            <w:proofErr w:type="spellEnd"/>
            <w:r w:rsidRPr="00DB7B99">
              <w:rPr>
                <w:sz w:val="20"/>
                <w:szCs w:val="24"/>
              </w:rPr>
              <w:t xml:space="preserve"> L 300 vom 11.11.2008, S. 42),</w:t>
            </w:r>
          </w:p>
        </w:tc>
        <w:tc>
          <w:tcPr>
            <w:tcW w:w="703" w:type="dxa"/>
            <w:tcBorders>
              <w:top w:val="nil"/>
              <w:left w:val="nil"/>
              <w:bottom w:val="nil"/>
              <w:right w:val="nil"/>
            </w:tcBorders>
          </w:tcPr>
          <w:p w:rsidR="00E23A06" w:rsidRPr="003329DC" w:rsidRDefault="008D28A7" w:rsidP="003E0221">
            <w:pPr>
              <w:spacing w:before="0"/>
              <w:rPr>
                <w:rFonts w:cs="Arial"/>
                <w:b/>
                <w:sz w:val="16"/>
                <w:szCs w:val="16"/>
                <w:lang w:val="de"/>
              </w:rPr>
            </w:pPr>
            <w:r>
              <w:rPr>
                <w:rFonts w:cs="Arial"/>
                <w:b/>
                <w:sz w:val="16"/>
                <w:szCs w:val="16"/>
                <w:lang w:val="de"/>
              </w:rPr>
              <w:t>23</w:t>
            </w:r>
          </w:p>
        </w:tc>
      </w:tr>
      <w:tr w:rsidR="00E23A06" w:rsidTr="003329DC">
        <w:tc>
          <w:tcPr>
            <w:tcW w:w="8359" w:type="dxa"/>
            <w:tcBorders>
              <w:top w:val="nil"/>
              <w:left w:val="nil"/>
              <w:bottom w:val="nil"/>
              <w:right w:val="nil"/>
            </w:tcBorders>
          </w:tcPr>
          <w:p w:rsidR="00E23A06" w:rsidRDefault="00E23A06" w:rsidP="003E0221">
            <w:pPr>
              <w:pStyle w:val="Listenabsatz"/>
              <w:numPr>
                <w:ilvl w:val="0"/>
                <w:numId w:val="26"/>
              </w:numPr>
              <w:spacing w:before="0"/>
              <w:ind w:left="1276" w:hanging="425"/>
              <w:rPr>
                <w:b/>
                <w:sz w:val="20"/>
                <w:szCs w:val="24"/>
              </w:rPr>
            </w:pPr>
            <w:r w:rsidRPr="00DB7B99">
              <w:rPr>
                <w:sz w:val="20"/>
                <w:szCs w:val="24"/>
              </w:rPr>
              <w:t>Artikel 2 oder Artikel 3 der Richtlinie 2011/36/EU des Europäischen Parlaments und des Rates vom 5. April 2011 zur Verhütung und Bekämpfung des Menschenhandels und zum Schutz seiner Opfer sowie zur Ersetzung des Rahmenbeschlusses 2002/629/JI des Rates (</w:t>
            </w:r>
            <w:proofErr w:type="spellStart"/>
            <w:r w:rsidRPr="00DB7B99">
              <w:rPr>
                <w:sz w:val="20"/>
                <w:szCs w:val="24"/>
              </w:rPr>
              <w:t>ABl.</w:t>
            </w:r>
            <w:proofErr w:type="spellEnd"/>
            <w:r w:rsidRPr="00DB7B99">
              <w:rPr>
                <w:sz w:val="20"/>
                <w:szCs w:val="24"/>
              </w:rPr>
              <w:t xml:space="preserve"> L 101 vom 15.4.2011, S. 1),</w:t>
            </w:r>
          </w:p>
        </w:tc>
        <w:tc>
          <w:tcPr>
            <w:tcW w:w="703" w:type="dxa"/>
            <w:tcBorders>
              <w:top w:val="nil"/>
              <w:left w:val="nil"/>
              <w:bottom w:val="nil"/>
              <w:right w:val="nil"/>
            </w:tcBorders>
          </w:tcPr>
          <w:p w:rsidR="00E23A06" w:rsidRPr="003329DC" w:rsidRDefault="008D28A7" w:rsidP="003E0221">
            <w:pPr>
              <w:spacing w:before="0"/>
              <w:rPr>
                <w:rFonts w:cs="Arial"/>
                <w:b/>
                <w:sz w:val="16"/>
                <w:szCs w:val="16"/>
                <w:lang w:val="de"/>
              </w:rPr>
            </w:pPr>
            <w:r>
              <w:rPr>
                <w:rFonts w:cs="Arial"/>
                <w:b/>
                <w:sz w:val="16"/>
                <w:szCs w:val="16"/>
                <w:lang w:val="de"/>
              </w:rPr>
              <w:t>24</w:t>
            </w:r>
          </w:p>
        </w:tc>
      </w:tr>
      <w:tr w:rsidR="00E23A06" w:rsidTr="003329DC">
        <w:tc>
          <w:tcPr>
            <w:tcW w:w="8359" w:type="dxa"/>
            <w:tcBorders>
              <w:top w:val="nil"/>
              <w:left w:val="nil"/>
              <w:bottom w:val="nil"/>
              <w:right w:val="nil"/>
            </w:tcBorders>
          </w:tcPr>
          <w:p w:rsidR="00E23A06" w:rsidRPr="00E23A06" w:rsidRDefault="00E23A06" w:rsidP="003E0221">
            <w:pPr>
              <w:pStyle w:val="Listenabsatz"/>
              <w:numPr>
                <w:ilvl w:val="0"/>
                <w:numId w:val="26"/>
              </w:numPr>
              <w:spacing w:before="0"/>
              <w:ind w:left="1276" w:hanging="425"/>
              <w:rPr>
                <w:sz w:val="20"/>
                <w:szCs w:val="24"/>
              </w:rPr>
            </w:pPr>
            <w:r w:rsidRPr="00DB7B99">
              <w:rPr>
                <w:sz w:val="20"/>
                <w:szCs w:val="24"/>
              </w:rPr>
              <w:t>den Artikeln 3 bis 8 der Richtlinie 2011/93/EU des Europäischen Parlaments und des Rates vom 13. Dezember 2011 zur Bekämpfung des sexuellen Missbrauchs und der sexuellen Ausbeutung von Kindern sowie der Kinderpornografie sowie zur Ersetzung des Rahmenbeschlusses 2004/68/JI des Rates (</w:t>
            </w:r>
            <w:proofErr w:type="spellStart"/>
            <w:r w:rsidRPr="00DB7B99">
              <w:rPr>
                <w:sz w:val="20"/>
                <w:szCs w:val="24"/>
              </w:rPr>
              <w:t>ABl.</w:t>
            </w:r>
            <w:proofErr w:type="spellEnd"/>
            <w:r w:rsidRPr="00DB7B99">
              <w:rPr>
                <w:sz w:val="20"/>
                <w:szCs w:val="24"/>
              </w:rPr>
              <w:t xml:space="preserve"> L 335 vom 17.12.2011, S. 1; L 18 vom 21.1.2012, S. 7) oder</w:t>
            </w:r>
          </w:p>
        </w:tc>
        <w:tc>
          <w:tcPr>
            <w:tcW w:w="703" w:type="dxa"/>
            <w:tcBorders>
              <w:top w:val="nil"/>
              <w:left w:val="nil"/>
              <w:bottom w:val="nil"/>
              <w:right w:val="nil"/>
            </w:tcBorders>
          </w:tcPr>
          <w:p w:rsidR="00E23A06" w:rsidRPr="003329DC" w:rsidRDefault="008D28A7" w:rsidP="003E0221">
            <w:pPr>
              <w:spacing w:before="0"/>
              <w:rPr>
                <w:rFonts w:cs="Arial"/>
                <w:b/>
                <w:sz w:val="16"/>
                <w:szCs w:val="16"/>
                <w:lang w:val="de"/>
              </w:rPr>
            </w:pPr>
            <w:r>
              <w:rPr>
                <w:rFonts w:cs="Arial"/>
                <w:b/>
                <w:sz w:val="16"/>
                <w:szCs w:val="16"/>
                <w:lang w:val="de"/>
              </w:rPr>
              <w:t>25</w:t>
            </w:r>
          </w:p>
        </w:tc>
      </w:tr>
      <w:tr w:rsidR="00E23A06" w:rsidTr="003329DC">
        <w:tc>
          <w:tcPr>
            <w:tcW w:w="8359" w:type="dxa"/>
            <w:tcBorders>
              <w:top w:val="nil"/>
              <w:left w:val="nil"/>
              <w:bottom w:val="nil"/>
              <w:right w:val="nil"/>
            </w:tcBorders>
          </w:tcPr>
          <w:p w:rsidR="00E23A06" w:rsidRDefault="00E23A06" w:rsidP="003E0221">
            <w:pPr>
              <w:pStyle w:val="Listenabsatz"/>
              <w:numPr>
                <w:ilvl w:val="0"/>
                <w:numId w:val="26"/>
              </w:numPr>
              <w:spacing w:before="0"/>
              <w:ind w:left="1276" w:hanging="425"/>
              <w:rPr>
                <w:b/>
                <w:sz w:val="20"/>
                <w:szCs w:val="24"/>
              </w:rPr>
            </w:pPr>
            <w:r w:rsidRPr="00DB7B99">
              <w:rPr>
                <w:sz w:val="20"/>
                <w:szCs w:val="24"/>
              </w:rPr>
              <w:t xml:space="preserve">den Artikeln 4 bis 9 Absatz 1 und 2 Buchstabe b oder den Artikeln 10 bis 14 der Richtlinie (EU) 2017/541 des Europäischen Parlaments und des Rates vom 15. März 2017 zur Terrorismusbekämpfung und zur Ersetzung </w:t>
            </w:r>
            <w:r w:rsidRPr="00DB7B99">
              <w:rPr>
                <w:sz w:val="20"/>
                <w:szCs w:val="24"/>
              </w:rPr>
              <w:lastRenderedPageBreak/>
              <w:t>des Rahmenbeschlusses 2002/475/JI des Rates und zur Änderung des Beschlusses 2005/671/JI des Rates (</w:t>
            </w:r>
            <w:proofErr w:type="spellStart"/>
            <w:r w:rsidRPr="00DB7B99">
              <w:rPr>
                <w:sz w:val="20"/>
                <w:szCs w:val="24"/>
              </w:rPr>
              <w:t>ABl.</w:t>
            </w:r>
            <w:proofErr w:type="spellEnd"/>
            <w:r w:rsidRPr="00DB7B99">
              <w:rPr>
                <w:sz w:val="20"/>
                <w:szCs w:val="24"/>
              </w:rPr>
              <w:t xml:space="preserve"> L 88 vom 31.3.2017, S. 6).</w:t>
            </w:r>
          </w:p>
        </w:tc>
        <w:tc>
          <w:tcPr>
            <w:tcW w:w="703" w:type="dxa"/>
            <w:tcBorders>
              <w:top w:val="nil"/>
              <w:left w:val="nil"/>
              <w:bottom w:val="nil"/>
              <w:right w:val="nil"/>
            </w:tcBorders>
          </w:tcPr>
          <w:p w:rsidR="00E23A06" w:rsidRPr="003329DC" w:rsidRDefault="008D28A7" w:rsidP="003E0221">
            <w:pPr>
              <w:spacing w:before="0"/>
              <w:rPr>
                <w:rFonts w:cs="Arial"/>
                <w:b/>
                <w:sz w:val="16"/>
                <w:szCs w:val="16"/>
                <w:lang w:val="de"/>
              </w:rPr>
            </w:pPr>
            <w:r>
              <w:rPr>
                <w:rFonts w:cs="Arial"/>
                <w:b/>
                <w:sz w:val="16"/>
                <w:szCs w:val="16"/>
                <w:lang w:val="de"/>
              </w:rPr>
              <w:lastRenderedPageBreak/>
              <w:t>26</w:t>
            </w:r>
          </w:p>
        </w:tc>
      </w:tr>
      <w:tr w:rsidR="00E23A06" w:rsidTr="003329DC">
        <w:tc>
          <w:tcPr>
            <w:tcW w:w="8359" w:type="dxa"/>
            <w:tcBorders>
              <w:top w:val="nil"/>
              <w:left w:val="nil"/>
              <w:bottom w:val="nil"/>
              <w:right w:val="nil"/>
            </w:tcBorders>
          </w:tcPr>
          <w:p w:rsidR="00E23A06" w:rsidRPr="008D28A7" w:rsidRDefault="008D28A7" w:rsidP="003E0221">
            <w:pPr>
              <w:pStyle w:val="Listenabsatz"/>
              <w:numPr>
                <w:ilvl w:val="0"/>
                <w:numId w:val="27"/>
              </w:numPr>
              <w:spacing w:before="0"/>
              <w:ind w:left="425" w:hanging="425"/>
              <w:rPr>
                <w:sz w:val="20"/>
                <w:szCs w:val="24"/>
              </w:rPr>
            </w:pPr>
            <w:r w:rsidRPr="00DB7B99">
              <w:rPr>
                <w:sz w:val="20"/>
                <w:szCs w:val="24"/>
              </w:rPr>
              <w:t>Gegenstände, auf die sich die Straftat bezieht, können eingezogen werden. § 74a ist anzuwenden. Die §§ 73 bis 73e bleiben unberührt und gehen einer Einziehung nach § 74 Absatz 2, auch in Verbindung mit den §§ 74a und 74c, vor</w:t>
            </w:r>
            <w:r>
              <w:rPr>
                <w:sz w:val="20"/>
                <w:szCs w:val="24"/>
              </w:rPr>
              <w:t>.</w:t>
            </w:r>
          </w:p>
        </w:tc>
        <w:tc>
          <w:tcPr>
            <w:tcW w:w="703" w:type="dxa"/>
            <w:tcBorders>
              <w:top w:val="nil"/>
              <w:left w:val="nil"/>
              <w:bottom w:val="nil"/>
              <w:right w:val="nil"/>
            </w:tcBorders>
          </w:tcPr>
          <w:p w:rsidR="00E23A06" w:rsidRPr="003329DC" w:rsidRDefault="008D28A7" w:rsidP="003E0221">
            <w:pPr>
              <w:spacing w:before="0"/>
              <w:rPr>
                <w:rFonts w:cs="Arial"/>
                <w:b/>
                <w:sz w:val="16"/>
                <w:szCs w:val="16"/>
                <w:lang w:val="de"/>
              </w:rPr>
            </w:pPr>
            <w:r>
              <w:rPr>
                <w:rFonts w:cs="Arial"/>
                <w:b/>
                <w:sz w:val="16"/>
                <w:szCs w:val="16"/>
                <w:lang w:val="de"/>
              </w:rPr>
              <w:t>27</w:t>
            </w:r>
          </w:p>
        </w:tc>
      </w:tr>
    </w:tbl>
    <w:p w:rsidR="00DB7B99" w:rsidRPr="00DB7B99" w:rsidRDefault="00E23A06" w:rsidP="003E0221">
      <w:pPr>
        <w:spacing w:before="0"/>
        <w:rPr>
          <w:sz w:val="20"/>
          <w:szCs w:val="24"/>
        </w:rPr>
      </w:pPr>
      <w:r w:rsidRPr="00DB7B99">
        <w:rPr>
          <w:sz w:val="20"/>
          <w:szCs w:val="24"/>
        </w:rPr>
        <w:t xml:space="preserve"> </w:t>
      </w:r>
    </w:p>
    <w:sectPr w:rsidR="00DB7B99" w:rsidRPr="00DB7B99" w:rsidSect="0033313C">
      <w:headerReference w:type="default" r:id="rId9"/>
      <w:footerReference w:type="default" r:id="rId10"/>
      <w:headerReference w:type="first" r:id="rId11"/>
      <w:footerReference w:type="first" r:id="rId12"/>
      <w:type w:val="continuous"/>
      <w:pgSz w:w="11907" w:h="16839" w:code="9"/>
      <w:pgMar w:top="1100" w:right="1701" w:bottom="1134" w:left="1134" w:header="1134"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116" w:rsidRDefault="00706116">
      <w:pPr>
        <w:spacing w:before="0"/>
      </w:pPr>
      <w:r>
        <w:separator/>
      </w:r>
    </w:p>
  </w:endnote>
  <w:endnote w:type="continuationSeparator" w:id="0">
    <w:p w:rsidR="00706116" w:rsidRDefault="0070611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Md BT">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utura-Book">
    <w:altName w:val="Vrind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6E6" w:rsidRPr="00E368C3" w:rsidRDefault="007506E6" w:rsidP="00E211D2">
    <w:pPr>
      <w:tabs>
        <w:tab w:val="center" w:pos="4536"/>
        <w:tab w:val="right" w:pos="9072"/>
      </w:tabs>
      <w:spacing w:before="520" w:after="120"/>
      <w:rPr>
        <w:rFonts w:eastAsiaTheme="minorHAnsi"/>
        <w:sz w:val="20"/>
        <w:lang w:eastAsia="en-US"/>
      </w:rPr>
    </w:pPr>
    <w:r w:rsidRPr="006C672A">
      <w:rPr>
        <w:sz w:val="20"/>
      </w:rPr>
      <w:t xml:space="preserve">Seite: </w:t>
    </w:r>
    <w:r w:rsidRPr="006C672A">
      <w:rPr>
        <w:rFonts w:eastAsiaTheme="minorHAnsi" w:cstheme="minorBidi"/>
        <w:sz w:val="20"/>
        <w:lang w:eastAsia="en-US"/>
      </w:rPr>
      <w:fldChar w:fldCharType="begin"/>
    </w:r>
    <w:r w:rsidRPr="006C672A">
      <w:rPr>
        <w:rFonts w:eastAsiaTheme="minorHAnsi" w:cstheme="minorBidi"/>
        <w:sz w:val="20"/>
        <w:lang w:eastAsia="en-US"/>
      </w:rPr>
      <w:instrText>PAGE   \* MERGEFORMAT</w:instrText>
    </w:r>
    <w:r w:rsidRPr="006C672A">
      <w:rPr>
        <w:rFonts w:eastAsiaTheme="minorHAnsi" w:cstheme="minorBidi"/>
        <w:sz w:val="20"/>
        <w:lang w:eastAsia="en-US"/>
      </w:rPr>
      <w:fldChar w:fldCharType="separate"/>
    </w:r>
    <w:r w:rsidR="00416098">
      <w:rPr>
        <w:rFonts w:eastAsiaTheme="minorHAnsi" w:cstheme="minorBidi"/>
        <w:noProof/>
        <w:sz w:val="20"/>
        <w:lang w:eastAsia="en-US"/>
      </w:rPr>
      <w:t>2</w:t>
    </w:r>
    <w:r w:rsidRPr="006C672A">
      <w:rPr>
        <w:rFonts w:eastAsiaTheme="minorHAnsi" w:cstheme="minorBidi"/>
        <w:sz w:val="20"/>
        <w:lang w:eastAsia="en-US"/>
      </w:rPr>
      <w:fldChar w:fldCharType="end"/>
    </w:r>
    <w:r w:rsidRPr="006C672A">
      <w:rPr>
        <w:rFonts w:asciiTheme="minorHAnsi" w:eastAsiaTheme="minorHAnsi" w:hAnsiTheme="minorHAnsi" w:cstheme="minorBidi"/>
        <w:sz w:val="20"/>
        <w:lang w:eastAsia="en-US"/>
      </w:rPr>
      <w:t xml:space="preserve"> </w:t>
    </w:r>
    <w:sdt>
      <w:sdtPr>
        <w:rPr>
          <w:rFonts w:asciiTheme="minorHAnsi" w:eastAsiaTheme="minorHAnsi" w:hAnsiTheme="minorHAnsi" w:cstheme="minorBidi"/>
          <w:sz w:val="20"/>
          <w:lang w:eastAsia="en-US"/>
        </w:rPr>
        <w:id w:val="-1121296208"/>
        <w:docPartObj>
          <w:docPartGallery w:val="Page Numbers (Top of Page)"/>
          <w:docPartUnique/>
        </w:docPartObj>
      </w:sdtPr>
      <w:sdtEndPr/>
      <w:sdtContent>
        <w:r w:rsidRPr="006C672A">
          <w:rPr>
            <w:rFonts w:eastAsiaTheme="minorHAnsi" w:cstheme="minorBidi"/>
            <w:sz w:val="20"/>
            <w:lang w:eastAsia="en-US"/>
          </w:rPr>
          <w:t xml:space="preserve">von </w:t>
        </w:r>
        <w:r w:rsidRPr="006C672A">
          <w:rPr>
            <w:rFonts w:eastAsiaTheme="minorHAnsi" w:cstheme="minorBidi"/>
            <w:sz w:val="20"/>
            <w:lang w:eastAsia="en-US"/>
          </w:rPr>
          <w:fldChar w:fldCharType="begin"/>
        </w:r>
        <w:r w:rsidRPr="006C672A">
          <w:rPr>
            <w:rFonts w:eastAsiaTheme="minorHAnsi" w:cstheme="minorBidi"/>
            <w:sz w:val="20"/>
            <w:lang w:eastAsia="en-US"/>
          </w:rPr>
          <w:instrText xml:space="preserve"> NUMPAGES  \* Arabic  \* MERGEFORMAT </w:instrText>
        </w:r>
        <w:r w:rsidRPr="006C672A">
          <w:rPr>
            <w:rFonts w:eastAsiaTheme="minorHAnsi" w:cstheme="minorBidi"/>
            <w:sz w:val="20"/>
            <w:lang w:eastAsia="en-US"/>
          </w:rPr>
          <w:fldChar w:fldCharType="separate"/>
        </w:r>
        <w:r w:rsidR="00416098">
          <w:rPr>
            <w:rFonts w:eastAsiaTheme="minorHAnsi" w:cstheme="minorBidi"/>
            <w:noProof/>
            <w:sz w:val="20"/>
            <w:lang w:eastAsia="en-US"/>
          </w:rPr>
          <w:t>2</w:t>
        </w:r>
        <w:r w:rsidRPr="006C672A">
          <w:rPr>
            <w:rFonts w:eastAsiaTheme="minorHAnsi" w:cstheme="minorBidi"/>
            <w:sz w:val="20"/>
            <w:lang w:eastAsia="en-US"/>
          </w:rPr>
          <w:fldChar w:fldCharType="end"/>
        </w:r>
      </w:sdtContent>
    </w:sdt>
    <w:r>
      <w:rPr>
        <w:rFonts w:eastAsiaTheme="minorHAnsi"/>
        <w:noProof/>
        <w:sz w:val="20"/>
      </w:rPr>
      <w:t xml:space="preserve"> </w:t>
    </w:r>
    <w:r>
      <w:rPr>
        <w:rFonts w:eastAsiaTheme="minorHAnsi"/>
        <w:noProof/>
        <w:sz w:val="20"/>
      </w:rPr>
      <w:tab/>
    </w:r>
    <w:r w:rsidR="00416098">
      <w:rPr>
        <w:rFonts w:eastAsiaTheme="minorHAnsi" w:cstheme="minorBidi"/>
        <w:noProof/>
        <w:sz w:val="20"/>
      </w:rPr>
      <w:drawing>
        <wp:inline distT="0" distB="0" distL="0" distR="0" wp14:anchorId="59693299" wp14:editId="33C6F611">
          <wp:extent cx="1404000" cy="542661"/>
          <wp:effectExtent l="0" t="0" r="571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dfit_Logo_4c_blau_by_LL_korr_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4000" cy="542661"/>
                  </a:xfrm>
                  <a:prstGeom prst="rect">
                    <a:avLst/>
                  </a:prstGeom>
                </pic:spPr>
              </pic:pic>
            </a:graphicData>
          </a:graphic>
        </wp:inline>
      </w:drawing>
    </w:r>
    <w:r>
      <w:rPr>
        <w:sz w:val="20"/>
      </w:rPr>
      <w:tab/>
    </w:r>
    <w:r w:rsidRPr="00E211D2">
      <w:rPr>
        <w:rFonts w:eastAsiaTheme="minorHAnsi" w:cstheme="minorBidi"/>
        <w:b/>
        <w:color w:val="00B0F0"/>
        <w:sz w:val="20"/>
        <w:lang w:eastAsia="en-US"/>
      </w:rPr>
      <w:t>AUDfIT</w:t>
    </w:r>
    <w:r w:rsidRPr="00184E10">
      <w:rPr>
        <w:rFonts w:eastAsiaTheme="minorHAnsi" w:cstheme="minorBidi"/>
        <w:b/>
        <w:color w:val="00B0F0"/>
        <w:sz w:val="20"/>
        <w:vertAlign w:val="superscript"/>
        <w:lang w:eastAsia="en-US"/>
      </w:rPr>
      <w:t>®</w:t>
    </w:r>
    <w:r w:rsidRPr="00E211D2">
      <w:rPr>
        <w:rFonts w:eastAsiaTheme="minorHAnsi" w:cstheme="minorBidi"/>
        <w:b/>
        <w:color w:val="00B0F0"/>
        <w:sz w:val="20"/>
        <w:lang w:eastAsia="en-US"/>
      </w:rPr>
      <w:t>-</w:t>
    </w:r>
    <w:r w:rsidR="00EC2871">
      <w:rPr>
        <w:rFonts w:eastAsiaTheme="minorHAnsi" w:cstheme="minorBidi"/>
        <w:b/>
        <w:color w:val="00B0F0"/>
        <w:sz w:val="20"/>
        <w:lang w:eastAsia="en-US"/>
      </w:rPr>
      <w:t>Rechtsvorschrift</w:t>
    </w:r>
    <w:r w:rsidRPr="00E211D2">
      <w:rPr>
        <w:rFonts w:eastAsiaTheme="minorHAnsi" w:cstheme="minorBidi"/>
        <w:b/>
        <w:color w:val="00B0F0"/>
        <w:sz w:val="20"/>
        <w:lang w:eastAsia="en-US"/>
      </w:rPr>
      <w:t xml:space="preserve"> </w:t>
    </w:r>
    <w:r w:rsidR="000F1167">
      <w:rPr>
        <w:rFonts w:eastAsiaTheme="minorHAnsi" w:cstheme="minorBidi"/>
        <w:b/>
        <w:color w:val="00B0F0"/>
        <w:sz w:val="20"/>
        <w:lang w:eastAsia="en-US"/>
      </w:rPr>
      <w:t>4</w:t>
    </w:r>
    <w:r w:rsidR="00933005">
      <w:rPr>
        <w:rFonts w:eastAsiaTheme="minorHAnsi" w:cstheme="minorBidi"/>
        <w:b/>
        <w:color w:val="00B0F0"/>
        <w:sz w:val="20"/>
        <w:lang w:eastAsia="en-US"/>
      </w:rPr>
      <w:t>/</w:t>
    </w:r>
    <w:r w:rsidR="00EC2871">
      <w:rPr>
        <w:rFonts w:eastAsiaTheme="minorHAnsi" w:cstheme="minorBidi"/>
        <w:b/>
        <w:color w:val="00B0F0"/>
        <w:sz w:val="20"/>
        <w:lang w:eastAsia="en-US"/>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6E6" w:rsidRPr="00E211D2" w:rsidRDefault="007506E6" w:rsidP="000503CF">
    <w:pPr>
      <w:tabs>
        <w:tab w:val="center" w:pos="4536"/>
        <w:tab w:val="right" w:pos="9072"/>
        <w:tab w:val="left" w:pos="9781"/>
      </w:tabs>
      <w:spacing w:before="520" w:after="120"/>
      <w:rPr>
        <w:rFonts w:eastAsiaTheme="minorHAnsi"/>
        <w:sz w:val="20"/>
        <w:lang w:eastAsia="en-US"/>
      </w:rPr>
    </w:pPr>
    <w:r w:rsidRPr="00E211D2">
      <w:rPr>
        <w:sz w:val="20"/>
      </w:rPr>
      <w:t xml:space="preserve">Seite: </w:t>
    </w:r>
    <w:r w:rsidRPr="00E211D2">
      <w:rPr>
        <w:rFonts w:eastAsiaTheme="minorHAnsi" w:cstheme="minorBidi"/>
        <w:sz w:val="20"/>
        <w:lang w:eastAsia="en-US"/>
      </w:rPr>
      <w:fldChar w:fldCharType="begin"/>
    </w:r>
    <w:r w:rsidRPr="00E211D2">
      <w:rPr>
        <w:rFonts w:eastAsiaTheme="minorHAnsi" w:cstheme="minorBidi"/>
        <w:sz w:val="20"/>
        <w:lang w:eastAsia="en-US"/>
      </w:rPr>
      <w:instrText>PAGE   \* MERGEFORMAT</w:instrText>
    </w:r>
    <w:r w:rsidRPr="00E211D2">
      <w:rPr>
        <w:rFonts w:eastAsiaTheme="minorHAnsi" w:cstheme="minorBidi"/>
        <w:sz w:val="20"/>
        <w:lang w:eastAsia="en-US"/>
      </w:rPr>
      <w:fldChar w:fldCharType="separate"/>
    </w:r>
    <w:r w:rsidR="00416098">
      <w:rPr>
        <w:rFonts w:eastAsiaTheme="minorHAnsi" w:cstheme="minorBidi"/>
        <w:noProof/>
        <w:sz w:val="20"/>
        <w:lang w:eastAsia="en-US"/>
      </w:rPr>
      <w:t>1</w:t>
    </w:r>
    <w:r w:rsidRPr="00E211D2">
      <w:rPr>
        <w:rFonts w:eastAsiaTheme="minorHAnsi" w:cstheme="minorBidi"/>
        <w:sz w:val="20"/>
        <w:lang w:eastAsia="en-US"/>
      </w:rPr>
      <w:fldChar w:fldCharType="end"/>
    </w:r>
    <w:r w:rsidRPr="00E211D2">
      <w:rPr>
        <w:rFonts w:eastAsiaTheme="minorHAnsi" w:cstheme="minorBidi"/>
        <w:sz w:val="20"/>
        <w:lang w:eastAsia="en-US"/>
      </w:rPr>
      <w:t xml:space="preserve"> </w:t>
    </w:r>
    <w:sdt>
      <w:sdtPr>
        <w:rPr>
          <w:rFonts w:eastAsiaTheme="minorHAnsi" w:cstheme="minorBidi"/>
          <w:sz w:val="20"/>
          <w:lang w:eastAsia="en-US"/>
        </w:rPr>
        <w:id w:val="-1877616359"/>
        <w:docPartObj>
          <w:docPartGallery w:val="Page Numbers (Top of Page)"/>
          <w:docPartUnique/>
        </w:docPartObj>
      </w:sdtPr>
      <w:sdtEndPr/>
      <w:sdtContent>
        <w:r w:rsidRPr="00E211D2">
          <w:rPr>
            <w:rFonts w:eastAsiaTheme="minorHAnsi" w:cstheme="minorBidi"/>
            <w:sz w:val="20"/>
            <w:lang w:eastAsia="en-US"/>
          </w:rPr>
          <w:t xml:space="preserve">von </w:t>
        </w:r>
        <w:r w:rsidRPr="00E211D2">
          <w:rPr>
            <w:rFonts w:eastAsiaTheme="minorHAnsi" w:cstheme="minorBidi"/>
            <w:sz w:val="20"/>
            <w:lang w:eastAsia="en-US"/>
          </w:rPr>
          <w:fldChar w:fldCharType="begin"/>
        </w:r>
        <w:r w:rsidRPr="00E211D2">
          <w:rPr>
            <w:rFonts w:eastAsiaTheme="minorHAnsi" w:cstheme="minorBidi"/>
            <w:sz w:val="20"/>
            <w:lang w:eastAsia="en-US"/>
          </w:rPr>
          <w:instrText xml:space="preserve"> NUMPAGES  \* Arabic  \* MERGEFORMAT </w:instrText>
        </w:r>
        <w:r w:rsidRPr="00E211D2">
          <w:rPr>
            <w:rFonts w:eastAsiaTheme="minorHAnsi" w:cstheme="minorBidi"/>
            <w:sz w:val="20"/>
            <w:lang w:eastAsia="en-US"/>
          </w:rPr>
          <w:fldChar w:fldCharType="separate"/>
        </w:r>
        <w:r w:rsidR="00416098">
          <w:rPr>
            <w:rFonts w:eastAsiaTheme="minorHAnsi" w:cstheme="minorBidi"/>
            <w:noProof/>
            <w:sz w:val="20"/>
            <w:lang w:eastAsia="en-US"/>
          </w:rPr>
          <w:t>2</w:t>
        </w:r>
        <w:r w:rsidRPr="00E211D2">
          <w:rPr>
            <w:rFonts w:eastAsiaTheme="minorHAnsi" w:cstheme="minorBidi"/>
            <w:sz w:val="20"/>
            <w:lang w:eastAsia="en-US"/>
          </w:rPr>
          <w:fldChar w:fldCharType="end"/>
        </w:r>
      </w:sdtContent>
    </w:sdt>
    <w:r w:rsidRPr="00E211D2">
      <w:rPr>
        <w:rFonts w:eastAsiaTheme="minorHAnsi" w:cstheme="minorBidi"/>
        <w:sz w:val="20"/>
        <w:lang w:eastAsia="en-US"/>
      </w:rPr>
      <w:tab/>
    </w:r>
    <w:r w:rsidR="00416098">
      <w:rPr>
        <w:rFonts w:eastAsiaTheme="minorHAnsi" w:cstheme="minorBidi"/>
        <w:noProof/>
        <w:sz w:val="20"/>
      </w:rPr>
      <w:drawing>
        <wp:inline distT="0" distB="0" distL="0" distR="0" wp14:anchorId="28BE054A" wp14:editId="1CDDBA15">
          <wp:extent cx="1404000" cy="542661"/>
          <wp:effectExtent l="0" t="0" r="571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dfit_Logo_4c_blau_by_LL_korr_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4000" cy="542661"/>
                  </a:xfrm>
                  <a:prstGeom prst="rect">
                    <a:avLst/>
                  </a:prstGeom>
                </pic:spPr>
              </pic:pic>
            </a:graphicData>
          </a:graphic>
        </wp:inline>
      </w:drawing>
    </w:r>
    <w:r w:rsidRPr="00E211D2">
      <w:rPr>
        <w:rFonts w:eastAsiaTheme="minorHAnsi" w:cstheme="minorBidi"/>
        <w:sz w:val="20"/>
        <w:lang w:eastAsia="en-US"/>
      </w:rPr>
      <w:tab/>
    </w:r>
    <w:r w:rsidRPr="00E211D2">
      <w:rPr>
        <w:rFonts w:eastAsiaTheme="minorHAnsi" w:cstheme="minorBidi"/>
        <w:b/>
        <w:color w:val="00B0F0"/>
        <w:sz w:val="20"/>
        <w:lang w:eastAsia="en-US"/>
      </w:rPr>
      <w:t>AUDfIT</w:t>
    </w:r>
    <w:r w:rsidRPr="00184E10">
      <w:rPr>
        <w:rFonts w:eastAsiaTheme="minorHAnsi" w:cstheme="minorBidi"/>
        <w:b/>
        <w:color w:val="00B0F0"/>
        <w:sz w:val="20"/>
        <w:vertAlign w:val="superscript"/>
        <w:lang w:eastAsia="en-US"/>
      </w:rPr>
      <w:t>®</w:t>
    </w:r>
    <w:r w:rsidRPr="00E211D2">
      <w:rPr>
        <w:rFonts w:eastAsiaTheme="minorHAnsi" w:cstheme="minorBidi"/>
        <w:b/>
        <w:color w:val="00B0F0"/>
        <w:sz w:val="20"/>
        <w:lang w:eastAsia="en-US"/>
      </w:rPr>
      <w:t>-</w:t>
    </w:r>
    <w:r w:rsidR="00886F4E">
      <w:rPr>
        <w:rFonts w:eastAsiaTheme="minorHAnsi" w:cstheme="minorBidi"/>
        <w:b/>
        <w:color w:val="00B0F0"/>
        <w:sz w:val="20"/>
        <w:lang w:eastAsia="en-US"/>
      </w:rPr>
      <w:t>Rechts</w:t>
    </w:r>
    <w:r w:rsidR="005C3E12">
      <w:rPr>
        <w:rFonts w:eastAsiaTheme="minorHAnsi" w:cstheme="minorBidi"/>
        <w:b/>
        <w:color w:val="00B0F0"/>
        <w:sz w:val="20"/>
        <w:lang w:eastAsia="en-US"/>
      </w:rPr>
      <w:t>vorschrift</w:t>
    </w:r>
    <w:r w:rsidRPr="00E211D2">
      <w:rPr>
        <w:rFonts w:eastAsiaTheme="minorHAnsi" w:cstheme="minorBidi"/>
        <w:b/>
        <w:color w:val="00B0F0"/>
        <w:sz w:val="20"/>
        <w:lang w:eastAsia="en-US"/>
      </w:rPr>
      <w:t xml:space="preserve"> </w:t>
    </w:r>
    <w:r w:rsidR="000F1167">
      <w:rPr>
        <w:rFonts w:eastAsiaTheme="minorHAnsi" w:cstheme="minorBidi"/>
        <w:b/>
        <w:color w:val="00B0F0"/>
        <w:sz w:val="20"/>
        <w:lang w:eastAsia="en-US"/>
      </w:rPr>
      <w:t>4</w:t>
    </w:r>
    <w:r w:rsidR="000204A6">
      <w:rPr>
        <w:rFonts w:eastAsiaTheme="minorHAnsi" w:cstheme="minorBidi"/>
        <w:b/>
        <w:color w:val="00B0F0"/>
        <w:sz w:val="20"/>
        <w:lang w:eastAsia="en-US"/>
      </w:rPr>
      <w:t>/</w:t>
    </w:r>
    <w:r w:rsidR="005C3E12">
      <w:rPr>
        <w:rFonts w:eastAsiaTheme="minorHAnsi" w:cstheme="minorBidi"/>
        <w:b/>
        <w:color w:val="00B0F0"/>
        <w:sz w:val="20"/>
        <w:lang w:eastAsia="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116" w:rsidRDefault="00706116" w:rsidP="00EE217B">
      <w:pPr>
        <w:pStyle w:val="Fuzeile"/>
      </w:pPr>
    </w:p>
    <w:p w:rsidR="00706116" w:rsidRPr="00EE217B" w:rsidRDefault="00706116" w:rsidP="00EE217B">
      <w:pPr>
        <w:spacing w:before="0"/>
        <w:jc w:val="center"/>
      </w:pPr>
      <w:r w:rsidRPr="00027F72">
        <w:separator/>
      </w:r>
      <w:r w:rsidRPr="00027F72">
        <w:separator/>
      </w:r>
    </w:p>
  </w:footnote>
  <w:footnote w:type="continuationSeparator" w:id="0">
    <w:p w:rsidR="00706116" w:rsidRDefault="00706116" w:rsidP="00711AB6">
      <w:pPr>
        <w:spacing w:before="0"/>
        <w:jc w:val="center"/>
      </w:pPr>
    </w:p>
    <w:p w:rsidR="00706116" w:rsidRPr="00711AB6" w:rsidRDefault="00706116" w:rsidP="00711AB6">
      <w:pPr>
        <w:spacing w:before="0"/>
        <w:jc w:val="center"/>
      </w:pPr>
      <w:r w:rsidRPr="00027F72">
        <w:separator/>
      </w:r>
      <w:r w:rsidRPr="00027F72">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6E6" w:rsidRPr="00665F75" w:rsidRDefault="007506E6" w:rsidP="00B73242">
    <w:pPr>
      <w:pStyle w:val="Kopfzeile"/>
      <w:pBdr>
        <w:bottom w:val="none" w:sz="0" w:space="0" w:color="auto"/>
      </w:pBdr>
      <w:spacing w:before="0"/>
      <w:rPr>
        <w:sz w:val="2"/>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6E6" w:rsidRPr="0033313C" w:rsidRDefault="007506E6" w:rsidP="00870FFE">
    <w:pPr>
      <w:pStyle w:val="Kopfzeile"/>
      <w:pBdr>
        <w:bottom w:val="none" w:sz="0" w:space="0" w:color="auto"/>
      </w:pBdr>
      <w:rPr>
        <w:sz w:val="2"/>
        <w:szCs w:val="2"/>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3C3F3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6A6458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788D9E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7A2702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F84E9B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C46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ECC18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BE124A82"/>
    <w:lvl w:ilvl="0">
      <w:start w:val="1"/>
      <w:numFmt w:val="decimal"/>
      <w:pStyle w:val="Listennummer"/>
      <w:lvlText w:val="%1."/>
      <w:lvlJc w:val="left"/>
      <w:pPr>
        <w:tabs>
          <w:tab w:val="num" w:pos="360"/>
        </w:tabs>
        <w:ind w:left="360" w:hanging="360"/>
      </w:pPr>
    </w:lvl>
  </w:abstractNum>
  <w:abstractNum w:abstractNumId="8" w15:restartNumberingAfterBreak="0">
    <w:nsid w:val="0AD11C43"/>
    <w:multiLevelType w:val="hybridMultilevel"/>
    <w:tmpl w:val="94CE2AC4"/>
    <w:lvl w:ilvl="0" w:tplc="824E50DC">
      <w:start w:val="1"/>
      <w:numFmt w:val="decimal"/>
      <w:lvlText w:val="%1."/>
      <w:lvlJc w:val="left"/>
      <w:pPr>
        <w:ind w:left="1145" w:hanging="360"/>
      </w:p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9" w15:restartNumberingAfterBreak="0">
    <w:nsid w:val="10AC517C"/>
    <w:multiLevelType w:val="hybridMultilevel"/>
    <w:tmpl w:val="DA605592"/>
    <w:lvl w:ilvl="0" w:tplc="41CEEF3C">
      <w:start w:val="1"/>
      <w:numFmt w:val="bullet"/>
      <w:pStyle w:val="Aufzhlungszeichen"/>
      <w:lvlText w:val=""/>
      <w:lvlJc w:val="left"/>
      <w:pPr>
        <w:ind w:left="1074" w:hanging="360"/>
      </w:pPr>
      <w:rPr>
        <w:rFonts w:ascii="Symbol" w:hAnsi="Symbol" w:hint="default"/>
      </w:rPr>
    </w:lvl>
    <w:lvl w:ilvl="1" w:tplc="04070003">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10" w15:restartNumberingAfterBreak="0">
    <w:nsid w:val="16143A6F"/>
    <w:multiLevelType w:val="multilevel"/>
    <w:tmpl w:val="5E5E9E74"/>
    <w:styleLink w:val="Listen1"/>
    <w:lvl w:ilvl="0">
      <w:start w:val="1"/>
      <w:numFmt w:val="bullet"/>
      <w:lvlText w:val=""/>
      <w:lvlJc w:val="left"/>
      <w:pPr>
        <w:ind w:left="1428" w:hanging="360"/>
      </w:pPr>
      <w:rPr>
        <w:rFonts w:ascii="Symbol" w:hAnsi="Symbol"/>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1" w15:restartNumberingAfterBreak="0">
    <w:nsid w:val="1AE50901"/>
    <w:multiLevelType w:val="hybridMultilevel"/>
    <w:tmpl w:val="30F819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F3D151F"/>
    <w:multiLevelType w:val="hybridMultilevel"/>
    <w:tmpl w:val="4E36D6B2"/>
    <w:lvl w:ilvl="0" w:tplc="057EFA52">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0423901"/>
    <w:multiLevelType w:val="hybridMultilevel"/>
    <w:tmpl w:val="11B4A2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4AF750A"/>
    <w:multiLevelType w:val="hybridMultilevel"/>
    <w:tmpl w:val="511063D6"/>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5" w15:restartNumberingAfterBreak="0">
    <w:nsid w:val="26BB0205"/>
    <w:multiLevelType w:val="hybridMultilevel"/>
    <w:tmpl w:val="F11EC5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96125B9"/>
    <w:multiLevelType w:val="hybridMultilevel"/>
    <w:tmpl w:val="7F100846"/>
    <w:lvl w:ilvl="0" w:tplc="FAD0C7D2">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7" w15:restartNumberingAfterBreak="0">
    <w:nsid w:val="4AD76B91"/>
    <w:multiLevelType w:val="hybridMultilevel"/>
    <w:tmpl w:val="2CB46608"/>
    <w:lvl w:ilvl="0" w:tplc="04A4574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8" w15:restartNumberingAfterBreak="0">
    <w:nsid w:val="4E793441"/>
    <w:multiLevelType w:val="hybridMultilevel"/>
    <w:tmpl w:val="511063D6"/>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9" w15:restartNumberingAfterBreak="0">
    <w:nsid w:val="51597DA0"/>
    <w:multiLevelType w:val="hybridMultilevel"/>
    <w:tmpl w:val="F58E0B2C"/>
    <w:lvl w:ilvl="0" w:tplc="DA3E2BDC">
      <w:start w:val="3"/>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0" w15:restartNumberingAfterBreak="0">
    <w:nsid w:val="567C1D54"/>
    <w:multiLevelType w:val="hybridMultilevel"/>
    <w:tmpl w:val="9C32BE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77B6083"/>
    <w:multiLevelType w:val="hybridMultilevel"/>
    <w:tmpl w:val="9340724E"/>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2" w15:restartNumberingAfterBreak="0">
    <w:nsid w:val="595C6DF0"/>
    <w:multiLevelType w:val="hybridMultilevel"/>
    <w:tmpl w:val="E94ED324"/>
    <w:lvl w:ilvl="0" w:tplc="04070015">
      <w:start w:val="1"/>
      <w:numFmt w:val="decimal"/>
      <w:lvlText w:val="(%1)"/>
      <w:lvlJc w:val="left"/>
      <w:pPr>
        <w:ind w:left="718" w:hanging="360"/>
      </w:pPr>
      <w:rPr>
        <w:rFonts w:hint="default"/>
      </w:rPr>
    </w:lvl>
    <w:lvl w:ilvl="1" w:tplc="04070019" w:tentative="1">
      <w:start w:val="1"/>
      <w:numFmt w:val="lowerLetter"/>
      <w:lvlText w:val="%2."/>
      <w:lvlJc w:val="left"/>
      <w:pPr>
        <w:ind w:left="1438" w:hanging="360"/>
      </w:pPr>
    </w:lvl>
    <w:lvl w:ilvl="2" w:tplc="0407001B" w:tentative="1">
      <w:start w:val="1"/>
      <w:numFmt w:val="lowerRoman"/>
      <w:lvlText w:val="%3."/>
      <w:lvlJc w:val="right"/>
      <w:pPr>
        <w:ind w:left="2158" w:hanging="180"/>
      </w:pPr>
    </w:lvl>
    <w:lvl w:ilvl="3" w:tplc="0407000F" w:tentative="1">
      <w:start w:val="1"/>
      <w:numFmt w:val="decimal"/>
      <w:lvlText w:val="%4."/>
      <w:lvlJc w:val="left"/>
      <w:pPr>
        <w:ind w:left="2878" w:hanging="360"/>
      </w:pPr>
    </w:lvl>
    <w:lvl w:ilvl="4" w:tplc="04070019" w:tentative="1">
      <w:start w:val="1"/>
      <w:numFmt w:val="lowerLetter"/>
      <w:lvlText w:val="%5."/>
      <w:lvlJc w:val="left"/>
      <w:pPr>
        <w:ind w:left="3598" w:hanging="360"/>
      </w:pPr>
    </w:lvl>
    <w:lvl w:ilvl="5" w:tplc="0407001B" w:tentative="1">
      <w:start w:val="1"/>
      <w:numFmt w:val="lowerRoman"/>
      <w:lvlText w:val="%6."/>
      <w:lvlJc w:val="right"/>
      <w:pPr>
        <w:ind w:left="4318" w:hanging="180"/>
      </w:pPr>
    </w:lvl>
    <w:lvl w:ilvl="6" w:tplc="0407000F" w:tentative="1">
      <w:start w:val="1"/>
      <w:numFmt w:val="decimal"/>
      <w:lvlText w:val="%7."/>
      <w:lvlJc w:val="left"/>
      <w:pPr>
        <w:ind w:left="5038" w:hanging="360"/>
      </w:pPr>
    </w:lvl>
    <w:lvl w:ilvl="7" w:tplc="04070019" w:tentative="1">
      <w:start w:val="1"/>
      <w:numFmt w:val="lowerLetter"/>
      <w:lvlText w:val="%8."/>
      <w:lvlJc w:val="left"/>
      <w:pPr>
        <w:ind w:left="5758" w:hanging="360"/>
      </w:pPr>
    </w:lvl>
    <w:lvl w:ilvl="8" w:tplc="0407001B" w:tentative="1">
      <w:start w:val="1"/>
      <w:numFmt w:val="lowerRoman"/>
      <w:lvlText w:val="%9."/>
      <w:lvlJc w:val="right"/>
      <w:pPr>
        <w:ind w:left="6478" w:hanging="180"/>
      </w:pPr>
    </w:lvl>
  </w:abstractNum>
  <w:abstractNum w:abstractNumId="23" w15:restartNumberingAfterBreak="0">
    <w:nsid w:val="5B9D71DC"/>
    <w:multiLevelType w:val="hybridMultilevel"/>
    <w:tmpl w:val="4628C72E"/>
    <w:lvl w:ilvl="0" w:tplc="C92E87F4">
      <w:start w:val="1"/>
      <w:numFmt w:val="lowerLetter"/>
      <w:pStyle w:val="Aufzhlungszeichen2"/>
      <w:lvlText w:val="%1."/>
      <w:lvlJc w:val="left"/>
      <w:pPr>
        <w:ind w:left="1074" w:hanging="360"/>
      </w:pPr>
      <w:rPr>
        <w:rFonts w:hint="default"/>
      </w:rPr>
    </w:lvl>
    <w:lvl w:ilvl="1" w:tplc="04070019" w:tentative="1">
      <w:start w:val="1"/>
      <w:numFmt w:val="lowerLetter"/>
      <w:lvlText w:val="%2."/>
      <w:lvlJc w:val="left"/>
      <w:pPr>
        <w:ind w:left="1794" w:hanging="360"/>
      </w:pPr>
    </w:lvl>
    <w:lvl w:ilvl="2" w:tplc="0407001B" w:tentative="1">
      <w:start w:val="1"/>
      <w:numFmt w:val="lowerRoman"/>
      <w:lvlText w:val="%3."/>
      <w:lvlJc w:val="right"/>
      <w:pPr>
        <w:ind w:left="2514" w:hanging="180"/>
      </w:pPr>
    </w:lvl>
    <w:lvl w:ilvl="3" w:tplc="0407000F" w:tentative="1">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24" w15:restartNumberingAfterBreak="0">
    <w:nsid w:val="62255FA1"/>
    <w:multiLevelType w:val="multilevel"/>
    <w:tmpl w:val="3F56580C"/>
    <w:lvl w:ilvl="0">
      <w:start w:val="1"/>
      <w:numFmt w:val="lowerLetter"/>
      <w:lvlText w:val="%1."/>
      <w:lvlJc w:val="left"/>
      <w:pPr>
        <w:ind w:left="1779" w:hanging="360"/>
      </w:pPr>
      <w:rPr>
        <w:rFonts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800" w:hanging="360"/>
      </w:pPr>
      <w:rPr>
        <w:rFonts w:ascii="Symbol" w:hAnsi="Symbol" w:hint="default"/>
        <w:color w:val="auto"/>
      </w:rPr>
    </w:lvl>
    <w:lvl w:ilvl="2">
      <w:start w:val="1"/>
      <w:numFmt w:val="bullet"/>
      <w:lvlText w:val=""/>
      <w:lvlJc w:val="left"/>
      <w:pPr>
        <w:ind w:left="2520" w:hanging="180"/>
      </w:pPr>
      <w:rPr>
        <w:rFonts w:ascii="Symbol" w:hAnsi="Symbol" w:hint="default"/>
        <w:color w:val="auto"/>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50C432A"/>
    <w:multiLevelType w:val="multilevel"/>
    <w:tmpl w:val="3F56580C"/>
    <w:styleLink w:val="Aufzhlungszeichena"/>
    <w:lvl w:ilvl="0">
      <w:start w:val="1"/>
      <w:numFmt w:val="lowerLetter"/>
      <w:lvlText w:val="%1."/>
      <w:lvlJc w:val="left"/>
      <w:pPr>
        <w:ind w:left="1779" w:hanging="360"/>
      </w:pPr>
      <w:rPr>
        <w:rFonts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800" w:hanging="360"/>
      </w:pPr>
      <w:rPr>
        <w:rFonts w:ascii="Symbol" w:hAnsi="Symbol" w:hint="default"/>
        <w:color w:val="auto"/>
      </w:rPr>
    </w:lvl>
    <w:lvl w:ilvl="2">
      <w:start w:val="1"/>
      <w:numFmt w:val="bullet"/>
      <w:lvlText w:val=""/>
      <w:lvlJc w:val="left"/>
      <w:pPr>
        <w:ind w:left="2520" w:hanging="180"/>
      </w:pPr>
      <w:rPr>
        <w:rFonts w:ascii="Symbol" w:hAnsi="Symbol" w:hint="default"/>
        <w:color w:val="auto"/>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7004777"/>
    <w:multiLevelType w:val="hybridMultilevel"/>
    <w:tmpl w:val="4C70EFC8"/>
    <w:lvl w:ilvl="0" w:tplc="5AB2B23A">
      <w:start w:val="1"/>
      <w:numFmt w:val="lowerLetter"/>
      <w:lvlText w:val="%1)"/>
      <w:lvlJc w:val="left"/>
      <w:pPr>
        <w:ind w:left="1440" w:hanging="360"/>
      </w:pPr>
      <w:rPr>
        <w:b w:val="0"/>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7" w15:restartNumberingAfterBreak="0">
    <w:nsid w:val="7D8A6FE6"/>
    <w:multiLevelType w:val="multilevel"/>
    <w:tmpl w:val="50121D20"/>
    <w:lvl w:ilvl="0">
      <w:start w:val="1"/>
      <w:numFmt w:val="decimal"/>
      <w:pStyle w:val="berschrift1"/>
      <w:lvlText w:val="%1."/>
      <w:lvlJc w:val="left"/>
      <w:pPr>
        <w:tabs>
          <w:tab w:val="num" w:pos="1105"/>
        </w:tabs>
        <w:ind w:left="1105" w:hanging="680"/>
      </w:pPr>
      <w:rPr>
        <w:rFonts w:ascii="Arial" w:eastAsiaTheme="minorHAnsi" w:hAnsi="Arial" w:cs="Arial" w:hint="default"/>
      </w:rPr>
    </w:lvl>
    <w:lvl w:ilvl="1">
      <w:start w:val="1"/>
      <w:numFmt w:val="decimal"/>
      <w:pStyle w:val="berschrift2"/>
      <w:lvlText w:val="%1.%2"/>
      <w:lvlJc w:val="left"/>
      <w:pPr>
        <w:tabs>
          <w:tab w:val="num" w:pos="1105"/>
        </w:tabs>
        <w:ind w:left="1105" w:hanging="680"/>
      </w:pPr>
    </w:lvl>
    <w:lvl w:ilvl="2">
      <w:start w:val="1"/>
      <w:numFmt w:val="decimal"/>
      <w:pStyle w:val="berschrift3"/>
      <w:lvlText w:val="%1.%2.%3"/>
      <w:lvlJc w:val="left"/>
      <w:pPr>
        <w:tabs>
          <w:tab w:val="num" w:pos="1105"/>
        </w:tabs>
        <w:ind w:left="1105" w:hanging="680"/>
      </w:pPr>
    </w:lvl>
    <w:lvl w:ilvl="3">
      <w:start w:val="1"/>
      <w:numFmt w:val="decimal"/>
      <w:pStyle w:val="berschrift4"/>
      <w:lvlText w:val="%1.%2.%3.%4"/>
      <w:lvlJc w:val="left"/>
      <w:pPr>
        <w:tabs>
          <w:tab w:val="num" w:pos="1289"/>
        </w:tabs>
        <w:ind w:left="1289" w:hanging="864"/>
      </w:pPr>
    </w:lvl>
    <w:lvl w:ilvl="4">
      <w:start w:val="1"/>
      <w:numFmt w:val="decimal"/>
      <w:pStyle w:val="berschrift5"/>
      <w:lvlText w:val="%1.%2.%3.%4.%5"/>
      <w:lvlJc w:val="left"/>
      <w:pPr>
        <w:tabs>
          <w:tab w:val="num" w:pos="1433"/>
        </w:tabs>
        <w:ind w:left="1433" w:hanging="1008"/>
      </w:pPr>
    </w:lvl>
    <w:lvl w:ilvl="5">
      <w:start w:val="1"/>
      <w:numFmt w:val="decimal"/>
      <w:pStyle w:val="berschrift6"/>
      <w:lvlText w:val="%1.%2.%3.%4.%5.%6"/>
      <w:lvlJc w:val="left"/>
      <w:pPr>
        <w:tabs>
          <w:tab w:val="num" w:pos="1577"/>
        </w:tabs>
        <w:ind w:left="1577" w:hanging="1152"/>
      </w:pPr>
    </w:lvl>
    <w:lvl w:ilvl="6">
      <w:start w:val="1"/>
      <w:numFmt w:val="decimal"/>
      <w:pStyle w:val="berschrift7"/>
      <w:lvlText w:val="%1.%2.%3.%4.%5.%6.%7"/>
      <w:lvlJc w:val="left"/>
      <w:pPr>
        <w:tabs>
          <w:tab w:val="num" w:pos="1721"/>
        </w:tabs>
        <w:ind w:left="1721" w:hanging="1296"/>
      </w:pPr>
    </w:lvl>
    <w:lvl w:ilvl="7">
      <w:start w:val="1"/>
      <w:numFmt w:val="decimal"/>
      <w:pStyle w:val="berschrift8"/>
      <w:lvlText w:val="%1.%2.%3.%4.%5.%6.%7.%8"/>
      <w:lvlJc w:val="left"/>
      <w:pPr>
        <w:tabs>
          <w:tab w:val="num" w:pos="1865"/>
        </w:tabs>
        <w:ind w:left="1865" w:hanging="1440"/>
      </w:pPr>
    </w:lvl>
    <w:lvl w:ilvl="8">
      <w:start w:val="1"/>
      <w:numFmt w:val="decimal"/>
      <w:pStyle w:val="berschrift9"/>
      <w:lvlText w:val="%1.%2.%3.%4.%5.%6.%7.%8.%9"/>
      <w:lvlJc w:val="left"/>
      <w:pPr>
        <w:tabs>
          <w:tab w:val="num" w:pos="2585"/>
        </w:tabs>
        <w:ind w:left="2009" w:hanging="1584"/>
      </w:pPr>
    </w:lvl>
  </w:abstractNum>
  <w:num w:numId="1">
    <w:abstractNumId w:val="27"/>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23"/>
  </w:num>
  <w:num w:numId="12">
    <w:abstractNumId w:val="10"/>
  </w:num>
  <w:num w:numId="13">
    <w:abstractNumId w:val="11"/>
  </w:num>
  <w:num w:numId="14">
    <w:abstractNumId w:val="20"/>
  </w:num>
  <w:num w:numId="15">
    <w:abstractNumId w:val="15"/>
  </w:num>
  <w:num w:numId="16">
    <w:abstractNumId w:val="13"/>
  </w:num>
  <w:num w:numId="17">
    <w:abstractNumId w:val="25"/>
  </w:num>
  <w:num w:numId="18">
    <w:abstractNumId w:val="24"/>
    <w:lvlOverride w:ilvl="0">
      <w:lvl w:ilvl="0">
        <w:start w:val="1"/>
        <w:numFmt w:val="decimal"/>
        <w:lvlText w:val="%1."/>
        <w:lvlJc w:val="left"/>
        <w:pPr>
          <w:ind w:left="1800" w:hanging="360"/>
        </w:pPr>
      </w:lvl>
    </w:lvlOverride>
    <w:lvlOverride w:ilvl="1">
      <w:lvl w:ilvl="1">
        <w:start w:val="1"/>
        <w:numFmt w:val="lowerLetter"/>
        <w:lvlText w:val="%2."/>
        <w:lvlJc w:val="left"/>
        <w:pPr>
          <w:ind w:left="2520" w:hanging="360"/>
        </w:pPr>
      </w:lvl>
    </w:lvlOverride>
    <w:lvlOverride w:ilvl="2">
      <w:lvl w:ilvl="2" w:tentative="1">
        <w:start w:val="1"/>
        <w:numFmt w:val="lowerRoman"/>
        <w:lvlText w:val="%3."/>
        <w:lvlJc w:val="right"/>
        <w:pPr>
          <w:ind w:left="3240" w:hanging="180"/>
        </w:pPr>
      </w:lvl>
    </w:lvlOverride>
    <w:lvlOverride w:ilvl="3">
      <w:lvl w:ilvl="3">
        <w:start w:val="1"/>
        <w:numFmt w:val="decimal"/>
        <w:lvlText w:val="%4."/>
        <w:lvlJc w:val="left"/>
        <w:pPr>
          <w:ind w:left="3960" w:hanging="360"/>
        </w:pPr>
      </w:lvl>
    </w:lvlOverride>
    <w:lvlOverride w:ilvl="4">
      <w:lvl w:ilvl="4" w:tentative="1">
        <w:start w:val="1"/>
        <w:numFmt w:val="lowerLetter"/>
        <w:lvlText w:val="%5."/>
        <w:lvlJc w:val="left"/>
        <w:pPr>
          <w:ind w:left="4680" w:hanging="360"/>
        </w:pPr>
      </w:lvl>
    </w:lvlOverride>
    <w:lvlOverride w:ilvl="5">
      <w:lvl w:ilvl="5" w:tentative="1">
        <w:start w:val="1"/>
        <w:numFmt w:val="lowerRoman"/>
        <w:lvlText w:val="%6."/>
        <w:lvlJc w:val="right"/>
        <w:pPr>
          <w:ind w:left="5400" w:hanging="180"/>
        </w:pPr>
      </w:lvl>
    </w:lvlOverride>
    <w:lvlOverride w:ilvl="6">
      <w:lvl w:ilvl="6" w:tentative="1">
        <w:start w:val="1"/>
        <w:numFmt w:val="decimal"/>
        <w:lvlText w:val="%7."/>
        <w:lvlJc w:val="left"/>
        <w:pPr>
          <w:ind w:left="6120" w:hanging="360"/>
        </w:pPr>
      </w:lvl>
    </w:lvlOverride>
    <w:lvlOverride w:ilvl="7">
      <w:lvl w:ilvl="7" w:tentative="1">
        <w:start w:val="1"/>
        <w:numFmt w:val="lowerLetter"/>
        <w:lvlText w:val="%8."/>
        <w:lvlJc w:val="left"/>
        <w:pPr>
          <w:ind w:left="6840" w:hanging="360"/>
        </w:pPr>
      </w:lvl>
    </w:lvlOverride>
    <w:lvlOverride w:ilvl="8">
      <w:lvl w:ilvl="8" w:tentative="1">
        <w:start w:val="1"/>
        <w:numFmt w:val="lowerRoman"/>
        <w:lvlText w:val="%9."/>
        <w:lvlJc w:val="right"/>
        <w:pPr>
          <w:ind w:left="7560" w:hanging="180"/>
        </w:pPr>
      </w:lvl>
    </w:lvlOverride>
  </w:num>
  <w:num w:numId="19">
    <w:abstractNumId w:val="22"/>
  </w:num>
  <w:num w:numId="20">
    <w:abstractNumId w:val="21"/>
  </w:num>
  <w:num w:numId="21">
    <w:abstractNumId w:val="8"/>
  </w:num>
  <w:num w:numId="22">
    <w:abstractNumId w:val="19"/>
  </w:num>
  <w:num w:numId="23">
    <w:abstractNumId w:val="18"/>
  </w:num>
  <w:num w:numId="24">
    <w:abstractNumId w:val="16"/>
  </w:num>
  <w:num w:numId="25">
    <w:abstractNumId w:val="17"/>
  </w:num>
  <w:num w:numId="26">
    <w:abstractNumId w:val="26"/>
  </w:num>
  <w:num w:numId="27">
    <w:abstractNumId w:val="12"/>
  </w:num>
  <w:num w:numId="28">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357"/>
  <w:autoHyphenation/>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116"/>
    <w:rsid w:val="00002230"/>
    <w:rsid w:val="00002EED"/>
    <w:rsid w:val="000030A9"/>
    <w:rsid w:val="0001477C"/>
    <w:rsid w:val="000204A6"/>
    <w:rsid w:val="0002748A"/>
    <w:rsid w:val="0003242D"/>
    <w:rsid w:val="0004061E"/>
    <w:rsid w:val="000503CF"/>
    <w:rsid w:val="0005326E"/>
    <w:rsid w:val="000616B8"/>
    <w:rsid w:val="00064F40"/>
    <w:rsid w:val="00075E7C"/>
    <w:rsid w:val="00080B9A"/>
    <w:rsid w:val="00086B8A"/>
    <w:rsid w:val="0009344D"/>
    <w:rsid w:val="00097B2B"/>
    <w:rsid w:val="000B1337"/>
    <w:rsid w:val="000E26F7"/>
    <w:rsid w:val="000F1167"/>
    <w:rsid w:val="00111AC6"/>
    <w:rsid w:val="001205E2"/>
    <w:rsid w:val="00143F11"/>
    <w:rsid w:val="00165A53"/>
    <w:rsid w:val="00180880"/>
    <w:rsid w:val="00184E10"/>
    <w:rsid w:val="00195534"/>
    <w:rsid w:val="0019585B"/>
    <w:rsid w:val="001A1B58"/>
    <w:rsid w:val="001B3F50"/>
    <w:rsid w:val="001B7E25"/>
    <w:rsid w:val="001C0D6B"/>
    <w:rsid w:val="001C1789"/>
    <w:rsid w:val="001D22E2"/>
    <w:rsid w:val="001E1F96"/>
    <w:rsid w:val="001E38E2"/>
    <w:rsid w:val="001E7A82"/>
    <w:rsid w:val="001F04DD"/>
    <w:rsid w:val="002065BE"/>
    <w:rsid w:val="0021047B"/>
    <w:rsid w:val="00213C34"/>
    <w:rsid w:val="00257647"/>
    <w:rsid w:val="002717FB"/>
    <w:rsid w:val="00283F41"/>
    <w:rsid w:val="00284FA6"/>
    <w:rsid w:val="00285560"/>
    <w:rsid w:val="00285C0D"/>
    <w:rsid w:val="00290924"/>
    <w:rsid w:val="0029592F"/>
    <w:rsid w:val="002A064F"/>
    <w:rsid w:val="002B17CE"/>
    <w:rsid w:val="002B298F"/>
    <w:rsid w:val="002B37AC"/>
    <w:rsid w:val="002D0908"/>
    <w:rsid w:val="002D7E2D"/>
    <w:rsid w:val="002F09D8"/>
    <w:rsid w:val="002F6B99"/>
    <w:rsid w:val="002F771F"/>
    <w:rsid w:val="00304799"/>
    <w:rsid w:val="003329DC"/>
    <w:rsid w:val="0033313C"/>
    <w:rsid w:val="00340216"/>
    <w:rsid w:val="00342964"/>
    <w:rsid w:val="00352142"/>
    <w:rsid w:val="00360F3D"/>
    <w:rsid w:val="00364269"/>
    <w:rsid w:val="00376DCD"/>
    <w:rsid w:val="00382BCD"/>
    <w:rsid w:val="003932A1"/>
    <w:rsid w:val="003A6FEB"/>
    <w:rsid w:val="003B420D"/>
    <w:rsid w:val="003E0221"/>
    <w:rsid w:val="003E348F"/>
    <w:rsid w:val="003E5835"/>
    <w:rsid w:val="003F1B18"/>
    <w:rsid w:val="003F53CB"/>
    <w:rsid w:val="004076E9"/>
    <w:rsid w:val="0041402E"/>
    <w:rsid w:val="00416098"/>
    <w:rsid w:val="004248A0"/>
    <w:rsid w:val="00433509"/>
    <w:rsid w:val="00440D21"/>
    <w:rsid w:val="00445BB8"/>
    <w:rsid w:val="0044742E"/>
    <w:rsid w:val="00454705"/>
    <w:rsid w:val="00465DB3"/>
    <w:rsid w:val="004867BC"/>
    <w:rsid w:val="0049126F"/>
    <w:rsid w:val="004B2234"/>
    <w:rsid w:val="004B5526"/>
    <w:rsid w:val="004B5A8E"/>
    <w:rsid w:val="004B6415"/>
    <w:rsid w:val="004C3F5D"/>
    <w:rsid w:val="004C60FF"/>
    <w:rsid w:val="004D43D5"/>
    <w:rsid w:val="004D6C91"/>
    <w:rsid w:val="004E699D"/>
    <w:rsid w:val="004F1C26"/>
    <w:rsid w:val="004F1E92"/>
    <w:rsid w:val="0050152B"/>
    <w:rsid w:val="005060F4"/>
    <w:rsid w:val="00516C43"/>
    <w:rsid w:val="0052103B"/>
    <w:rsid w:val="00525CDB"/>
    <w:rsid w:val="00527267"/>
    <w:rsid w:val="00534A4B"/>
    <w:rsid w:val="005473EF"/>
    <w:rsid w:val="0055136F"/>
    <w:rsid w:val="0055156D"/>
    <w:rsid w:val="00567521"/>
    <w:rsid w:val="00583AA1"/>
    <w:rsid w:val="005913EC"/>
    <w:rsid w:val="005921A2"/>
    <w:rsid w:val="005967E6"/>
    <w:rsid w:val="005B57D7"/>
    <w:rsid w:val="005B7F7F"/>
    <w:rsid w:val="005C1C85"/>
    <w:rsid w:val="005C3E12"/>
    <w:rsid w:val="005C5708"/>
    <w:rsid w:val="005D1825"/>
    <w:rsid w:val="005D26BD"/>
    <w:rsid w:val="005D2A74"/>
    <w:rsid w:val="005E07BD"/>
    <w:rsid w:val="005E7803"/>
    <w:rsid w:val="005F6F40"/>
    <w:rsid w:val="00632C1A"/>
    <w:rsid w:val="006454CF"/>
    <w:rsid w:val="0065198F"/>
    <w:rsid w:val="006521FF"/>
    <w:rsid w:val="00665F75"/>
    <w:rsid w:val="0066763B"/>
    <w:rsid w:val="00684B37"/>
    <w:rsid w:val="006C4228"/>
    <w:rsid w:val="006D1602"/>
    <w:rsid w:val="006D45A1"/>
    <w:rsid w:val="006E24F6"/>
    <w:rsid w:val="006E7126"/>
    <w:rsid w:val="007026D1"/>
    <w:rsid w:val="00706116"/>
    <w:rsid w:val="00711AB6"/>
    <w:rsid w:val="00716DD5"/>
    <w:rsid w:val="00720E5C"/>
    <w:rsid w:val="00742EA1"/>
    <w:rsid w:val="00744772"/>
    <w:rsid w:val="007506E6"/>
    <w:rsid w:val="007626C5"/>
    <w:rsid w:val="00763FC1"/>
    <w:rsid w:val="007648E0"/>
    <w:rsid w:val="00765666"/>
    <w:rsid w:val="0078728B"/>
    <w:rsid w:val="00790130"/>
    <w:rsid w:val="00796513"/>
    <w:rsid w:val="007A060E"/>
    <w:rsid w:val="007A3E0C"/>
    <w:rsid w:val="007B1945"/>
    <w:rsid w:val="007D3976"/>
    <w:rsid w:val="007E0249"/>
    <w:rsid w:val="007F3A7C"/>
    <w:rsid w:val="00802ED4"/>
    <w:rsid w:val="00805892"/>
    <w:rsid w:val="0081072B"/>
    <w:rsid w:val="008248D3"/>
    <w:rsid w:val="008471C9"/>
    <w:rsid w:val="00855B99"/>
    <w:rsid w:val="00862DDF"/>
    <w:rsid w:val="00870FFE"/>
    <w:rsid w:val="00872C95"/>
    <w:rsid w:val="00872F5F"/>
    <w:rsid w:val="0087591D"/>
    <w:rsid w:val="0088020C"/>
    <w:rsid w:val="00884570"/>
    <w:rsid w:val="00886F4E"/>
    <w:rsid w:val="00891EEA"/>
    <w:rsid w:val="008976BA"/>
    <w:rsid w:val="008A5560"/>
    <w:rsid w:val="008C44B0"/>
    <w:rsid w:val="008D1A8E"/>
    <w:rsid w:val="008D28A7"/>
    <w:rsid w:val="008E0D82"/>
    <w:rsid w:val="008E0FC7"/>
    <w:rsid w:val="008F75E7"/>
    <w:rsid w:val="009075A9"/>
    <w:rsid w:val="009212B4"/>
    <w:rsid w:val="00933005"/>
    <w:rsid w:val="0095198B"/>
    <w:rsid w:val="00970211"/>
    <w:rsid w:val="009760D0"/>
    <w:rsid w:val="009819D7"/>
    <w:rsid w:val="0099236A"/>
    <w:rsid w:val="009A6E64"/>
    <w:rsid w:val="009C2FF2"/>
    <w:rsid w:val="009C6EFB"/>
    <w:rsid w:val="009D429E"/>
    <w:rsid w:val="009E1FB1"/>
    <w:rsid w:val="009F6E01"/>
    <w:rsid w:val="00A06317"/>
    <w:rsid w:val="00A237ED"/>
    <w:rsid w:val="00A31197"/>
    <w:rsid w:val="00A5114A"/>
    <w:rsid w:val="00A613A1"/>
    <w:rsid w:val="00A649A3"/>
    <w:rsid w:val="00A7113B"/>
    <w:rsid w:val="00A75CE3"/>
    <w:rsid w:val="00A8486F"/>
    <w:rsid w:val="00A87FE5"/>
    <w:rsid w:val="00A946ED"/>
    <w:rsid w:val="00AA65D6"/>
    <w:rsid w:val="00AC17EE"/>
    <w:rsid w:val="00AE290A"/>
    <w:rsid w:val="00AF1983"/>
    <w:rsid w:val="00B13741"/>
    <w:rsid w:val="00B15817"/>
    <w:rsid w:val="00B1680D"/>
    <w:rsid w:val="00B22993"/>
    <w:rsid w:val="00B261B2"/>
    <w:rsid w:val="00B6345C"/>
    <w:rsid w:val="00B73242"/>
    <w:rsid w:val="00B77530"/>
    <w:rsid w:val="00BA02EC"/>
    <w:rsid w:val="00BA1533"/>
    <w:rsid w:val="00BA1564"/>
    <w:rsid w:val="00BA7590"/>
    <w:rsid w:val="00BC6A51"/>
    <w:rsid w:val="00BD2864"/>
    <w:rsid w:val="00BD37FF"/>
    <w:rsid w:val="00BD62C0"/>
    <w:rsid w:val="00BE368B"/>
    <w:rsid w:val="00BF0354"/>
    <w:rsid w:val="00BF2B89"/>
    <w:rsid w:val="00BF7EB9"/>
    <w:rsid w:val="00C24E59"/>
    <w:rsid w:val="00C30D7D"/>
    <w:rsid w:val="00C43D74"/>
    <w:rsid w:val="00C470A2"/>
    <w:rsid w:val="00C61048"/>
    <w:rsid w:val="00C8522D"/>
    <w:rsid w:val="00C91AC1"/>
    <w:rsid w:val="00C940C7"/>
    <w:rsid w:val="00CA5FDE"/>
    <w:rsid w:val="00CA6FFC"/>
    <w:rsid w:val="00CB24C7"/>
    <w:rsid w:val="00CC19EF"/>
    <w:rsid w:val="00CD1A9A"/>
    <w:rsid w:val="00CD4117"/>
    <w:rsid w:val="00CE73C2"/>
    <w:rsid w:val="00D13BD1"/>
    <w:rsid w:val="00D45365"/>
    <w:rsid w:val="00D61222"/>
    <w:rsid w:val="00DA6374"/>
    <w:rsid w:val="00DB3534"/>
    <w:rsid w:val="00DB3B77"/>
    <w:rsid w:val="00DB7B99"/>
    <w:rsid w:val="00DC5CF9"/>
    <w:rsid w:val="00DD3447"/>
    <w:rsid w:val="00DD5810"/>
    <w:rsid w:val="00DE10AB"/>
    <w:rsid w:val="00DE2B44"/>
    <w:rsid w:val="00E016C0"/>
    <w:rsid w:val="00E15EC8"/>
    <w:rsid w:val="00E211D2"/>
    <w:rsid w:val="00E23A06"/>
    <w:rsid w:val="00E342CA"/>
    <w:rsid w:val="00E368C3"/>
    <w:rsid w:val="00E50734"/>
    <w:rsid w:val="00E50CC2"/>
    <w:rsid w:val="00E54CF5"/>
    <w:rsid w:val="00E57522"/>
    <w:rsid w:val="00E57793"/>
    <w:rsid w:val="00E61BCD"/>
    <w:rsid w:val="00E77518"/>
    <w:rsid w:val="00EA2ACF"/>
    <w:rsid w:val="00EA74B3"/>
    <w:rsid w:val="00EC00F0"/>
    <w:rsid w:val="00EC2871"/>
    <w:rsid w:val="00EE217B"/>
    <w:rsid w:val="00EF2558"/>
    <w:rsid w:val="00F029CC"/>
    <w:rsid w:val="00F02A61"/>
    <w:rsid w:val="00F2421E"/>
    <w:rsid w:val="00F27814"/>
    <w:rsid w:val="00F3121A"/>
    <w:rsid w:val="00F35247"/>
    <w:rsid w:val="00F43427"/>
    <w:rsid w:val="00F508B7"/>
    <w:rsid w:val="00F51F9C"/>
    <w:rsid w:val="00F579A0"/>
    <w:rsid w:val="00F607DD"/>
    <w:rsid w:val="00F672A4"/>
    <w:rsid w:val="00F67FF5"/>
    <w:rsid w:val="00F76140"/>
    <w:rsid w:val="00F87375"/>
    <w:rsid w:val="00F920AB"/>
    <w:rsid w:val="00FA1E51"/>
    <w:rsid w:val="00FB19BE"/>
    <w:rsid w:val="00FB74D4"/>
    <w:rsid w:val="00FD0600"/>
    <w:rsid w:val="00FD6CCC"/>
    <w:rsid w:val="00FE65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6E60FEA"/>
  <w15:docId w15:val="{2C6A94A3-8980-40F2-A6F6-3A76FF76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E1F96"/>
    <w:pPr>
      <w:spacing w:before="120"/>
      <w:jc w:val="both"/>
    </w:pPr>
    <w:rPr>
      <w:rFonts w:ascii="Century Gothic" w:hAnsi="Century Gothic"/>
      <w:sz w:val="22"/>
    </w:rPr>
  </w:style>
  <w:style w:type="paragraph" w:styleId="berschrift1">
    <w:name w:val="heading 1"/>
    <w:basedOn w:val="Standard"/>
    <w:next w:val="Standardeinzug"/>
    <w:qFormat/>
    <w:rsid w:val="00364269"/>
    <w:pPr>
      <w:keepNext/>
      <w:pageBreakBefore/>
      <w:numPr>
        <w:numId w:val="1"/>
      </w:numPr>
      <w:tabs>
        <w:tab w:val="num" w:pos="709"/>
      </w:tabs>
      <w:suppressAutoHyphens/>
      <w:spacing w:before="0"/>
      <w:ind w:left="709" w:hanging="709"/>
      <w:jc w:val="left"/>
      <w:outlineLvl w:val="0"/>
    </w:pPr>
    <w:rPr>
      <w:rFonts w:ascii="Futura Md BT" w:hAnsi="Futura Md BT"/>
      <w:b/>
      <w:color w:val="00A7DE"/>
      <w:kern w:val="28"/>
      <w:sz w:val="32"/>
    </w:rPr>
  </w:style>
  <w:style w:type="paragraph" w:styleId="berschrift2">
    <w:name w:val="heading 2"/>
    <w:basedOn w:val="berschrift1"/>
    <w:next w:val="Standardeinzug"/>
    <w:qFormat/>
    <w:rsid w:val="00A237ED"/>
    <w:pPr>
      <w:pageBreakBefore w:val="0"/>
      <w:numPr>
        <w:ilvl w:val="1"/>
      </w:numPr>
      <w:tabs>
        <w:tab w:val="left" w:pos="720"/>
      </w:tabs>
      <w:suppressAutoHyphens w:val="0"/>
      <w:spacing w:before="480"/>
      <w:ind w:left="709" w:hanging="709"/>
      <w:outlineLvl w:val="1"/>
    </w:pPr>
    <w:rPr>
      <w:sz w:val="28"/>
    </w:rPr>
  </w:style>
  <w:style w:type="paragraph" w:styleId="berschrift3">
    <w:name w:val="heading 3"/>
    <w:basedOn w:val="berschrift2"/>
    <w:next w:val="Standardeinzug"/>
    <w:qFormat/>
    <w:rsid w:val="00CB24C7"/>
    <w:pPr>
      <w:numPr>
        <w:ilvl w:val="2"/>
      </w:numPr>
      <w:spacing w:before="360"/>
      <w:ind w:left="709" w:hanging="709"/>
      <w:outlineLvl w:val="2"/>
    </w:pPr>
    <w:rPr>
      <w:sz w:val="24"/>
    </w:rPr>
  </w:style>
  <w:style w:type="paragraph" w:styleId="berschrift4">
    <w:name w:val="heading 4"/>
    <w:basedOn w:val="berschrift3"/>
    <w:next w:val="Standardeinzug"/>
    <w:qFormat/>
    <w:pPr>
      <w:numPr>
        <w:ilvl w:val="3"/>
      </w:numPr>
      <w:spacing w:before="240"/>
      <w:ind w:left="720" w:hanging="720"/>
      <w:outlineLvl w:val="3"/>
    </w:pPr>
    <w:rPr>
      <w:b w:val="0"/>
    </w:rPr>
  </w:style>
  <w:style w:type="paragraph" w:styleId="berschrift5">
    <w:name w:val="heading 5"/>
    <w:basedOn w:val="berschrift4"/>
    <w:next w:val="Standard"/>
    <w:pPr>
      <w:numPr>
        <w:ilvl w:val="4"/>
      </w:numPr>
      <w:ind w:left="720" w:hanging="720"/>
      <w:outlineLvl w:val="4"/>
    </w:pPr>
  </w:style>
  <w:style w:type="paragraph" w:styleId="berschrift6">
    <w:name w:val="heading 6"/>
    <w:basedOn w:val="berschrift5"/>
    <w:next w:val="Standard"/>
    <w:pPr>
      <w:numPr>
        <w:ilvl w:val="5"/>
      </w:numPr>
      <w:ind w:left="720" w:hanging="720"/>
      <w:outlineLvl w:val="5"/>
    </w:pPr>
  </w:style>
  <w:style w:type="paragraph" w:styleId="berschrift7">
    <w:name w:val="heading 7"/>
    <w:basedOn w:val="berschrift6"/>
    <w:next w:val="Standard"/>
    <w:pPr>
      <w:numPr>
        <w:ilvl w:val="6"/>
      </w:numPr>
      <w:ind w:left="720" w:hanging="720"/>
      <w:outlineLvl w:val="6"/>
    </w:pPr>
  </w:style>
  <w:style w:type="paragraph" w:styleId="berschrift8">
    <w:name w:val="heading 8"/>
    <w:basedOn w:val="berschrift7"/>
    <w:next w:val="Standard"/>
    <w:pPr>
      <w:numPr>
        <w:ilvl w:val="7"/>
      </w:numPr>
      <w:ind w:left="720" w:hanging="720"/>
      <w:outlineLvl w:val="7"/>
    </w:pPr>
  </w:style>
  <w:style w:type="paragraph" w:styleId="berschrift9">
    <w:name w:val="heading 9"/>
    <w:basedOn w:val="berschrift8"/>
    <w:next w:val="Standard"/>
    <w:pPr>
      <w:numPr>
        <w:ilvl w:val="8"/>
      </w:numPr>
      <w:ind w:left="720" w:hanging="7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rPr>
  </w:style>
  <w:style w:type="character" w:styleId="Hyperlink">
    <w:name w:val="Hyperlink"/>
    <w:semiHidden/>
    <w:rPr>
      <w:color w:val="0000FF"/>
      <w:u w:val="single"/>
    </w:rPr>
  </w:style>
  <w:style w:type="character" w:styleId="Seitenzahl">
    <w:name w:val="page number"/>
    <w:basedOn w:val="Absatz-Standardschriftart"/>
    <w:semiHidden/>
  </w:style>
  <w:style w:type="paragraph" w:styleId="Verzeichnis1">
    <w:name w:val="toc 1"/>
    <w:basedOn w:val="Standard"/>
    <w:next w:val="Standard"/>
    <w:autoRedefine/>
    <w:uiPriority w:val="39"/>
    <w:qFormat/>
    <w:pPr>
      <w:tabs>
        <w:tab w:val="right" w:leader="dot" w:pos="8505"/>
      </w:tabs>
      <w:spacing w:before="240"/>
      <w:ind w:left="680" w:right="424" w:hanging="680"/>
      <w:jc w:val="left"/>
    </w:pPr>
    <w:rPr>
      <w:b/>
      <w:noProof/>
    </w:rPr>
  </w:style>
  <w:style w:type="paragraph" w:styleId="Verzeichnis2">
    <w:name w:val="toc 2"/>
    <w:basedOn w:val="Verzeichnis1"/>
    <w:next w:val="Standard"/>
    <w:autoRedefine/>
    <w:uiPriority w:val="39"/>
    <w:qFormat/>
    <w:pPr>
      <w:tabs>
        <w:tab w:val="left" w:pos="680"/>
      </w:tabs>
      <w:spacing w:before="120"/>
    </w:pPr>
    <w:rPr>
      <w:b w:val="0"/>
    </w:rPr>
  </w:style>
  <w:style w:type="paragraph" w:styleId="Verzeichnis3">
    <w:name w:val="toc 3"/>
    <w:basedOn w:val="Verzeichnis2"/>
    <w:next w:val="Standard"/>
    <w:autoRedefine/>
    <w:uiPriority w:val="39"/>
    <w:qFormat/>
    <w:pPr>
      <w:tabs>
        <w:tab w:val="left" w:pos="1004"/>
      </w:tabs>
      <w:spacing w:before="60"/>
    </w:pPr>
  </w:style>
  <w:style w:type="paragraph" w:styleId="Umschlagabsenderadresse">
    <w:name w:val="envelope return"/>
    <w:basedOn w:val="Standard"/>
    <w:semiHidden/>
  </w:style>
  <w:style w:type="paragraph" w:styleId="Beschriftung">
    <w:name w:val="caption"/>
    <w:basedOn w:val="Standard"/>
    <w:next w:val="Standardeinzug"/>
    <w:qFormat/>
    <w:rsid w:val="0055156D"/>
    <w:pPr>
      <w:spacing w:before="0"/>
      <w:ind w:left="1985" w:hanging="1276"/>
      <w:jc w:val="left"/>
    </w:pPr>
    <w:rPr>
      <w:sz w:val="20"/>
    </w:rPr>
  </w:style>
  <w:style w:type="character" w:styleId="Funotenzeichen">
    <w:name w:val="footnote reference"/>
    <w:semiHidden/>
    <w:rsid w:val="00DD3447"/>
    <w:rPr>
      <w:szCs w:val="24"/>
      <w:vertAlign w:val="superscript"/>
    </w:rPr>
  </w:style>
  <w:style w:type="paragraph" w:styleId="Sprechblasentext">
    <w:name w:val="Balloon Text"/>
    <w:basedOn w:val="Standard"/>
    <w:link w:val="SprechblasentextZchn"/>
    <w:uiPriority w:val="99"/>
    <w:semiHidden/>
    <w:unhideWhenUsed/>
    <w:rsid w:val="006E7126"/>
    <w:pPr>
      <w:spacing w:before="0"/>
    </w:pPr>
    <w:rPr>
      <w:rFonts w:ascii="Tahoma" w:hAnsi="Tahoma" w:cs="Tahoma"/>
      <w:sz w:val="16"/>
      <w:szCs w:val="16"/>
    </w:rPr>
  </w:style>
  <w:style w:type="paragraph" w:customStyle="1" w:styleId="Computerprogramm">
    <w:name w:val="Computerprogramm"/>
    <w:basedOn w:val="Standard"/>
    <w:rsid w:val="0000223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contextualSpacing/>
      <w:jc w:val="left"/>
    </w:pPr>
    <w:rPr>
      <w:noProof/>
      <w:sz w:val="20"/>
    </w:rPr>
  </w:style>
  <w:style w:type="character" w:customStyle="1" w:styleId="SprechblasentextZchn">
    <w:name w:val="Sprechblasentext Zchn"/>
    <w:basedOn w:val="Absatz-Standardschriftart"/>
    <w:link w:val="Sprechblasentext"/>
    <w:uiPriority w:val="99"/>
    <w:semiHidden/>
    <w:rsid w:val="006E7126"/>
    <w:rPr>
      <w:rFonts w:ascii="Tahoma" w:hAnsi="Tahoma" w:cs="Tahoma"/>
      <w:sz w:val="16"/>
      <w:szCs w:val="16"/>
    </w:rPr>
  </w:style>
  <w:style w:type="paragraph" w:styleId="Literaturverzeichnis">
    <w:name w:val="Bibliography"/>
    <w:basedOn w:val="Standard"/>
    <w:autoRedefine/>
    <w:qFormat/>
    <w:rsid w:val="00002230"/>
    <w:pPr>
      <w:jc w:val="left"/>
    </w:pPr>
  </w:style>
  <w:style w:type="paragraph" w:styleId="Funotentext">
    <w:name w:val="footnote text"/>
    <w:basedOn w:val="Standard"/>
    <w:semiHidden/>
    <w:qFormat/>
    <w:rsid w:val="001E1F96"/>
    <w:pPr>
      <w:tabs>
        <w:tab w:val="left" w:pos="142"/>
      </w:tabs>
      <w:spacing w:before="60"/>
      <w:ind w:left="108" w:hanging="108"/>
      <w:jc w:val="left"/>
    </w:pPr>
    <w:rPr>
      <w:sz w:val="14"/>
    </w:rPr>
  </w:style>
  <w:style w:type="paragraph" w:styleId="Kopfzeile">
    <w:name w:val="header"/>
    <w:basedOn w:val="Standard"/>
    <w:semiHidden/>
    <w:pPr>
      <w:pBdr>
        <w:bottom w:val="single" w:sz="4" w:space="1" w:color="auto"/>
      </w:pBdr>
      <w:tabs>
        <w:tab w:val="right" w:pos="7938"/>
      </w:tabs>
    </w:pPr>
    <w:rPr>
      <w:sz w:val="20"/>
    </w:rPr>
  </w:style>
  <w:style w:type="paragraph" w:styleId="Abbildungsverzeichnis">
    <w:name w:val="table of figures"/>
    <w:basedOn w:val="Verzeichnis3"/>
    <w:next w:val="Standard"/>
    <w:autoRedefine/>
    <w:uiPriority w:val="99"/>
    <w:rsid w:val="00A613A1"/>
    <w:pPr>
      <w:tabs>
        <w:tab w:val="clear" w:pos="680"/>
        <w:tab w:val="clear" w:pos="1004"/>
        <w:tab w:val="clear" w:pos="8505"/>
        <w:tab w:val="right" w:leader="dot" w:pos="9072"/>
      </w:tabs>
      <w:ind w:left="709" w:hanging="709"/>
    </w:pPr>
  </w:style>
  <w:style w:type="paragraph" w:styleId="Aufzhlungszeichen2">
    <w:name w:val="List Bullet 2"/>
    <w:basedOn w:val="Listenabsatz"/>
    <w:next w:val="Standardeinzug"/>
    <w:qFormat/>
    <w:rsid w:val="0055156D"/>
    <w:pPr>
      <w:numPr>
        <w:numId w:val="11"/>
      </w:numPr>
      <w:spacing w:before="60" w:after="60"/>
      <w:ind w:left="1134" w:hanging="420"/>
      <w:contextualSpacing w:val="0"/>
    </w:pPr>
  </w:style>
  <w:style w:type="paragraph" w:customStyle="1" w:styleId="Abbildung">
    <w:name w:val="Abbildung"/>
    <w:basedOn w:val="Standard"/>
    <w:next w:val="Beschriftung"/>
    <w:qFormat/>
    <w:rsid w:val="00CB24C7"/>
    <w:pPr>
      <w:keepNext/>
      <w:ind w:left="709"/>
      <w:jc w:val="center"/>
    </w:pPr>
  </w:style>
  <w:style w:type="paragraph" w:styleId="Fuzeile">
    <w:name w:val="footer"/>
    <w:basedOn w:val="Standard"/>
    <w:link w:val="FuzeileZchn"/>
    <w:uiPriority w:val="99"/>
    <w:pPr>
      <w:tabs>
        <w:tab w:val="center" w:pos="4536"/>
        <w:tab w:val="right" w:pos="9072"/>
      </w:tabs>
    </w:pPr>
  </w:style>
  <w:style w:type="paragraph" w:styleId="Aufzhlungszeichen">
    <w:name w:val="List Bullet"/>
    <w:basedOn w:val="Listenabsatz"/>
    <w:next w:val="Standardeinzug"/>
    <w:qFormat/>
    <w:rsid w:val="0055156D"/>
    <w:pPr>
      <w:numPr>
        <w:numId w:val="10"/>
      </w:numPr>
      <w:spacing w:before="60" w:after="60"/>
      <w:ind w:left="1134" w:hanging="420"/>
      <w:contextualSpacing w:val="0"/>
    </w:pPr>
  </w:style>
  <w:style w:type="paragraph" w:styleId="Zitat">
    <w:name w:val="Quote"/>
    <w:basedOn w:val="Standard"/>
    <w:qFormat/>
    <w:rsid w:val="005473EF"/>
    <w:pPr>
      <w:spacing w:before="0"/>
    </w:pPr>
    <w:rPr>
      <w:i/>
      <w:sz w:val="20"/>
    </w:rPr>
  </w:style>
  <w:style w:type="paragraph" w:styleId="Anrede">
    <w:name w:val="Salutation"/>
    <w:basedOn w:val="Standard"/>
    <w:next w:val="Standard"/>
    <w:semiHidden/>
  </w:style>
  <w:style w:type="paragraph" w:styleId="Blocktext">
    <w:name w:val="Block Text"/>
    <w:basedOn w:val="Standard"/>
    <w:semiHidden/>
    <w:pPr>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emiHidden/>
  </w:style>
  <w:style w:type="paragraph" w:styleId="Gruformel">
    <w:name w:val="Closing"/>
    <w:basedOn w:val="Standard"/>
    <w:semiHidden/>
    <w:pPr>
      <w:ind w:left="4252"/>
    </w:pPr>
  </w:style>
  <w:style w:type="paragraph" w:styleId="Index1">
    <w:name w:val="index 1"/>
    <w:basedOn w:val="Standard"/>
    <w:next w:val="Standard"/>
    <w:autoRedefine/>
    <w:uiPriority w:val="99"/>
    <w:semiHidden/>
    <w:pPr>
      <w:tabs>
        <w:tab w:val="right" w:leader="dot" w:pos="3598"/>
      </w:tabs>
      <w:ind w:left="198" w:hanging="198"/>
    </w:pPr>
    <w:rPr>
      <w:noProof/>
    </w:rPr>
  </w:style>
  <w:style w:type="paragraph" w:styleId="Index2">
    <w:name w:val="index 2"/>
    <w:basedOn w:val="Standard"/>
    <w:next w:val="Standard"/>
    <w:autoRedefine/>
    <w:semiHidden/>
    <w:pPr>
      <w:ind w:left="396" w:hanging="198"/>
    </w:pPr>
  </w:style>
  <w:style w:type="paragraph" w:styleId="Index3">
    <w:name w:val="index 3"/>
    <w:basedOn w:val="Standard"/>
    <w:next w:val="Standard"/>
    <w:autoRedefine/>
    <w:semiHidden/>
    <w:pPr>
      <w:ind w:left="601" w:hanging="198"/>
    </w:pPr>
  </w:style>
  <w:style w:type="paragraph" w:styleId="Index4">
    <w:name w:val="index 4"/>
    <w:basedOn w:val="Standard"/>
    <w:next w:val="Standard"/>
    <w:autoRedefine/>
    <w:semiHidden/>
    <w:pPr>
      <w:ind w:left="799" w:hanging="198"/>
    </w:pPr>
  </w:style>
  <w:style w:type="paragraph" w:styleId="Index5">
    <w:name w:val="index 5"/>
    <w:basedOn w:val="Standard"/>
    <w:next w:val="Standard"/>
    <w:autoRedefine/>
    <w:semiHidden/>
    <w:pPr>
      <w:ind w:left="997" w:hanging="198"/>
    </w:pPr>
  </w:style>
  <w:style w:type="paragraph" w:styleId="Index6">
    <w:name w:val="index 6"/>
    <w:basedOn w:val="Standard"/>
    <w:next w:val="Standard"/>
    <w:autoRedefine/>
    <w:semiHidden/>
    <w:pPr>
      <w:ind w:left="1196" w:hanging="198"/>
    </w:pPr>
  </w:style>
  <w:style w:type="paragraph" w:styleId="Index7">
    <w:name w:val="index 7"/>
    <w:basedOn w:val="Standard"/>
    <w:next w:val="Standard"/>
    <w:autoRedefine/>
    <w:semiHidden/>
    <w:pPr>
      <w:ind w:left="1400" w:hanging="198"/>
    </w:pPr>
  </w:style>
  <w:style w:type="paragraph" w:styleId="Index8">
    <w:name w:val="index 8"/>
    <w:basedOn w:val="Standard"/>
    <w:next w:val="Standard"/>
    <w:autoRedefine/>
    <w:semiHidden/>
    <w:pPr>
      <w:ind w:left="1598" w:hanging="198"/>
    </w:pPr>
  </w:style>
  <w:style w:type="paragraph" w:styleId="Index9">
    <w:name w:val="index 9"/>
    <w:basedOn w:val="Standard"/>
    <w:next w:val="Standard"/>
    <w:autoRedefine/>
    <w:semiHidden/>
    <w:pPr>
      <w:ind w:left="1797" w:hanging="198"/>
    </w:pPr>
  </w:style>
  <w:style w:type="paragraph" w:styleId="Indexberschrift">
    <w:name w:val="index heading"/>
    <w:basedOn w:val="Standard"/>
    <w:next w:val="Index1"/>
    <w:semiHidden/>
    <w:rPr>
      <w:b/>
    </w:rPr>
  </w:style>
  <w:style w:type="paragraph" w:styleId="Kommentartext">
    <w:name w:val="annotation text"/>
    <w:basedOn w:val="Standard"/>
    <w:link w:val="KommentartextZchn"/>
    <w:semiHidden/>
  </w:style>
  <w:style w:type="paragraph" w:styleId="Liste">
    <w:name w:val="List"/>
    <w:basedOn w:val="Standard"/>
    <w:semiHidden/>
    <w:pPr>
      <w:ind w:left="357" w:hanging="357"/>
    </w:pPr>
  </w:style>
  <w:style w:type="paragraph" w:styleId="Liste2">
    <w:name w:val="List 2"/>
    <w:basedOn w:val="Standard"/>
    <w:semiHidden/>
    <w:pPr>
      <w:ind w:left="714" w:hanging="357"/>
    </w:pPr>
  </w:style>
  <w:style w:type="paragraph" w:styleId="Liste3">
    <w:name w:val="List 3"/>
    <w:basedOn w:val="Standard"/>
    <w:semiHidden/>
    <w:pPr>
      <w:ind w:left="1077" w:hanging="357"/>
    </w:pPr>
  </w:style>
  <w:style w:type="paragraph" w:styleId="Liste4">
    <w:name w:val="List 4"/>
    <w:basedOn w:val="Standard"/>
    <w:semiHidden/>
    <w:pPr>
      <w:ind w:left="1434" w:hanging="357"/>
    </w:pPr>
  </w:style>
  <w:style w:type="paragraph" w:styleId="Liste5">
    <w:name w:val="List 5"/>
    <w:basedOn w:val="Standard"/>
    <w:semiHidden/>
    <w:pPr>
      <w:ind w:left="1797" w:hanging="357"/>
    </w:pPr>
  </w:style>
  <w:style w:type="paragraph" w:styleId="Listenfortsetzung">
    <w:name w:val="List Continue"/>
    <w:basedOn w:val="Standard"/>
    <w:semiHidden/>
    <w:pPr>
      <w:ind w:left="357"/>
    </w:pPr>
  </w:style>
  <w:style w:type="paragraph" w:styleId="Listenfortsetzung2">
    <w:name w:val="List Continue 2"/>
    <w:basedOn w:val="Standard"/>
    <w:semiHidden/>
    <w:pPr>
      <w:ind w:left="720"/>
    </w:pPr>
  </w:style>
  <w:style w:type="paragraph" w:styleId="Listenfortsetzung3">
    <w:name w:val="List Continue 3"/>
    <w:basedOn w:val="Standard"/>
    <w:semiHidden/>
    <w:pPr>
      <w:ind w:left="1077"/>
    </w:pPr>
  </w:style>
  <w:style w:type="paragraph" w:styleId="Listenfortsetzung4">
    <w:name w:val="List Continue 4"/>
    <w:basedOn w:val="Standard"/>
    <w:semiHidden/>
    <w:pPr>
      <w:ind w:left="1440"/>
    </w:pPr>
  </w:style>
  <w:style w:type="paragraph" w:styleId="Listenfortsetzung5">
    <w:name w:val="List Continue 5"/>
    <w:basedOn w:val="Standard"/>
    <w:semiHidden/>
    <w:pPr>
      <w:ind w:left="1797"/>
    </w:pPr>
  </w:style>
  <w:style w:type="paragraph" w:styleId="Listennummer">
    <w:name w:val="List Number"/>
    <w:basedOn w:val="Standard"/>
    <w:semiHidden/>
    <w:pPr>
      <w:numPr>
        <w:numId w:val="5"/>
      </w:numPr>
      <w:tabs>
        <w:tab w:val="clear" w:pos="360"/>
        <w:tab w:val="num" w:pos="357"/>
      </w:tabs>
      <w:ind w:left="357" w:hanging="357"/>
    </w:pPr>
  </w:style>
  <w:style w:type="paragraph" w:styleId="Listennummer2">
    <w:name w:val="List Number 2"/>
    <w:basedOn w:val="Standard"/>
    <w:semiHidden/>
    <w:pPr>
      <w:numPr>
        <w:numId w:val="6"/>
      </w:numPr>
      <w:tabs>
        <w:tab w:val="clear" w:pos="643"/>
        <w:tab w:val="num" w:pos="357"/>
      </w:tabs>
      <w:ind w:left="714" w:hanging="357"/>
    </w:pPr>
  </w:style>
  <w:style w:type="paragraph" w:styleId="Listennummer3">
    <w:name w:val="List Number 3"/>
    <w:basedOn w:val="Standard"/>
    <w:semiHidden/>
    <w:pPr>
      <w:numPr>
        <w:numId w:val="7"/>
      </w:numPr>
      <w:tabs>
        <w:tab w:val="clear" w:pos="926"/>
        <w:tab w:val="right" w:pos="1077"/>
      </w:tabs>
      <w:ind w:left="1077" w:hanging="357"/>
    </w:pPr>
  </w:style>
  <w:style w:type="paragraph" w:styleId="Listennummer4">
    <w:name w:val="List Number 4"/>
    <w:basedOn w:val="Standard"/>
    <w:semiHidden/>
    <w:pPr>
      <w:numPr>
        <w:numId w:val="8"/>
      </w:numPr>
      <w:tabs>
        <w:tab w:val="clear" w:pos="1209"/>
        <w:tab w:val="right" w:pos="1440"/>
      </w:tabs>
      <w:ind w:left="1434" w:hanging="357"/>
    </w:pPr>
  </w:style>
  <w:style w:type="paragraph" w:styleId="Listennummer5">
    <w:name w:val="List Number 5"/>
    <w:basedOn w:val="Standard"/>
    <w:semiHidden/>
    <w:pPr>
      <w:numPr>
        <w:numId w:val="9"/>
      </w:numPr>
      <w:tabs>
        <w:tab w:val="clear" w:pos="1492"/>
        <w:tab w:val="right" w:pos="1797"/>
      </w:tabs>
      <w:ind w:left="1797" w:hanging="357"/>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semiHidden/>
    <w:rPr>
      <w:rFonts w:ascii="Courier New" w:hAnsi="Courier New"/>
    </w:rPr>
  </w:style>
  <w:style w:type="paragraph" w:styleId="Standardeinzug">
    <w:name w:val="Normal Indent"/>
    <w:basedOn w:val="Standard"/>
    <w:qFormat/>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next w:val="Untertitel"/>
    <w:link w:val="TitelZchn"/>
    <w:qFormat/>
    <w:rsid w:val="00002230"/>
    <w:pPr>
      <w:suppressAutoHyphens/>
      <w:spacing w:before="0" w:line="360" w:lineRule="auto"/>
      <w:jc w:val="center"/>
    </w:pPr>
    <w:rPr>
      <w:b/>
      <w:kern w:val="28"/>
      <w:sz w:val="44"/>
    </w:rPr>
  </w:style>
  <w:style w:type="paragraph" w:styleId="Umschlagadresse">
    <w:name w:val="envelope address"/>
    <w:basedOn w:val="Standard"/>
    <w:semiHidden/>
    <w:pPr>
      <w:framePr w:w="4320" w:h="2160" w:hRule="exact" w:hSpace="141" w:wrap="auto" w:hAnchor="page" w:xAlign="center" w:yAlign="bottom"/>
      <w:ind w:left="1"/>
    </w:pPr>
  </w:style>
  <w:style w:type="paragraph" w:styleId="Unterschrift">
    <w:name w:val="Signature"/>
    <w:basedOn w:val="Standard"/>
    <w:semiHidden/>
    <w:pPr>
      <w:ind w:left="4252"/>
    </w:pPr>
  </w:style>
  <w:style w:type="paragraph" w:styleId="Untertitel">
    <w:name w:val="Subtitle"/>
    <w:basedOn w:val="Standard"/>
    <w:link w:val="UntertitelZchn"/>
    <w:qFormat/>
    <w:rsid w:val="00002230"/>
    <w:pPr>
      <w:suppressAutoHyphens/>
      <w:spacing w:before="240"/>
      <w:jc w:val="center"/>
    </w:pPr>
    <w:rPr>
      <w:sz w:val="32"/>
    </w:rPr>
  </w:style>
  <w:style w:type="paragraph" w:styleId="Verzeichnis4">
    <w:name w:val="toc 4"/>
    <w:basedOn w:val="Verzeichnis3"/>
    <w:next w:val="Standard"/>
    <w:autoRedefine/>
    <w:semiHidden/>
  </w:style>
  <w:style w:type="paragraph" w:styleId="Verzeichnis5">
    <w:name w:val="toc 5"/>
    <w:basedOn w:val="Verzeichnis4"/>
    <w:next w:val="Standard"/>
    <w:autoRedefine/>
    <w:semiHidden/>
  </w:style>
  <w:style w:type="paragraph" w:styleId="Verzeichnis6">
    <w:name w:val="toc 6"/>
    <w:basedOn w:val="Verzeichnis5"/>
    <w:next w:val="Standard"/>
    <w:autoRedefine/>
    <w:semiHidden/>
  </w:style>
  <w:style w:type="paragraph" w:styleId="Verzeichnis7">
    <w:name w:val="toc 7"/>
    <w:basedOn w:val="Verzeichnis6"/>
    <w:next w:val="Standard"/>
    <w:autoRedefine/>
    <w:semiHidden/>
  </w:style>
  <w:style w:type="paragraph" w:styleId="Verzeichnis8">
    <w:name w:val="toc 8"/>
    <w:basedOn w:val="Verzeichnis7"/>
    <w:next w:val="Standard"/>
    <w:autoRedefine/>
    <w:semiHidden/>
  </w:style>
  <w:style w:type="paragraph" w:styleId="Verzeichnis9">
    <w:name w:val="toc 9"/>
    <w:basedOn w:val="Verzeichnis8"/>
    <w:next w:val="Standard"/>
    <w:autoRedefine/>
    <w:semiHidden/>
    <w:pPr>
      <w:outlineLvl w:val="8"/>
    </w:pPr>
  </w:style>
  <w:style w:type="paragraph" w:styleId="RGV-berschrift">
    <w:name w:val="toa heading"/>
    <w:basedOn w:val="Standard"/>
    <w:next w:val="Standard"/>
    <w:semiHidden/>
    <w:rPr>
      <w:b/>
    </w:rPr>
  </w:style>
  <w:style w:type="paragraph" w:styleId="Rechtsgrundlagenverzeichnis">
    <w:name w:val="table of authorities"/>
    <w:basedOn w:val="Standard"/>
    <w:next w:val="Standard"/>
    <w:semiHidden/>
    <w:pPr>
      <w:ind w:left="200" w:hanging="200"/>
    </w:pPr>
  </w:style>
  <w:style w:type="paragraph" w:styleId="Aufzhlungszeichen4">
    <w:name w:val="List Bullet 4"/>
    <w:basedOn w:val="Standard"/>
    <w:semiHidden/>
    <w:pPr>
      <w:numPr>
        <w:numId w:val="3"/>
      </w:numPr>
      <w:tabs>
        <w:tab w:val="clear" w:pos="1209"/>
        <w:tab w:val="right" w:pos="1440"/>
      </w:tabs>
      <w:ind w:left="1434" w:hanging="357"/>
    </w:pPr>
  </w:style>
  <w:style w:type="paragraph" w:styleId="Aufzhlungszeichen5">
    <w:name w:val="List Bullet 5"/>
    <w:basedOn w:val="Standard"/>
    <w:semiHidden/>
    <w:pPr>
      <w:numPr>
        <w:numId w:val="4"/>
      </w:numPr>
      <w:tabs>
        <w:tab w:val="clear" w:pos="1492"/>
        <w:tab w:val="num" w:pos="1786"/>
      </w:tabs>
      <w:ind w:left="1797" w:hanging="357"/>
    </w:pPr>
  </w:style>
  <w:style w:type="paragraph" w:styleId="Aufzhlungszeichen3">
    <w:name w:val="List Bullet 3"/>
    <w:basedOn w:val="Standard"/>
    <w:semiHidden/>
    <w:qFormat/>
    <w:pPr>
      <w:numPr>
        <w:numId w:val="2"/>
      </w:numPr>
      <w:tabs>
        <w:tab w:val="clear" w:pos="926"/>
        <w:tab w:val="left" w:pos="1077"/>
      </w:tabs>
      <w:ind w:left="1077" w:hanging="357"/>
    </w:pPr>
  </w:style>
  <w:style w:type="paragraph" w:customStyle="1" w:styleId="Tabellenberschrift">
    <w:name w:val="Tabellenüberschrift"/>
    <w:basedOn w:val="Beschriftung"/>
    <w:next w:val="Standardeinzug"/>
    <w:qFormat/>
    <w:rsid w:val="007E0249"/>
    <w:pPr>
      <w:keepNext/>
      <w:spacing w:before="120" w:after="120"/>
      <w:ind w:left="1701" w:hanging="992"/>
    </w:pPr>
  </w:style>
  <w:style w:type="character" w:customStyle="1" w:styleId="UntertitelZchn">
    <w:name w:val="Untertitel Zchn"/>
    <w:link w:val="Untertitel"/>
    <w:rsid w:val="00002230"/>
    <w:rPr>
      <w:rFonts w:ascii="Century Gothic" w:hAnsi="Century Gothic"/>
      <w:sz w:val="32"/>
    </w:rPr>
  </w:style>
  <w:style w:type="character" w:customStyle="1" w:styleId="TitelZchn">
    <w:name w:val="Titel Zchn"/>
    <w:basedOn w:val="Absatz-Standardschriftart"/>
    <w:link w:val="Titel"/>
    <w:rsid w:val="00002230"/>
    <w:rPr>
      <w:rFonts w:ascii="Century Gothic" w:hAnsi="Century Gothic"/>
      <w:b/>
      <w:kern w:val="28"/>
      <w:sz w:val="44"/>
    </w:rPr>
  </w:style>
  <w:style w:type="paragraph" w:styleId="Inhaltsverzeichnisberschrift">
    <w:name w:val="TOC Heading"/>
    <w:basedOn w:val="berschrift1"/>
    <w:next w:val="Standard"/>
    <w:uiPriority w:val="39"/>
    <w:semiHidden/>
    <w:unhideWhenUsed/>
    <w:qFormat/>
    <w:rsid w:val="00E57793"/>
    <w:pPr>
      <w:keepLines/>
      <w:pageBreakBefore w:val="0"/>
      <w:numPr>
        <w:numId w:val="0"/>
      </w:numPr>
      <w:tabs>
        <w:tab w:val="num" w:pos="1105"/>
      </w:tabs>
      <w:suppressAutoHyphens w:val="0"/>
      <w:spacing w:before="480" w:line="276" w:lineRule="auto"/>
      <w:outlineLvl w:val="9"/>
    </w:pPr>
    <w:rPr>
      <w:rFonts w:asciiTheme="majorHAnsi" w:eastAsiaTheme="majorEastAsia" w:hAnsiTheme="majorHAnsi" w:cstheme="majorBidi"/>
      <w:bCs/>
      <w:color w:val="365F91" w:themeColor="accent1" w:themeShade="BF"/>
      <w:kern w:val="0"/>
      <w:sz w:val="28"/>
      <w:szCs w:val="28"/>
    </w:rPr>
  </w:style>
  <w:style w:type="table" w:styleId="Tabellenraster">
    <w:name w:val="Table Grid"/>
    <w:basedOn w:val="NormaleTabelle"/>
    <w:uiPriority w:val="59"/>
    <w:rsid w:val="00E57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2A064F"/>
    <w:rPr>
      <w:sz w:val="24"/>
    </w:rPr>
  </w:style>
  <w:style w:type="paragraph" w:styleId="Listenabsatz">
    <w:name w:val="List Paragraph"/>
    <w:basedOn w:val="Standard"/>
    <w:uiPriority w:val="34"/>
    <w:rsid w:val="00E61BCD"/>
    <w:pPr>
      <w:ind w:left="720"/>
      <w:contextualSpacing/>
    </w:pPr>
  </w:style>
  <w:style w:type="numbering" w:customStyle="1" w:styleId="Listen1">
    <w:name w:val="Listen1"/>
    <w:basedOn w:val="KeineListe"/>
    <w:uiPriority w:val="99"/>
    <w:rsid w:val="00B15817"/>
    <w:pPr>
      <w:numPr>
        <w:numId w:val="12"/>
      </w:numPr>
    </w:pPr>
  </w:style>
  <w:style w:type="character" w:styleId="Hervorhebung">
    <w:name w:val="Emphasis"/>
    <w:basedOn w:val="Absatz-Standardschriftart"/>
    <w:uiPriority w:val="20"/>
    <w:rsid w:val="00B15817"/>
    <w:rPr>
      <w:i w:val="0"/>
      <w:iCs/>
      <w:color w:val="FF0000"/>
    </w:rPr>
  </w:style>
  <w:style w:type="character" w:styleId="SchwacheHervorhebung">
    <w:name w:val="Subtle Emphasis"/>
    <w:basedOn w:val="Absatz-Standardschriftart"/>
    <w:uiPriority w:val="19"/>
    <w:rsid w:val="00B15817"/>
    <w:rPr>
      <w:b/>
      <w:i w:val="0"/>
      <w:iCs/>
      <w:color w:val="FF0000"/>
    </w:rPr>
  </w:style>
  <w:style w:type="character" w:customStyle="1" w:styleId="HervorhebungROT">
    <w:name w:val="Hervorhebung ROT"/>
    <w:uiPriority w:val="1"/>
    <w:qFormat/>
    <w:rsid w:val="001E1F96"/>
    <w:rPr>
      <w:rFonts w:ascii="Century Gothic" w:hAnsi="Century Gothic"/>
      <w:b/>
      <w:color w:val="FF0000"/>
      <w:sz w:val="22"/>
    </w:rPr>
  </w:style>
  <w:style w:type="character" w:customStyle="1" w:styleId="HervorhebungBLAU">
    <w:name w:val="Hervorhebung BLAU"/>
    <w:basedOn w:val="Absatz-Standardschriftart"/>
    <w:uiPriority w:val="1"/>
    <w:qFormat/>
    <w:rsid w:val="001E1F96"/>
    <w:rPr>
      <w:rFonts w:ascii="Century Gothic" w:hAnsi="Century Gothic"/>
      <w:b/>
      <w:color w:val="00B0F0"/>
      <w:sz w:val="22"/>
      <w:u w:val="none"/>
    </w:rPr>
  </w:style>
  <w:style w:type="character" w:customStyle="1" w:styleId="HervorhebenSCHWARZ">
    <w:name w:val="Hervorheben SCHWARZ"/>
    <w:basedOn w:val="Absatz-Standardschriftart"/>
    <w:uiPriority w:val="1"/>
    <w:qFormat/>
    <w:rsid w:val="001E1F96"/>
    <w:rPr>
      <w:rFonts w:ascii="Century Gothic" w:hAnsi="Century Gothic"/>
      <w:b/>
      <w:color w:val="auto"/>
      <w:sz w:val="20"/>
      <w:u w:val="none"/>
    </w:rPr>
  </w:style>
  <w:style w:type="character" w:customStyle="1" w:styleId="KommentartextZchn">
    <w:name w:val="Kommentartext Zchn"/>
    <w:basedOn w:val="Absatz-Standardschriftart"/>
    <w:link w:val="Kommentartext"/>
    <w:semiHidden/>
    <w:rsid w:val="009075A9"/>
    <w:rPr>
      <w:rFonts w:ascii="Futura-Book" w:hAnsi="Futura-Book"/>
      <w:sz w:val="24"/>
    </w:rPr>
  </w:style>
  <w:style w:type="paragraph" w:customStyle="1" w:styleId="Text">
    <w:name w:val="Text"/>
    <w:basedOn w:val="Standard"/>
    <w:rsid w:val="000503CF"/>
    <w:pPr>
      <w:spacing w:before="0" w:after="60"/>
      <w:jc w:val="left"/>
    </w:pPr>
    <w:rPr>
      <w:rFonts w:ascii="Arial" w:hAnsi="Arial"/>
    </w:rPr>
  </w:style>
  <w:style w:type="paragraph" w:customStyle="1" w:styleId="TabBeschr">
    <w:name w:val="Tab_Beschr"/>
    <w:basedOn w:val="Standard"/>
    <w:rsid w:val="000503CF"/>
    <w:pPr>
      <w:spacing w:before="0"/>
      <w:jc w:val="left"/>
    </w:pPr>
    <w:rPr>
      <w:rFonts w:ascii="Arial" w:hAnsi="Arial"/>
      <w:b/>
      <w:sz w:val="20"/>
    </w:rPr>
  </w:style>
  <w:style w:type="paragraph" w:customStyle="1" w:styleId="Abstand">
    <w:name w:val="Abstand"/>
    <w:basedOn w:val="Standard"/>
    <w:rsid w:val="000503CF"/>
    <w:pPr>
      <w:spacing w:before="0"/>
      <w:jc w:val="left"/>
    </w:pPr>
    <w:rPr>
      <w:rFonts w:ascii="Arial" w:hAnsi="Arial"/>
      <w:sz w:val="16"/>
    </w:rPr>
  </w:style>
  <w:style w:type="paragraph" w:customStyle="1" w:styleId="Hinweisausgeblendet">
    <w:name w:val="Hinweis ausgeblendet"/>
    <w:basedOn w:val="Standard"/>
    <w:link w:val="HinweisausgeblendetZchn"/>
    <w:qFormat/>
    <w:rsid w:val="000503CF"/>
    <w:pPr>
      <w:spacing w:before="60"/>
      <w:jc w:val="left"/>
    </w:pPr>
    <w:rPr>
      <w:rFonts w:ascii="Arial" w:hAnsi="Arial" w:cs="Arial"/>
      <w:i/>
      <w:iCs/>
      <w:vanish/>
      <w:color w:val="0070C0"/>
    </w:rPr>
  </w:style>
  <w:style w:type="character" w:customStyle="1" w:styleId="HinweisausgeblendetZchn">
    <w:name w:val="Hinweis ausgeblendet Zchn"/>
    <w:link w:val="Hinweisausgeblendet"/>
    <w:rsid w:val="000503CF"/>
    <w:rPr>
      <w:rFonts w:ascii="Arial" w:hAnsi="Arial" w:cs="Arial"/>
      <w:i/>
      <w:iCs/>
      <w:vanish/>
      <w:color w:val="0070C0"/>
      <w:sz w:val="22"/>
    </w:rPr>
  </w:style>
  <w:style w:type="numbering" w:customStyle="1" w:styleId="Aufzhlungszeichena">
    <w:name w:val="Aufzählungszeichen a"/>
    <w:uiPriority w:val="99"/>
    <w:rsid w:val="00DB7B99"/>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03157">
      <w:bodyDiv w:val="1"/>
      <w:marLeft w:val="0"/>
      <w:marRight w:val="0"/>
      <w:marTop w:val="0"/>
      <w:marBottom w:val="0"/>
      <w:divBdr>
        <w:top w:val="none" w:sz="0" w:space="0" w:color="auto"/>
        <w:left w:val="none" w:sz="0" w:space="0" w:color="auto"/>
        <w:bottom w:val="none" w:sz="0" w:space="0" w:color="auto"/>
        <w:right w:val="none" w:sz="0" w:space="0" w:color="auto"/>
      </w:divBdr>
      <w:divsChild>
        <w:div w:id="1522670884">
          <w:marLeft w:val="0"/>
          <w:marRight w:val="0"/>
          <w:marTop w:val="0"/>
          <w:marBottom w:val="0"/>
          <w:divBdr>
            <w:top w:val="none" w:sz="0" w:space="0" w:color="auto"/>
            <w:left w:val="none" w:sz="0" w:space="0" w:color="auto"/>
            <w:bottom w:val="none" w:sz="0" w:space="0" w:color="auto"/>
            <w:right w:val="none" w:sz="0" w:space="0" w:color="auto"/>
          </w:divBdr>
          <w:divsChild>
            <w:div w:id="259920095">
              <w:marLeft w:val="0"/>
              <w:marRight w:val="0"/>
              <w:marTop w:val="0"/>
              <w:marBottom w:val="0"/>
              <w:divBdr>
                <w:top w:val="none" w:sz="0" w:space="0" w:color="auto"/>
                <w:left w:val="none" w:sz="0" w:space="0" w:color="auto"/>
                <w:bottom w:val="none" w:sz="0" w:space="0" w:color="auto"/>
                <w:right w:val="none" w:sz="0" w:space="0" w:color="auto"/>
              </w:divBdr>
              <w:divsChild>
                <w:div w:id="896477864">
                  <w:marLeft w:val="0"/>
                  <w:marRight w:val="0"/>
                  <w:marTop w:val="195"/>
                  <w:marBottom w:val="0"/>
                  <w:divBdr>
                    <w:top w:val="none" w:sz="0" w:space="0" w:color="auto"/>
                    <w:left w:val="none" w:sz="0" w:space="0" w:color="auto"/>
                    <w:bottom w:val="none" w:sz="0" w:space="0" w:color="auto"/>
                    <w:right w:val="none" w:sz="0" w:space="0" w:color="auto"/>
                  </w:divBdr>
                  <w:divsChild>
                    <w:div w:id="615259703">
                      <w:marLeft w:val="0"/>
                      <w:marRight w:val="0"/>
                      <w:marTop w:val="0"/>
                      <w:marBottom w:val="0"/>
                      <w:divBdr>
                        <w:top w:val="none" w:sz="0" w:space="0" w:color="auto"/>
                        <w:left w:val="none" w:sz="0" w:space="0" w:color="auto"/>
                        <w:bottom w:val="none" w:sz="0" w:space="0" w:color="auto"/>
                        <w:right w:val="none" w:sz="0" w:space="0" w:color="auto"/>
                      </w:divBdr>
                      <w:divsChild>
                        <w:div w:id="1830826405">
                          <w:marLeft w:val="0"/>
                          <w:marRight w:val="0"/>
                          <w:marTop w:val="0"/>
                          <w:marBottom w:val="0"/>
                          <w:divBdr>
                            <w:top w:val="none" w:sz="0" w:space="0" w:color="auto"/>
                            <w:left w:val="none" w:sz="0" w:space="0" w:color="auto"/>
                            <w:bottom w:val="none" w:sz="0" w:space="0" w:color="auto"/>
                            <w:right w:val="none" w:sz="0" w:space="0" w:color="auto"/>
                          </w:divBdr>
                          <w:divsChild>
                            <w:div w:id="236939661">
                              <w:marLeft w:val="0"/>
                              <w:marRight w:val="0"/>
                              <w:marTop w:val="0"/>
                              <w:marBottom w:val="0"/>
                              <w:divBdr>
                                <w:top w:val="none" w:sz="0" w:space="0" w:color="auto"/>
                                <w:left w:val="none" w:sz="0" w:space="0" w:color="auto"/>
                                <w:bottom w:val="none" w:sz="0" w:space="0" w:color="auto"/>
                                <w:right w:val="none" w:sz="0" w:space="0" w:color="auto"/>
                              </w:divBdr>
                              <w:divsChild>
                                <w:div w:id="1527407363">
                                  <w:marLeft w:val="0"/>
                                  <w:marRight w:val="0"/>
                                  <w:marTop w:val="0"/>
                                  <w:marBottom w:val="0"/>
                                  <w:divBdr>
                                    <w:top w:val="none" w:sz="0" w:space="0" w:color="auto"/>
                                    <w:left w:val="none" w:sz="0" w:space="0" w:color="auto"/>
                                    <w:bottom w:val="none" w:sz="0" w:space="0" w:color="auto"/>
                                    <w:right w:val="none" w:sz="0" w:space="0" w:color="auto"/>
                                  </w:divBdr>
                                  <w:divsChild>
                                    <w:div w:id="643700326">
                                      <w:marLeft w:val="0"/>
                                      <w:marRight w:val="0"/>
                                      <w:marTop w:val="0"/>
                                      <w:marBottom w:val="0"/>
                                      <w:divBdr>
                                        <w:top w:val="none" w:sz="0" w:space="0" w:color="auto"/>
                                        <w:left w:val="none" w:sz="0" w:space="0" w:color="auto"/>
                                        <w:bottom w:val="none" w:sz="0" w:space="0" w:color="auto"/>
                                        <w:right w:val="none" w:sz="0" w:space="0" w:color="auto"/>
                                      </w:divBdr>
                                      <w:divsChild>
                                        <w:div w:id="75135529">
                                          <w:marLeft w:val="0"/>
                                          <w:marRight w:val="0"/>
                                          <w:marTop w:val="0"/>
                                          <w:marBottom w:val="0"/>
                                          <w:divBdr>
                                            <w:top w:val="none" w:sz="0" w:space="0" w:color="auto"/>
                                            <w:left w:val="none" w:sz="0" w:space="0" w:color="auto"/>
                                            <w:bottom w:val="none" w:sz="0" w:space="0" w:color="auto"/>
                                            <w:right w:val="none" w:sz="0" w:space="0" w:color="auto"/>
                                          </w:divBdr>
                                          <w:divsChild>
                                            <w:div w:id="230505977">
                                              <w:marLeft w:val="0"/>
                                              <w:marRight w:val="0"/>
                                              <w:marTop w:val="0"/>
                                              <w:marBottom w:val="180"/>
                                              <w:divBdr>
                                                <w:top w:val="none" w:sz="0" w:space="0" w:color="auto"/>
                                                <w:left w:val="none" w:sz="0" w:space="0" w:color="auto"/>
                                                <w:bottom w:val="none" w:sz="0" w:space="0" w:color="auto"/>
                                                <w:right w:val="none" w:sz="0" w:space="0" w:color="auto"/>
                                              </w:divBdr>
                                              <w:divsChild>
                                                <w:div w:id="1751853162">
                                                  <w:marLeft w:val="0"/>
                                                  <w:marRight w:val="0"/>
                                                  <w:marTop w:val="0"/>
                                                  <w:marBottom w:val="0"/>
                                                  <w:divBdr>
                                                    <w:top w:val="none" w:sz="0" w:space="0" w:color="auto"/>
                                                    <w:left w:val="none" w:sz="0" w:space="0" w:color="auto"/>
                                                    <w:bottom w:val="none" w:sz="0" w:space="0" w:color="auto"/>
                                                    <w:right w:val="none" w:sz="0" w:space="0" w:color="auto"/>
                                                  </w:divBdr>
                                                  <w:divsChild>
                                                    <w:div w:id="377436283">
                                                      <w:marLeft w:val="0"/>
                                                      <w:marRight w:val="0"/>
                                                      <w:marTop w:val="0"/>
                                                      <w:marBottom w:val="0"/>
                                                      <w:divBdr>
                                                        <w:top w:val="none" w:sz="0" w:space="0" w:color="auto"/>
                                                        <w:left w:val="none" w:sz="0" w:space="0" w:color="auto"/>
                                                        <w:bottom w:val="none" w:sz="0" w:space="0" w:color="auto"/>
                                                        <w:right w:val="none" w:sz="0" w:space="0" w:color="auto"/>
                                                      </w:divBdr>
                                                      <w:divsChild>
                                                        <w:div w:id="469782924">
                                                          <w:marLeft w:val="0"/>
                                                          <w:marRight w:val="0"/>
                                                          <w:marTop w:val="0"/>
                                                          <w:marBottom w:val="0"/>
                                                          <w:divBdr>
                                                            <w:top w:val="none" w:sz="0" w:space="0" w:color="auto"/>
                                                            <w:left w:val="none" w:sz="0" w:space="0" w:color="auto"/>
                                                            <w:bottom w:val="none" w:sz="0" w:space="0" w:color="auto"/>
                                                            <w:right w:val="none" w:sz="0" w:space="0" w:color="auto"/>
                                                          </w:divBdr>
                                                          <w:divsChild>
                                                            <w:div w:id="1169517176">
                                                              <w:marLeft w:val="0"/>
                                                              <w:marRight w:val="0"/>
                                                              <w:marTop w:val="0"/>
                                                              <w:marBottom w:val="0"/>
                                                              <w:divBdr>
                                                                <w:top w:val="none" w:sz="0" w:space="0" w:color="auto"/>
                                                                <w:left w:val="none" w:sz="0" w:space="0" w:color="auto"/>
                                                                <w:bottom w:val="none" w:sz="0" w:space="0" w:color="auto"/>
                                                                <w:right w:val="none" w:sz="0" w:space="0" w:color="auto"/>
                                                              </w:divBdr>
                                                              <w:divsChild>
                                                                <w:div w:id="1702898392">
                                                                  <w:marLeft w:val="0"/>
                                                                  <w:marRight w:val="0"/>
                                                                  <w:marTop w:val="0"/>
                                                                  <w:marBottom w:val="0"/>
                                                                  <w:divBdr>
                                                                    <w:top w:val="none" w:sz="0" w:space="0" w:color="auto"/>
                                                                    <w:left w:val="none" w:sz="0" w:space="0" w:color="auto"/>
                                                                    <w:bottom w:val="none" w:sz="0" w:space="0" w:color="auto"/>
                                                                    <w:right w:val="none" w:sz="0" w:space="0" w:color="auto"/>
                                                                  </w:divBdr>
                                                                  <w:divsChild>
                                                                    <w:div w:id="1034497787">
                                                                      <w:marLeft w:val="0"/>
                                                                      <w:marRight w:val="0"/>
                                                                      <w:marTop w:val="0"/>
                                                                      <w:marBottom w:val="0"/>
                                                                      <w:divBdr>
                                                                        <w:top w:val="none" w:sz="0" w:space="0" w:color="auto"/>
                                                                        <w:left w:val="none" w:sz="0" w:space="0" w:color="auto"/>
                                                                        <w:bottom w:val="none" w:sz="0" w:space="0" w:color="auto"/>
                                                                        <w:right w:val="none" w:sz="0" w:space="0" w:color="auto"/>
                                                                      </w:divBdr>
                                                                      <w:divsChild>
                                                                        <w:div w:id="12147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992228">
      <w:bodyDiv w:val="1"/>
      <w:marLeft w:val="0"/>
      <w:marRight w:val="0"/>
      <w:marTop w:val="0"/>
      <w:marBottom w:val="0"/>
      <w:divBdr>
        <w:top w:val="none" w:sz="0" w:space="0" w:color="auto"/>
        <w:left w:val="none" w:sz="0" w:space="0" w:color="auto"/>
        <w:bottom w:val="none" w:sz="0" w:space="0" w:color="auto"/>
        <w:right w:val="none" w:sz="0" w:space="0" w:color="auto"/>
      </w:divBdr>
      <w:divsChild>
        <w:div w:id="1606762621">
          <w:marLeft w:val="0"/>
          <w:marRight w:val="0"/>
          <w:marTop w:val="0"/>
          <w:marBottom w:val="0"/>
          <w:divBdr>
            <w:top w:val="none" w:sz="0" w:space="0" w:color="auto"/>
            <w:left w:val="none" w:sz="0" w:space="0" w:color="auto"/>
            <w:bottom w:val="none" w:sz="0" w:space="0" w:color="auto"/>
            <w:right w:val="none" w:sz="0" w:space="0" w:color="auto"/>
          </w:divBdr>
          <w:divsChild>
            <w:div w:id="630328086">
              <w:marLeft w:val="0"/>
              <w:marRight w:val="0"/>
              <w:marTop w:val="0"/>
              <w:marBottom w:val="0"/>
              <w:divBdr>
                <w:top w:val="none" w:sz="0" w:space="0" w:color="auto"/>
                <w:left w:val="none" w:sz="0" w:space="0" w:color="auto"/>
                <w:bottom w:val="none" w:sz="0" w:space="0" w:color="auto"/>
                <w:right w:val="none" w:sz="0" w:space="0" w:color="auto"/>
              </w:divBdr>
            </w:div>
            <w:div w:id="1314020574">
              <w:marLeft w:val="0"/>
              <w:marRight w:val="0"/>
              <w:marTop w:val="0"/>
              <w:marBottom w:val="0"/>
              <w:divBdr>
                <w:top w:val="none" w:sz="0" w:space="0" w:color="auto"/>
                <w:left w:val="none" w:sz="0" w:space="0" w:color="auto"/>
                <w:bottom w:val="none" w:sz="0" w:space="0" w:color="auto"/>
                <w:right w:val="none" w:sz="0" w:space="0" w:color="auto"/>
              </w:divBdr>
            </w:div>
            <w:div w:id="1464033264">
              <w:marLeft w:val="0"/>
              <w:marRight w:val="0"/>
              <w:marTop w:val="0"/>
              <w:marBottom w:val="0"/>
              <w:divBdr>
                <w:top w:val="none" w:sz="0" w:space="0" w:color="auto"/>
                <w:left w:val="none" w:sz="0" w:space="0" w:color="auto"/>
                <w:bottom w:val="none" w:sz="0" w:space="0" w:color="auto"/>
                <w:right w:val="none" w:sz="0" w:space="0" w:color="auto"/>
              </w:divBdr>
            </w:div>
            <w:div w:id="515537517">
              <w:marLeft w:val="0"/>
              <w:marRight w:val="0"/>
              <w:marTop w:val="0"/>
              <w:marBottom w:val="0"/>
              <w:divBdr>
                <w:top w:val="none" w:sz="0" w:space="0" w:color="auto"/>
                <w:left w:val="none" w:sz="0" w:space="0" w:color="auto"/>
                <w:bottom w:val="none" w:sz="0" w:space="0" w:color="auto"/>
                <w:right w:val="none" w:sz="0" w:space="0" w:color="auto"/>
              </w:divBdr>
            </w:div>
          </w:divsChild>
        </w:div>
        <w:div w:id="67387380">
          <w:marLeft w:val="0"/>
          <w:marRight w:val="0"/>
          <w:marTop w:val="0"/>
          <w:marBottom w:val="0"/>
          <w:divBdr>
            <w:top w:val="none" w:sz="0" w:space="0" w:color="auto"/>
            <w:left w:val="none" w:sz="0" w:space="0" w:color="auto"/>
            <w:bottom w:val="none" w:sz="0" w:space="0" w:color="auto"/>
            <w:right w:val="none" w:sz="0" w:space="0" w:color="auto"/>
          </w:divBdr>
        </w:div>
        <w:div w:id="460612786">
          <w:marLeft w:val="0"/>
          <w:marRight w:val="0"/>
          <w:marTop w:val="0"/>
          <w:marBottom w:val="0"/>
          <w:divBdr>
            <w:top w:val="none" w:sz="0" w:space="0" w:color="auto"/>
            <w:left w:val="none" w:sz="0" w:space="0" w:color="auto"/>
            <w:bottom w:val="none" w:sz="0" w:space="0" w:color="auto"/>
            <w:right w:val="none" w:sz="0" w:space="0" w:color="auto"/>
          </w:divBdr>
        </w:div>
        <w:div w:id="502745118">
          <w:marLeft w:val="0"/>
          <w:marRight w:val="0"/>
          <w:marTop w:val="0"/>
          <w:marBottom w:val="0"/>
          <w:divBdr>
            <w:top w:val="none" w:sz="0" w:space="0" w:color="auto"/>
            <w:left w:val="none" w:sz="0" w:space="0" w:color="auto"/>
            <w:bottom w:val="none" w:sz="0" w:space="0" w:color="auto"/>
            <w:right w:val="none" w:sz="0" w:space="0" w:color="auto"/>
          </w:divBdr>
        </w:div>
        <w:div w:id="1177037185">
          <w:marLeft w:val="0"/>
          <w:marRight w:val="0"/>
          <w:marTop w:val="0"/>
          <w:marBottom w:val="0"/>
          <w:divBdr>
            <w:top w:val="none" w:sz="0" w:space="0" w:color="auto"/>
            <w:left w:val="none" w:sz="0" w:space="0" w:color="auto"/>
            <w:bottom w:val="none" w:sz="0" w:space="0" w:color="auto"/>
            <w:right w:val="none" w:sz="0" w:space="0" w:color="auto"/>
          </w:divBdr>
        </w:div>
        <w:div w:id="1466269052">
          <w:marLeft w:val="0"/>
          <w:marRight w:val="0"/>
          <w:marTop w:val="0"/>
          <w:marBottom w:val="0"/>
          <w:divBdr>
            <w:top w:val="none" w:sz="0" w:space="0" w:color="auto"/>
            <w:left w:val="none" w:sz="0" w:space="0" w:color="auto"/>
            <w:bottom w:val="none" w:sz="0" w:space="0" w:color="auto"/>
            <w:right w:val="none" w:sz="0" w:space="0" w:color="auto"/>
          </w:divBdr>
        </w:div>
        <w:div w:id="792865564">
          <w:marLeft w:val="0"/>
          <w:marRight w:val="0"/>
          <w:marTop w:val="0"/>
          <w:marBottom w:val="0"/>
          <w:divBdr>
            <w:top w:val="none" w:sz="0" w:space="0" w:color="auto"/>
            <w:left w:val="none" w:sz="0" w:space="0" w:color="auto"/>
            <w:bottom w:val="none" w:sz="0" w:space="0" w:color="auto"/>
            <w:right w:val="none" w:sz="0" w:space="0" w:color="auto"/>
          </w:divBdr>
        </w:div>
        <w:div w:id="310453559">
          <w:marLeft w:val="0"/>
          <w:marRight w:val="0"/>
          <w:marTop w:val="0"/>
          <w:marBottom w:val="0"/>
          <w:divBdr>
            <w:top w:val="none" w:sz="0" w:space="0" w:color="auto"/>
            <w:left w:val="none" w:sz="0" w:space="0" w:color="auto"/>
            <w:bottom w:val="none" w:sz="0" w:space="0" w:color="auto"/>
            <w:right w:val="none" w:sz="0" w:space="0" w:color="auto"/>
          </w:divBdr>
          <w:divsChild>
            <w:div w:id="2000956702">
              <w:marLeft w:val="0"/>
              <w:marRight w:val="0"/>
              <w:marTop w:val="0"/>
              <w:marBottom w:val="0"/>
              <w:divBdr>
                <w:top w:val="none" w:sz="0" w:space="0" w:color="auto"/>
                <w:left w:val="none" w:sz="0" w:space="0" w:color="auto"/>
                <w:bottom w:val="none" w:sz="0" w:space="0" w:color="auto"/>
                <w:right w:val="none" w:sz="0" w:space="0" w:color="auto"/>
              </w:divBdr>
            </w:div>
            <w:div w:id="1685939334">
              <w:marLeft w:val="0"/>
              <w:marRight w:val="0"/>
              <w:marTop w:val="0"/>
              <w:marBottom w:val="0"/>
              <w:divBdr>
                <w:top w:val="none" w:sz="0" w:space="0" w:color="auto"/>
                <w:left w:val="none" w:sz="0" w:space="0" w:color="auto"/>
                <w:bottom w:val="none" w:sz="0" w:space="0" w:color="auto"/>
                <w:right w:val="none" w:sz="0" w:space="0" w:color="auto"/>
              </w:divBdr>
            </w:div>
          </w:divsChild>
        </w:div>
        <w:div w:id="1633097350">
          <w:marLeft w:val="0"/>
          <w:marRight w:val="0"/>
          <w:marTop w:val="0"/>
          <w:marBottom w:val="0"/>
          <w:divBdr>
            <w:top w:val="none" w:sz="0" w:space="0" w:color="auto"/>
            <w:left w:val="none" w:sz="0" w:space="0" w:color="auto"/>
            <w:bottom w:val="none" w:sz="0" w:space="0" w:color="auto"/>
            <w:right w:val="none" w:sz="0" w:space="0" w:color="auto"/>
          </w:divBdr>
          <w:divsChild>
            <w:div w:id="888344774">
              <w:marLeft w:val="0"/>
              <w:marRight w:val="0"/>
              <w:marTop w:val="0"/>
              <w:marBottom w:val="0"/>
              <w:divBdr>
                <w:top w:val="none" w:sz="0" w:space="0" w:color="auto"/>
                <w:left w:val="none" w:sz="0" w:space="0" w:color="auto"/>
                <w:bottom w:val="none" w:sz="0" w:space="0" w:color="auto"/>
                <w:right w:val="none" w:sz="0" w:space="0" w:color="auto"/>
              </w:divBdr>
            </w:div>
            <w:div w:id="130293571">
              <w:marLeft w:val="0"/>
              <w:marRight w:val="0"/>
              <w:marTop w:val="0"/>
              <w:marBottom w:val="0"/>
              <w:divBdr>
                <w:top w:val="none" w:sz="0" w:space="0" w:color="auto"/>
                <w:left w:val="none" w:sz="0" w:space="0" w:color="auto"/>
                <w:bottom w:val="none" w:sz="0" w:space="0" w:color="auto"/>
                <w:right w:val="none" w:sz="0" w:space="0" w:color="auto"/>
              </w:divBdr>
              <w:divsChild>
                <w:div w:id="2072773403">
                  <w:marLeft w:val="0"/>
                  <w:marRight w:val="0"/>
                  <w:marTop w:val="0"/>
                  <w:marBottom w:val="0"/>
                  <w:divBdr>
                    <w:top w:val="none" w:sz="0" w:space="0" w:color="auto"/>
                    <w:left w:val="none" w:sz="0" w:space="0" w:color="auto"/>
                    <w:bottom w:val="none" w:sz="0" w:space="0" w:color="auto"/>
                    <w:right w:val="none" w:sz="0" w:space="0" w:color="auto"/>
                  </w:divBdr>
                </w:div>
                <w:div w:id="703020582">
                  <w:marLeft w:val="0"/>
                  <w:marRight w:val="0"/>
                  <w:marTop w:val="0"/>
                  <w:marBottom w:val="0"/>
                  <w:divBdr>
                    <w:top w:val="none" w:sz="0" w:space="0" w:color="auto"/>
                    <w:left w:val="none" w:sz="0" w:space="0" w:color="auto"/>
                    <w:bottom w:val="none" w:sz="0" w:space="0" w:color="auto"/>
                    <w:right w:val="none" w:sz="0" w:space="0" w:color="auto"/>
                  </w:divBdr>
                </w:div>
                <w:div w:id="1245341279">
                  <w:marLeft w:val="0"/>
                  <w:marRight w:val="0"/>
                  <w:marTop w:val="0"/>
                  <w:marBottom w:val="0"/>
                  <w:divBdr>
                    <w:top w:val="none" w:sz="0" w:space="0" w:color="auto"/>
                    <w:left w:val="none" w:sz="0" w:space="0" w:color="auto"/>
                    <w:bottom w:val="none" w:sz="0" w:space="0" w:color="auto"/>
                    <w:right w:val="none" w:sz="0" w:space="0" w:color="auto"/>
                  </w:divBdr>
                </w:div>
                <w:div w:id="2141990642">
                  <w:marLeft w:val="0"/>
                  <w:marRight w:val="0"/>
                  <w:marTop w:val="0"/>
                  <w:marBottom w:val="0"/>
                  <w:divBdr>
                    <w:top w:val="none" w:sz="0" w:space="0" w:color="auto"/>
                    <w:left w:val="none" w:sz="0" w:space="0" w:color="auto"/>
                    <w:bottom w:val="none" w:sz="0" w:space="0" w:color="auto"/>
                    <w:right w:val="none" w:sz="0" w:space="0" w:color="auto"/>
                  </w:divBdr>
                </w:div>
                <w:div w:id="208302391">
                  <w:marLeft w:val="0"/>
                  <w:marRight w:val="0"/>
                  <w:marTop w:val="0"/>
                  <w:marBottom w:val="0"/>
                  <w:divBdr>
                    <w:top w:val="none" w:sz="0" w:space="0" w:color="auto"/>
                    <w:left w:val="none" w:sz="0" w:space="0" w:color="auto"/>
                    <w:bottom w:val="none" w:sz="0" w:space="0" w:color="auto"/>
                    <w:right w:val="none" w:sz="0" w:space="0" w:color="auto"/>
                  </w:divBdr>
                </w:div>
                <w:div w:id="1713260748">
                  <w:marLeft w:val="0"/>
                  <w:marRight w:val="0"/>
                  <w:marTop w:val="0"/>
                  <w:marBottom w:val="0"/>
                  <w:divBdr>
                    <w:top w:val="none" w:sz="0" w:space="0" w:color="auto"/>
                    <w:left w:val="none" w:sz="0" w:space="0" w:color="auto"/>
                    <w:bottom w:val="none" w:sz="0" w:space="0" w:color="auto"/>
                    <w:right w:val="none" w:sz="0" w:space="0" w:color="auto"/>
                  </w:divBdr>
                </w:div>
                <w:div w:id="1533879185">
                  <w:marLeft w:val="0"/>
                  <w:marRight w:val="0"/>
                  <w:marTop w:val="0"/>
                  <w:marBottom w:val="0"/>
                  <w:divBdr>
                    <w:top w:val="none" w:sz="0" w:space="0" w:color="auto"/>
                    <w:left w:val="none" w:sz="0" w:space="0" w:color="auto"/>
                    <w:bottom w:val="none" w:sz="0" w:space="0" w:color="auto"/>
                    <w:right w:val="none" w:sz="0" w:space="0" w:color="auto"/>
                  </w:divBdr>
                </w:div>
                <w:div w:id="211983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10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V:\AUD_61_Ablauforganisation\AUD_QMA_61_G_Redaktionsarbeit\_1%20Handbuch\AUD_61_G_Redaktionsarbeit%20FORTLAUFEND\G_4._Skriptentwicklung\G_4._ANLAGENBAND\_320_Muster_Pr&#252;ferhilfe%20A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19fc165c-b03a-401e-a201-775bc3e8c688</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2B5D3-F3D4-401D-A32A-C60228265034}">
  <ds:schemaRefs>
    <ds:schemaRef ds:uri="http://www.datev.de/BSOffice/999929"/>
  </ds:schemaRefs>
</ds:datastoreItem>
</file>

<file path=customXml/itemProps2.xml><?xml version="1.0" encoding="utf-8"?>
<ds:datastoreItem xmlns:ds="http://schemas.openxmlformats.org/officeDocument/2006/customXml" ds:itemID="{9501389A-FE5F-4ACA-A3B6-E2521B9E8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_320_Muster_Prüferhilfe A4.dotx</Template>
  <TotalTime>0</TotalTime>
  <Pages>3</Pages>
  <Words>913</Words>
  <Characters>4690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Vorlage Skript</vt:lpstr>
    </vt:vector>
  </TitlesOfParts>
  <Company>Lösle GmbH</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Skript</dc:title>
  <dc:creator>Henrich, Cornelia - AUDfIT</dc:creator>
  <cp:lastModifiedBy>Hirth, Tina - LÖSLE</cp:lastModifiedBy>
  <cp:revision>15</cp:revision>
  <cp:lastPrinted>2025-03-05T11:47:00Z</cp:lastPrinted>
  <dcterms:created xsi:type="dcterms:W3CDTF">2025-03-05T08:34:00Z</dcterms:created>
  <dcterms:modified xsi:type="dcterms:W3CDTF">2025-04-09T13:31:00Z</dcterms:modified>
</cp:coreProperties>
</file>