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0E176A" w:rsidRPr="00DE5B92" w14:paraId="55C20CE4" w14:textId="77777777" w:rsidTr="00BB4680">
        <w:trPr>
          <w:cantSplit/>
          <w:trHeight w:val="774"/>
        </w:trPr>
        <w:tc>
          <w:tcPr>
            <w:tcW w:w="8647" w:type="dxa"/>
            <w:tcBorders>
              <w:bottom w:val="nil"/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33A9CDA2" w14:textId="16FF166A" w:rsidR="000E176A" w:rsidRPr="00BB4680" w:rsidRDefault="00CB05DA" w:rsidP="006A630D">
            <w:pPr>
              <w:spacing w:before="60" w:after="60"/>
              <w:jc w:val="left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B0F0"/>
                <w:sz w:val="32"/>
                <w:szCs w:val="32"/>
              </w:rPr>
              <w:t xml:space="preserve">Nachtragsbericht der </w:t>
            </w:r>
            <w:r w:rsidR="00061962">
              <w:rPr>
                <w:b/>
                <w:color w:val="00B0F0"/>
                <w:sz w:val="32"/>
                <w:szCs w:val="32"/>
              </w:rPr>
              <w:t xml:space="preserve">Mobilfunk </w:t>
            </w:r>
            <w:r w:rsidR="00612EAF">
              <w:rPr>
                <w:b/>
                <w:color w:val="00B0F0"/>
                <w:sz w:val="32"/>
                <w:szCs w:val="32"/>
              </w:rPr>
              <w:t xml:space="preserve">Future </w:t>
            </w:r>
            <w:r w:rsidR="00061962">
              <w:rPr>
                <w:b/>
                <w:color w:val="00B0F0"/>
                <w:sz w:val="32"/>
                <w:szCs w:val="32"/>
              </w:rPr>
              <w:t>AG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14427CFF" w14:textId="77777777" w:rsidR="000E176A" w:rsidRPr="00181773" w:rsidRDefault="000E176A" w:rsidP="006A630D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14:paraId="38E68680" w14:textId="77777777" w:rsidR="00CB05DA" w:rsidRPr="00061962" w:rsidRDefault="00CB05DA" w:rsidP="00CB05DA">
      <w:pPr>
        <w:rPr>
          <w:sz w:val="18"/>
          <w:szCs w:val="18"/>
        </w:rPr>
      </w:pPr>
      <w:r w:rsidRPr="00061962">
        <w:rPr>
          <w:sz w:val="18"/>
          <w:szCs w:val="18"/>
        </w:rPr>
        <w:t xml:space="preserve">Nachfolgend finden Sie eine </w:t>
      </w:r>
    </w:p>
    <w:p w14:paraId="2C82A8F3" w14:textId="77777777" w:rsidR="00CB05DA" w:rsidRPr="00061962" w:rsidRDefault="00CB05DA" w:rsidP="00CB05DA">
      <w:pPr>
        <w:pStyle w:val="Aufzhlungszeichen"/>
        <w:ind w:left="425"/>
        <w:rPr>
          <w:sz w:val="18"/>
          <w:szCs w:val="18"/>
        </w:rPr>
      </w:pPr>
      <w:r w:rsidRPr="00061962">
        <w:rPr>
          <w:b/>
          <w:bCs/>
          <w:sz w:val="18"/>
          <w:szCs w:val="18"/>
        </w:rPr>
        <w:t>beispielhafte Formulierung</w:t>
      </w:r>
      <w:r w:rsidRPr="00061962">
        <w:rPr>
          <w:sz w:val="18"/>
          <w:szCs w:val="18"/>
        </w:rPr>
        <w:t xml:space="preserve"> </w:t>
      </w:r>
    </w:p>
    <w:p w14:paraId="094313E4" w14:textId="77777777" w:rsidR="00CB05DA" w:rsidRPr="00061962" w:rsidRDefault="00CB05DA" w:rsidP="00CB05DA">
      <w:pPr>
        <w:pStyle w:val="Aufzhlungszeichen"/>
        <w:ind w:left="425"/>
        <w:rPr>
          <w:sz w:val="18"/>
          <w:szCs w:val="18"/>
        </w:rPr>
      </w:pPr>
      <w:r w:rsidRPr="00061962">
        <w:rPr>
          <w:sz w:val="18"/>
          <w:szCs w:val="18"/>
        </w:rPr>
        <w:t xml:space="preserve">für einen </w:t>
      </w:r>
      <w:r w:rsidRPr="00061962">
        <w:rPr>
          <w:b/>
          <w:bCs/>
          <w:sz w:val="18"/>
          <w:szCs w:val="18"/>
        </w:rPr>
        <w:t>Nachtragsbericht</w:t>
      </w:r>
      <w:r w:rsidRPr="00061962">
        <w:rPr>
          <w:sz w:val="18"/>
          <w:szCs w:val="18"/>
        </w:rPr>
        <w:t xml:space="preserve"> </w:t>
      </w:r>
    </w:p>
    <w:p w14:paraId="72350138" w14:textId="614EBFF5" w:rsidR="00CB05DA" w:rsidRPr="00061962" w:rsidRDefault="00CB05DA" w:rsidP="00CB05DA">
      <w:pPr>
        <w:pStyle w:val="Aufzhlungszeichen"/>
        <w:ind w:left="425"/>
        <w:rPr>
          <w:b/>
          <w:bCs/>
          <w:sz w:val="18"/>
          <w:szCs w:val="18"/>
        </w:rPr>
      </w:pPr>
      <w:r w:rsidRPr="00061962">
        <w:rPr>
          <w:sz w:val="18"/>
          <w:szCs w:val="18"/>
        </w:rPr>
        <w:t xml:space="preserve">für die </w:t>
      </w:r>
      <w:r w:rsidR="00061962" w:rsidRPr="00061962">
        <w:rPr>
          <w:b/>
          <w:sz w:val="18"/>
          <w:szCs w:val="18"/>
        </w:rPr>
        <w:t>Mobilfunk AG</w:t>
      </w:r>
      <w:r w:rsidRPr="00061962">
        <w:rPr>
          <w:b/>
          <w:bCs/>
          <w:sz w:val="18"/>
          <w:szCs w:val="18"/>
        </w:rPr>
        <w:t xml:space="preserve"> </w:t>
      </w:r>
    </w:p>
    <w:p w14:paraId="5908B90E" w14:textId="3EFD2B70" w:rsidR="00CB05DA" w:rsidRPr="00061962" w:rsidRDefault="00CB05DA" w:rsidP="00CB05DA">
      <w:pPr>
        <w:pStyle w:val="Aufzhlungszeichen"/>
        <w:ind w:left="425"/>
        <w:rPr>
          <w:sz w:val="18"/>
          <w:szCs w:val="18"/>
        </w:rPr>
      </w:pPr>
      <w:r w:rsidRPr="00061962">
        <w:rPr>
          <w:sz w:val="18"/>
          <w:szCs w:val="18"/>
        </w:rPr>
        <w:t xml:space="preserve">mit einem </w:t>
      </w:r>
      <w:r w:rsidRPr="00061962">
        <w:rPr>
          <w:b/>
          <w:bCs/>
          <w:sz w:val="18"/>
          <w:szCs w:val="18"/>
        </w:rPr>
        <w:t>Bilanzstichtag zum 31.</w:t>
      </w:r>
      <w:r w:rsidR="00061962" w:rsidRPr="00061962">
        <w:rPr>
          <w:b/>
          <w:bCs/>
          <w:sz w:val="18"/>
          <w:szCs w:val="18"/>
        </w:rPr>
        <w:t>03.2025</w:t>
      </w:r>
    </w:p>
    <w:p w14:paraId="0B67F927" w14:textId="77777777" w:rsidR="00CB05DA" w:rsidRPr="00061962" w:rsidRDefault="00CB05DA" w:rsidP="000E176A">
      <w:pPr>
        <w:pStyle w:val="Standardeinzug"/>
        <w:rPr>
          <w:sz w:val="8"/>
          <w:szCs w:val="8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48"/>
        <w:gridCol w:w="5359"/>
        <w:gridCol w:w="3260"/>
      </w:tblGrid>
      <w:tr w:rsidR="00CB05DA" w:rsidRPr="00CB05DA" w14:paraId="29F47425" w14:textId="77777777" w:rsidTr="00061962">
        <w:tc>
          <w:tcPr>
            <w:tcW w:w="0" w:type="auto"/>
            <w:shd w:val="clear" w:color="auto" w:fill="00B0F0"/>
          </w:tcPr>
          <w:p w14:paraId="4CA7D3CB" w14:textId="40F135C4" w:rsidR="00CB05DA" w:rsidRPr="00CB05DA" w:rsidRDefault="00CB05DA" w:rsidP="00612EAF">
            <w:pPr>
              <w:spacing w:before="60" w:after="60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Tz:</w:t>
            </w:r>
          </w:p>
        </w:tc>
        <w:tc>
          <w:tcPr>
            <w:tcW w:w="5359" w:type="dxa"/>
            <w:shd w:val="clear" w:color="auto" w:fill="00B0F0"/>
          </w:tcPr>
          <w:p w14:paraId="5D75017D" w14:textId="54C5CD0F" w:rsidR="00CB05DA" w:rsidRPr="00CB05DA" w:rsidRDefault="00CB05DA" w:rsidP="00612EAF">
            <w:pPr>
              <w:spacing w:before="60" w:after="60"/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 xml:space="preserve">Beispiel für eine Formulierung </w:t>
            </w:r>
            <w:r w:rsidR="00061962">
              <w:rPr>
                <w:b/>
                <w:bCs/>
                <w:color w:val="FFFFFF" w:themeColor="background1"/>
                <w:sz w:val="20"/>
              </w:rPr>
              <w:t>im Anhang für nachträgliche Ereignisse</w:t>
            </w:r>
          </w:p>
        </w:tc>
        <w:tc>
          <w:tcPr>
            <w:tcW w:w="3260" w:type="dxa"/>
            <w:shd w:val="clear" w:color="auto" w:fill="00B0F0"/>
          </w:tcPr>
          <w:p w14:paraId="6CC70414" w14:textId="587D5B44" w:rsidR="00CB05DA" w:rsidRPr="00CB05DA" w:rsidRDefault="00CB05DA" w:rsidP="00612EAF">
            <w:pPr>
              <w:spacing w:before="60" w:after="60"/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>Bemerkung</w:t>
            </w:r>
          </w:p>
        </w:tc>
      </w:tr>
      <w:tr w:rsidR="00061962" w:rsidRPr="00061962" w14:paraId="2E906971" w14:textId="77777777" w:rsidTr="00061962">
        <w:trPr>
          <w:trHeight w:val="20"/>
        </w:trPr>
        <w:tc>
          <w:tcPr>
            <w:tcW w:w="0" w:type="auto"/>
            <w:vAlign w:val="center"/>
          </w:tcPr>
          <w:p w14:paraId="38AF9C81" w14:textId="7658ADBD" w:rsidR="00061962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9" w:type="dxa"/>
            <w:vAlign w:val="center"/>
          </w:tcPr>
          <w:p w14:paraId="4413C3ED" w14:textId="7699531C" w:rsidR="00061962" w:rsidRPr="00F204A2" w:rsidRDefault="00061962" w:rsidP="00061962">
            <w:pPr>
              <w:spacing w:after="120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„In der Umsetzung des Mobilfunkprojekts durch die Bereitstellung von Standorten zeigen sich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wirtschaftliche Herausforderungen.</w:t>
            </w:r>
          </w:p>
        </w:tc>
        <w:tc>
          <w:tcPr>
            <w:tcW w:w="3260" w:type="dxa"/>
            <w:vAlign w:val="center"/>
          </w:tcPr>
          <w:p w14:paraId="45502461" w14:textId="5367C590" w:rsidR="00061962" w:rsidRPr="00061962" w:rsidRDefault="00061962" w:rsidP="00CB05DA">
            <w:pPr>
              <w:jc w:val="left"/>
              <w:rPr>
                <w:sz w:val="18"/>
                <w:szCs w:val="18"/>
              </w:rPr>
            </w:pPr>
            <w:r w:rsidRPr="00061962">
              <w:rPr>
                <w:b/>
                <w:bCs/>
                <w:sz w:val="18"/>
                <w:szCs w:val="18"/>
              </w:rPr>
              <w:t>Unwirtschaftliche Umsetzung</w:t>
            </w:r>
            <w:r w:rsidRPr="00061962">
              <w:rPr>
                <w:sz w:val="18"/>
                <w:szCs w:val="18"/>
              </w:rPr>
              <w:t xml:space="preserve"> von Mobilfunkprojekten </w:t>
            </w:r>
          </w:p>
        </w:tc>
      </w:tr>
      <w:tr w:rsidR="00CB05DA" w:rsidRPr="00061962" w14:paraId="62036DFC" w14:textId="77777777" w:rsidTr="00061962">
        <w:trPr>
          <w:trHeight w:val="20"/>
        </w:trPr>
        <w:tc>
          <w:tcPr>
            <w:tcW w:w="0" w:type="auto"/>
            <w:vAlign w:val="center"/>
          </w:tcPr>
          <w:p w14:paraId="2218731B" w14:textId="11401C19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59" w:type="dxa"/>
            <w:vAlign w:val="center"/>
          </w:tcPr>
          <w:p w14:paraId="5E3CC468" w14:textId="77777777" w:rsidR="00061962" w:rsidRPr="00F204A2" w:rsidRDefault="00061962" w:rsidP="00CB05DA">
            <w:pPr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Diese sind bedingt durch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Preisanstiege, z.B. </w:t>
            </w:r>
          </w:p>
          <w:p w14:paraId="002722DA" w14:textId="77777777" w:rsidR="00061962" w:rsidRPr="00F204A2" w:rsidRDefault="00061962" w:rsidP="00061962">
            <w:pPr>
              <w:pStyle w:val="Listenabsatz"/>
              <w:numPr>
                <w:ilvl w:val="0"/>
                <w:numId w:val="26"/>
              </w:numPr>
              <w:ind w:left="357" w:hanging="357"/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wegen gestörter Lieferketten infolge des Kriegs in der Ukraine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sowie </w:t>
            </w:r>
          </w:p>
          <w:p w14:paraId="170A946E" w14:textId="77777777" w:rsidR="00061962" w:rsidRPr="00F204A2" w:rsidRDefault="00061962" w:rsidP="00061962">
            <w:pPr>
              <w:pStyle w:val="Listenabsatz"/>
              <w:numPr>
                <w:ilvl w:val="0"/>
                <w:numId w:val="26"/>
              </w:numPr>
              <w:ind w:left="357" w:hanging="357"/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dem daraus resultierenden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Mangel an Baumaterialien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und </w:t>
            </w:r>
          </w:p>
          <w:p w14:paraId="1F04871C" w14:textId="3E6591B0" w:rsidR="00CB05DA" w:rsidRPr="00F204A2" w:rsidRDefault="00061962" w:rsidP="00CC50F4">
            <w:pPr>
              <w:pStyle w:val="Listenabsatz"/>
              <w:numPr>
                <w:ilvl w:val="0"/>
                <w:numId w:val="26"/>
              </w:numPr>
              <w:spacing w:after="120"/>
              <w:ind w:left="357" w:hanging="357"/>
              <w:contextualSpacing w:val="0"/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durch einen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begrenzten Pool an geeigneten Dienst</w:t>
            </w:r>
            <w:r w:rsidR="00CC50F4" w:rsidRPr="00F204A2">
              <w:rPr>
                <w:b/>
                <w:i/>
                <w:iCs/>
                <w:color w:val="00B0F0"/>
                <w:sz w:val="18"/>
                <w:szCs w:val="18"/>
              </w:rPr>
              <w:t>-</w:t>
            </w:r>
            <w:r w:rsidR="00CC50F4" w:rsidRPr="00F204A2">
              <w:rPr>
                <w:b/>
                <w:i/>
                <w:iCs/>
                <w:color w:val="00B0F0"/>
                <w:sz w:val="18"/>
                <w:szCs w:val="18"/>
              </w:rPr>
              <w:br/>
            </w:r>
            <w:proofErr w:type="spellStart"/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leistern</w:t>
            </w:r>
            <w:proofErr w:type="spellEnd"/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,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>die die notwendigen Leistungen wie z.B. Erwerb und Standortplanung erbringen können.</w:t>
            </w:r>
          </w:p>
        </w:tc>
        <w:tc>
          <w:tcPr>
            <w:tcW w:w="3260" w:type="dxa"/>
            <w:vAlign w:val="center"/>
          </w:tcPr>
          <w:p w14:paraId="0BC00EC6" w14:textId="054DE3A0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 w:rsidRPr="00061962">
              <w:rPr>
                <w:b/>
                <w:bCs/>
                <w:sz w:val="18"/>
                <w:szCs w:val="18"/>
              </w:rPr>
              <w:t xml:space="preserve">Geopolitische Herausforderung </w:t>
            </w:r>
            <w:r w:rsidRPr="00061962">
              <w:rPr>
                <w:sz w:val="18"/>
                <w:szCs w:val="18"/>
              </w:rPr>
              <w:t xml:space="preserve">dauert an; </w:t>
            </w:r>
            <w:r w:rsidRPr="00061962">
              <w:rPr>
                <w:sz w:val="18"/>
                <w:szCs w:val="18"/>
              </w:rPr>
              <w:br/>
              <w:t>Neue Preisanstiege können sich auch nach dem Bilanzstichtag noch entstehen</w:t>
            </w:r>
          </w:p>
        </w:tc>
      </w:tr>
      <w:tr w:rsidR="00CB05DA" w:rsidRPr="00061962" w14:paraId="1A30B713" w14:textId="77777777" w:rsidTr="00061962">
        <w:trPr>
          <w:trHeight w:val="20"/>
        </w:trPr>
        <w:tc>
          <w:tcPr>
            <w:tcW w:w="0" w:type="auto"/>
            <w:vAlign w:val="center"/>
          </w:tcPr>
          <w:p w14:paraId="389F5542" w14:textId="7D1B0948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359" w:type="dxa"/>
            <w:vAlign w:val="center"/>
          </w:tcPr>
          <w:p w14:paraId="5396905B" w14:textId="5E1FFF02" w:rsidR="00CB05DA" w:rsidRPr="00F204A2" w:rsidRDefault="00061962" w:rsidP="00061962">
            <w:pPr>
              <w:spacing w:after="120"/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Es handelt sich zudem um Dach-Standorte in städtischen Bereichen, die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aufgrund neuer rechtlicher Anforderungen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 eine Erhöhung der bestehenden Infrastruktur erfordern, was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zu komplexeren und teureren Bauvorhaben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 führt.</w:t>
            </w:r>
          </w:p>
        </w:tc>
        <w:tc>
          <w:tcPr>
            <w:tcW w:w="3260" w:type="dxa"/>
            <w:vAlign w:val="center"/>
          </w:tcPr>
          <w:p w14:paraId="522CC28F" w14:textId="5F08F981" w:rsidR="00CB05DA" w:rsidRPr="00061962" w:rsidRDefault="00061962" w:rsidP="00CB05DA">
            <w:pPr>
              <w:jc w:val="left"/>
              <w:rPr>
                <w:bCs/>
                <w:sz w:val="18"/>
                <w:szCs w:val="18"/>
              </w:rPr>
            </w:pPr>
            <w:r w:rsidRPr="00061962">
              <w:rPr>
                <w:b/>
                <w:bCs/>
                <w:sz w:val="18"/>
                <w:szCs w:val="18"/>
              </w:rPr>
              <w:t xml:space="preserve">Rechtliche Anforderungen </w:t>
            </w:r>
            <w:r w:rsidRPr="00061962">
              <w:rPr>
                <w:bCs/>
                <w:sz w:val="18"/>
                <w:szCs w:val="18"/>
              </w:rPr>
              <w:t>eventuell erst nach dem Bilanzstichtag in Kraft getreten</w:t>
            </w:r>
          </w:p>
        </w:tc>
      </w:tr>
      <w:tr w:rsidR="00CB05DA" w:rsidRPr="00061962" w14:paraId="7A827CD8" w14:textId="77777777" w:rsidTr="00061962">
        <w:trPr>
          <w:trHeight w:val="20"/>
        </w:trPr>
        <w:tc>
          <w:tcPr>
            <w:tcW w:w="0" w:type="auto"/>
            <w:vAlign w:val="center"/>
          </w:tcPr>
          <w:p w14:paraId="59EC268C" w14:textId="28E0B965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59" w:type="dxa"/>
            <w:vAlign w:val="center"/>
          </w:tcPr>
          <w:p w14:paraId="2838ACE4" w14:textId="77777777" w:rsidR="00061962" w:rsidRPr="00F204A2" w:rsidRDefault="00061962" w:rsidP="00CB05DA">
            <w:pPr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Ebenfalls nehmen hierauf die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Verhandlungen mit den Vermietern,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insbesondere </w:t>
            </w:r>
          </w:p>
          <w:p w14:paraId="6FAFF6B2" w14:textId="77777777" w:rsidR="00061962" w:rsidRPr="00F204A2" w:rsidRDefault="00061962" w:rsidP="00061962">
            <w:pPr>
              <w:pStyle w:val="Listenabsatz"/>
              <w:numPr>
                <w:ilvl w:val="0"/>
                <w:numId w:val="25"/>
              </w:numPr>
              <w:ind w:left="357" w:hanging="357"/>
              <w:jc w:val="left"/>
              <w:rPr>
                <w:b/>
                <w:bCs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bei komplexen </w:t>
            </w:r>
            <w:r w:rsidRPr="00F204A2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Änderungen an vorhandener passiver Infrastruktur, </w:t>
            </w:r>
          </w:p>
          <w:p w14:paraId="7D7034A4" w14:textId="77777777" w:rsidR="00061962" w:rsidRPr="00F204A2" w:rsidRDefault="00061962" w:rsidP="00061962">
            <w:pPr>
              <w:pStyle w:val="Listenabsatz"/>
              <w:numPr>
                <w:ilvl w:val="0"/>
                <w:numId w:val="25"/>
              </w:numPr>
              <w:ind w:left="357" w:hanging="357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der häufig verweigerten Zustimmung zur Untervermietung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und </w:t>
            </w:r>
          </w:p>
          <w:p w14:paraId="148BBEF9" w14:textId="77777777" w:rsidR="00061962" w:rsidRPr="00F204A2" w:rsidRDefault="00061962" w:rsidP="00061962">
            <w:pPr>
              <w:pStyle w:val="Listenabsatz"/>
              <w:numPr>
                <w:ilvl w:val="0"/>
                <w:numId w:val="25"/>
              </w:numPr>
              <w:ind w:left="357" w:hanging="357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den erforderlichen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aufwendigeren Strukturen bei </w:t>
            </w:r>
            <w:proofErr w:type="spellStart"/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>Kolokation</w:t>
            </w:r>
            <w:proofErr w:type="spellEnd"/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>(mehrere Betreiber nutzen denselben Standort)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, </w:t>
            </w:r>
          </w:p>
          <w:p w14:paraId="538FB01C" w14:textId="001A85CD" w:rsidR="00CB05DA" w:rsidRPr="00F204A2" w:rsidRDefault="00061962" w:rsidP="00061962">
            <w:pPr>
              <w:spacing w:after="120"/>
              <w:jc w:val="left"/>
              <w:rPr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>besonderen Einfluss.</w:t>
            </w:r>
          </w:p>
        </w:tc>
        <w:tc>
          <w:tcPr>
            <w:tcW w:w="3260" w:type="dxa"/>
            <w:vAlign w:val="center"/>
          </w:tcPr>
          <w:p w14:paraId="4A64078D" w14:textId="32EDB7F5" w:rsidR="00CB05DA" w:rsidRPr="00061962" w:rsidRDefault="00CB05DA" w:rsidP="00CB05DA">
            <w:pPr>
              <w:jc w:val="left"/>
              <w:rPr>
                <w:sz w:val="18"/>
                <w:szCs w:val="18"/>
              </w:rPr>
            </w:pPr>
            <w:r w:rsidRPr="00061962">
              <w:rPr>
                <w:b/>
                <w:bCs/>
                <w:sz w:val="18"/>
                <w:szCs w:val="18"/>
              </w:rPr>
              <w:t>Wertbegründendes</w:t>
            </w:r>
            <w:r w:rsidRPr="00061962">
              <w:rPr>
                <w:sz w:val="18"/>
                <w:szCs w:val="18"/>
              </w:rPr>
              <w:t xml:space="preserve"> Ereignis</w:t>
            </w:r>
            <w:r w:rsidR="00061962" w:rsidRPr="00061962">
              <w:rPr>
                <w:sz w:val="18"/>
                <w:szCs w:val="18"/>
              </w:rPr>
              <w:t xml:space="preserve"> (Folgen für das Unternehmen abhängig von den zukünftigen Verhandlungen)</w:t>
            </w:r>
          </w:p>
        </w:tc>
      </w:tr>
      <w:tr w:rsidR="00CB05DA" w:rsidRPr="00061962" w14:paraId="31D60123" w14:textId="77777777" w:rsidTr="00061962">
        <w:trPr>
          <w:trHeight w:val="20"/>
        </w:trPr>
        <w:tc>
          <w:tcPr>
            <w:tcW w:w="0" w:type="auto"/>
            <w:vAlign w:val="center"/>
          </w:tcPr>
          <w:p w14:paraId="7AFC5563" w14:textId="1F6A31BE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359" w:type="dxa"/>
            <w:vAlign w:val="center"/>
          </w:tcPr>
          <w:p w14:paraId="3D64BEF6" w14:textId="7823F056" w:rsidR="00CB05DA" w:rsidRPr="00F204A2" w:rsidRDefault="00061962" w:rsidP="00061962">
            <w:pPr>
              <w:spacing w:after="120"/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Dies kann sich auf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die entsprechenden Kosten für die bestehenden Lieferverpflichtungen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gegenüber den Kunden auswirken und damit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nachteilige Auswirkungen auf die Margen und die Rentabilität 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haben. </w:t>
            </w:r>
          </w:p>
        </w:tc>
        <w:tc>
          <w:tcPr>
            <w:tcW w:w="3260" w:type="dxa"/>
            <w:vAlign w:val="center"/>
          </w:tcPr>
          <w:p w14:paraId="5CFEB0EB" w14:textId="08C954A4" w:rsidR="00CB05DA" w:rsidRPr="00061962" w:rsidRDefault="00CB05DA" w:rsidP="00CB05DA">
            <w:pPr>
              <w:jc w:val="left"/>
              <w:rPr>
                <w:sz w:val="18"/>
                <w:szCs w:val="18"/>
              </w:rPr>
            </w:pPr>
            <w:r w:rsidRPr="00061962">
              <w:rPr>
                <w:b/>
                <w:bCs/>
                <w:sz w:val="18"/>
                <w:szCs w:val="18"/>
              </w:rPr>
              <w:t>Allgemeiner Hinweis</w:t>
            </w:r>
            <w:r w:rsidRPr="00061962">
              <w:rPr>
                <w:sz w:val="18"/>
                <w:szCs w:val="18"/>
              </w:rPr>
              <w:t xml:space="preserve"> ausreichend</w:t>
            </w:r>
          </w:p>
        </w:tc>
      </w:tr>
      <w:tr w:rsidR="00061962" w:rsidRPr="00061962" w14:paraId="64D8B6B7" w14:textId="77777777" w:rsidTr="00061962">
        <w:trPr>
          <w:trHeight w:val="20"/>
        </w:trPr>
        <w:tc>
          <w:tcPr>
            <w:tcW w:w="0" w:type="auto"/>
            <w:vAlign w:val="center"/>
          </w:tcPr>
          <w:p w14:paraId="283D33D8" w14:textId="480302A4" w:rsidR="00061962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59" w:type="dxa"/>
            <w:vAlign w:val="center"/>
          </w:tcPr>
          <w:p w14:paraId="4EFAA981" w14:textId="1C443C4B" w:rsidR="00061962" w:rsidRPr="00F204A2" w:rsidRDefault="00061962" w:rsidP="00061962">
            <w:pPr>
              <w:spacing w:after="120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Das Management dieser Risiken adressiert das Unternehmen durch eine </w:t>
            </w:r>
            <w:r w:rsidRPr="00F204A2">
              <w:rPr>
                <w:b/>
                <w:i/>
                <w:iCs/>
                <w:color w:val="00B0F0"/>
                <w:sz w:val="18"/>
                <w:szCs w:val="18"/>
              </w:rPr>
              <w:t xml:space="preserve">gezielte Fokussierung und ein entsprechendes Kostenmanagement. </w:t>
            </w:r>
          </w:p>
        </w:tc>
        <w:tc>
          <w:tcPr>
            <w:tcW w:w="3260" w:type="dxa"/>
            <w:vAlign w:val="center"/>
          </w:tcPr>
          <w:p w14:paraId="01459102" w14:textId="77777777" w:rsidR="00061962" w:rsidRPr="00061962" w:rsidRDefault="00061962" w:rsidP="00CB05DA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CB05DA" w:rsidRPr="00061962" w14:paraId="35A72E7E" w14:textId="77777777" w:rsidTr="00061962">
        <w:trPr>
          <w:trHeight w:val="20"/>
        </w:trPr>
        <w:tc>
          <w:tcPr>
            <w:tcW w:w="0" w:type="auto"/>
            <w:vAlign w:val="center"/>
          </w:tcPr>
          <w:p w14:paraId="79F6666A" w14:textId="466C6909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59" w:type="dxa"/>
            <w:vAlign w:val="center"/>
          </w:tcPr>
          <w:p w14:paraId="7CC3F461" w14:textId="0DFB455D" w:rsidR="00CB05DA" w:rsidRPr="00F204A2" w:rsidRDefault="00061962" w:rsidP="00CB05DA">
            <w:pPr>
              <w:jc w:val="left"/>
              <w:rPr>
                <w:i/>
                <w:iCs/>
                <w:color w:val="00B0F0"/>
                <w:sz w:val="18"/>
                <w:szCs w:val="18"/>
              </w:rPr>
            </w:pP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Hinsichtlich der </w:t>
            </w:r>
            <w:r w:rsidRPr="00F204A2">
              <w:rPr>
                <w:b/>
                <w:bCs/>
                <w:i/>
                <w:iCs/>
                <w:color w:val="00B0F0"/>
                <w:sz w:val="18"/>
                <w:szCs w:val="18"/>
              </w:rPr>
              <w:t>bilanziellen Auswirkungen</w:t>
            </w:r>
            <w:r w:rsidRPr="00F204A2">
              <w:rPr>
                <w:i/>
                <w:iCs/>
                <w:color w:val="00B0F0"/>
                <w:sz w:val="18"/>
                <w:szCs w:val="18"/>
              </w:rPr>
              <w:t xml:space="preserve"> verweisen wir den Anhang zu der Sektion „Abschreibungen auf immaterielle Vermögensgegenstände und Sachanlagen“…..</w:t>
            </w:r>
          </w:p>
        </w:tc>
        <w:tc>
          <w:tcPr>
            <w:tcW w:w="3260" w:type="dxa"/>
            <w:vAlign w:val="center"/>
          </w:tcPr>
          <w:p w14:paraId="04832175" w14:textId="780FBC06" w:rsidR="00CB05DA" w:rsidRPr="00061962" w:rsidRDefault="00061962" w:rsidP="00CB05DA">
            <w:pPr>
              <w:jc w:val="left"/>
              <w:rPr>
                <w:sz w:val="18"/>
                <w:szCs w:val="18"/>
              </w:rPr>
            </w:pPr>
            <w:r w:rsidRPr="00061962">
              <w:rPr>
                <w:sz w:val="16"/>
                <w:szCs w:val="16"/>
              </w:rPr>
              <w:t xml:space="preserve">Mit dieser Thematik können </w:t>
            </w:r>
            <w:r w:rsidRPr="00061962">
              <w:rPr>
                <w:b/>
                <w:sz w:val="16"/>
                <w:szCs w:val="16"/>
              </w:rPr>
              <w:t>sowohl wertbegründende Ereignisse</w:t>
            </w:r>
            <w:r w:rsidRPr="00061962">
              <w:rPr>
                <w:sz w:val="16"/>
                <w:szCs w:val="16"/>
              </w:rPr>
              <w:t xml:space="preserve"> (Nachtragsbericht) </w:t>
            </w:r>
            <w:r w:rsidRPr="00061962">
              <w:rPr>
                <w:b/>
                <w:sz w:val="16"/>
                <w:szCs w:val="16"/>
              </w:rPr>
              <w:t>als auch wertaufhellende Ereignisse</w:t>
            </w:r>
            <w:r w:rsidRPr="00061962">
              <w:rPr>
                <w:sz w:val="16"/>
                <w:szCs w:val="16"/>
              </w:rPr>
              <w:t xml:space="preserve"> (Bilanz/GuV) verbunden sein.</w:t>
            </w:r>
          </w:p>
        </w:tc>
      </w:tr>
    </w:tbl>
    <w:p w14:paraId="5D48D7E7" w14:textId="10AA3E33" w:rsidR="00D33C8D" w:rsidRPr="00061962" w:rsidRDefault="00D33C8D" w:rsidP="00061962">
      <w:pPr>
        <w:rPr>
          <w:sz w:val="8"/>
          <w:szCs w:val="8"/>
        </w:rPr>
      </w:pPr>
    </w:p>
    <w:sectPr w:rsidR="00D33C8D" w:rsidRPr="00061962" w:rsidSect="00710C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100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8FF27" w14:textId="77777777" w:rsidR="0050356F" w:rsidRDefault="0050356F">
      <w:pPr>
        <w:spacing w:before="0"/>
      </w:pPr>
      <w:r>
        <w:separator/>
      </w:r>
    </w:p>
  </w:endnote>
  <w:endnote w:type="continuationSeparator" w:id="0">
    <w:p w14:paraId="6F739D12" w14:textId="77777777" w:rsidR="0050356F" w:rsidRDefault="0050356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ECD2" w14:textId="77777777" w:rsidR="00463938" w:rsidRDefault="004639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466"/>
      <w:gridCol w:w="4143"/>
      <w:gridCol w:w="2466"/>
    </w:tblGrid>
    <w:tr w:rsidR="00710C6F" w14:paraId="75B35EFC" w14:textId="77777777" w:rsidTr="003B2232">
      <w:trPr>
        <w:trHeight w:hRule="exact" w:val="1332"/>
      </w:trPr>
      <w:tc>
        <w:tcPr>
          <w:tcW w:w="2466" w:type="dxa"/>
          <w:vAlign w:val="bottom"/>
        </w:tcPr>
        <w:p w14:paraId="37B1BCF2" w14:textId="77777777" w:rsidR="00710C6F" w:rsidRPr="00D9001A" w:rsidRDefault="00710C6F" w:rsidP="00710C6F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482588852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8AA6DA6" w14:textId="070F3FAE" w:rsidR="00710C6F" w:rsidRPr="005F3383" w:rsidRDefault="00D33C8D" w:rsidP="00710C6F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UWP 1</w:t>
          </w:r>
          <w:r w:rsidR="00710C6F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2026</w:t>
          </w:r>
        </w:p>
      </w:tc>
      <w:tc>
        <w:tcPr>
          <w:tcW w:w="4143" w:type="dxa"/>
          <w:vAlign w:val="bottom"/>
        </w:tcPr>
        <w:p w14:paraId="7D3D5C0F" w14:textId="77777777" w:rsidR="00710C6F" w:rsidRDefault="0014340F" w:rsidP="00710C6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35052C45" wp14:editId="228033F3">
                <wp:extent cx="1101090" cy="334150"/>
                <wp:effectExtent l="0" t="0" r="1905" b="0"/>
                <wp:docPr id="21" name="Grafik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613" r="18934" b="15583"/>
                        <a:stretch/>
                      </pic:blipFill>
                      <pic:spPr bwMode="auto">
                        <a:xfrm>
                          <a:off x="0" y="0"/>
                          <a:ext cx="1101090" cy="3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dxa"/>
          <w:vAlign w:val="bottom"/>
        </w:tcPr>
        <w:p w14:paraId="360194B9" w14:textId="66AFB62C" w:rsidR="00710C6F" w:rsidRPr="0009625D" w:rsidRDefault="00710C6F" w:rsidP="00710C6F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D33C8D">
            <w:rPr>
              <w:rFonts w:eastAsiaTheme="minorHAnsi" w:cstheme="minorBidi"/>
              <w:b/>
              <w:color w:val="00B0F0"/>
              <w:sz w:val="20"/>
              <w:lang w:eastAsia="en-US"/>
            </w:rPr>
            <w:t>6/2</w:t>
          </w:r>
        </w:p>
      </w:tc>
    </w:tr>
  </w:tbl>
  <w:p w14:paraId="7D4FEB52" w14:textId="0599C44B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466"/>
      <w:gridCol w:w="4143"/>
      <w:gridCol w:w="2466"/>
    </w:tblGrid>
    <w:tr w:rsidR="007C5B77" w14:paraId="78017A5B" w14:textId="77777777" w:rsidTr="003B2232">
      <w:trPr>
        <w:trHeight w:hRule="exact" w:val="1332"/>
      </w:trPr>
      <w:tc>
        <w:tcPr>
          <w:tcW w:w="2466" w:type="dxa"/>
          <w:vAlign w:val="bottom"/>
        </w:tcPr>
        <w:p w14:paraId="27195909" w14:textId="77777777" w:rsidR="007C5B77" w:rsidRPr="00D9001A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127972C2" w14:textId="65A0DA6E" w:rsidR="007C5B77" w:rsidRPr="005F3383" w:rsidRDefault="00D33C8D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UWP 1 </w:t>
          </w:r>
          <w:r w:rsidR="00710C6F">
            <w:rPr>
              <w:rFonts w:eastAsiaTheme="minorHAnsi" w:cstheme="minorBidi"/>
              <w:b/>
              <w:color w:val="00B0F0"/>
              <w:sz w:val="20"/>
              <w:lang w:eastAsia="en-US"/>
            </w:rPr>
            <w:t>2026</w:t>
          </w:r>
        </w:p>
      </w:tc>
      <w:tc>
        <w:tcPr>
          <w:tcW w:w="4143" w:type="dxa"/>
          <w:vAlign w:val="bottom"/>
        </w:tcPr>
        <w:p w14:paraId="583430B3" w14:textId="77777777" w:rsidR="007C5B77" w:rsidRDefault="009062E6" w:rsidP="00AB0EB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3F00CF31" wp14:editId="1D1964CB">
                <wp:extent cx="1101090" cy="334150"/>
                <wp:effectExtent l="0" t="0" r="1905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613" r="18934" b="15583"/>
                        <a:stretch/>
                      </pic:blipFill>
                      <pic:spPr bwMode="auto">
                        <a:xfrm>
                          <a:off x="0" y="0"/>
                          <a:ext cx="1101090" cy="3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dxa"/>
          <w:vAlign w:val="bottom"/>
        </w:tcPr>
        <w:p w14:paraId="653D3404" w14:textId="78DD5F8F" w:rsidR="007C5B77" w:rsidRPr="0009625D" w:rsidRDefault="007C5B7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</w:t>
          </w:r>
          <w:r w:rsidR="0014588B"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axis</w:t>
          </w: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hilfe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463938">
            <w:rPr>
              <w:rFonts w:eastAsiaTheme="minorHAnsi" w:cstheme="minorBidi"/>
              <w:b/>
              <w:color w:val="00B0F0"/>
              <w:sz w:val="20"/>
              <w:lang w:eastAsia="en-US"/>
            </w:rPr>
            <w:t>4</w:t>
          </w:r>
          <w:r w:rsidR="00D33C8D">
            <w:rPr>
              <w:rFonts w:eastAsiaTheme="minorHAnsi" w:cstheme="minorBidi"/>
              <w:b/>
              <w:color w:val="00B0F0"/>
              <w:sz w:val="20"/>
              <w:lang w:eastAsia="en-US"/>
            </w:rPr>
            <w:t>/2</w:t>
          </w:r>
        </w:p>
      </w:tc>
    </w:tr>
  </w:tbl>
  <w:p w14:paraId="6BBFED64" w14:textId="77777777" w:rsidR="00567A77" w:rsidRPr="007C5B7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8"/>
        <w:szCs w:val="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55FB" w14:textId="77777777" w:rsidR="0050356F" w:rsidRDefault="0050356F" w:rsidP="00EE217B">
      <w:pPr>
        <w:pStyle w:val="Fuzeile"/>
      </w:pPr>
    </w:p>
    <w:p w14:paraId="06E7667D" w14:textId="77777777" w:rsidR="0050356F" w:rsidRPr="00EE217B" w:rsidRDefault="0050356F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7B04EC7B" w14:textId="77777777" w:rsidR="0050356F" w:rsidRDefault="0050356F" w:rsidP="00711AB6">
      <w:pPr>
        <w:spacing w:before="0"/>
        <w:jc w:val="center"/>
      </w:pPr>
    </w:p>
    <w:p w14:paraId="06F11B01" w14:textId="77777777" w:rsidR="0050356F" w:rsidRPr="00711AB6" w:rsidRDefault="0050356F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8742" w14:textId="77777777" w:rsidR="00463938" w:rsidRDefault="004639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7C56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7F15E181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05791225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8466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AF5E0E"/>
    <w:multiLevelType w:val="hybridMultilevel"/>
    <w:tmpl w:val="5C1E872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A13F18"/>
    <w:multiLevelType w:val="hybridMultilevel"/>
    <w:tmpl w:val="53BCC476"/>
    <w:lvl w:ilvl="0" w:tplc="6A58488C">
      <w:start w:val="1"/>
      <w:numFmt w:val="decimal"/>
      <w:pStyle w:val="Aufzhlung"/>
      <w:lvlText w:val="%1."/>
      <w:lvlJc w:val="left"/>
      <w:pPr>
        <w:ind w:left="1571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F7312"/>
    <w:multiLevelType w:val="multilevel"/>
    <w:tmpl w:val="50121D20"/>
    <w:lvl w:ilvl="0">
      <w:start w:val="1"/>
      <w:numFmt w:val="decimal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327E6"/>
    <w:multiLevelType w:val="hybridMultilevel"/>
    <w:tmpl w:val="A8E4C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71DC"/>
    <w:multiLevelType w:val="hybridMultilevel"/>
    <w:tmpl w:val="D06C4D3C"/>
    <w:lvl w:ilvl="0" w:tplc="462425B2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37FF6"/>
    <w:multiLevelType w:val="hybridMultilevel"/>
    <w:tmpl w:val="B73E7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693381763">
    <w:abstractNumId w:val="25"/>
  </w:num>
  <w:num w:numId="2" w16cid:durableId="1115712263">
    <w:abstractNumId w:val="6"/>
  </w:num>
  <w:num w:numId="3" w16cid:durableId="1307734748">
    <w:abstractNumId w:val="5"/>
  </w:num>
  <w:num w:numId="4" w16cid:durableId="1087195619">
    <w:abstractNumId w:val="4"/>
  </w:num>
  <w:num w:numId="5" w16cid:durableId="1731883652">
    <w:abstractNumId w:val="7"/>
  </w:num>
  <w:num w:numId="6" w16cid:durableId="1660377327">
    <w:abstractNumId w:val="3"/>
  </w:num>
  <w:num w:numId="7" w16cid:durableId="1018577296">
    <w:abstractNumId w:val="2"/>
  </w:num>
  <w:num w:numId="8" w16cid:durableId="1811364097">
    <w:abstractNumId w:val="1"/>
  </w:num>
  <w:num w:numId="9" w16cid:durableId="553661580">
    <w:abstractNumId w:val="0"/>
  </w:num>
  <w:num w:numId="10" w16cid:durableId="1483544985">
    <w:abstractNumId w:val="10"/>
  </w:num>
  <w:num w:numId="11" w16cid:durableId="897058177">
    <w:abstractNumId w:val="22"/>
  </w:num>
  <w:num w:numId="12" w16cid:durableId="1070032023">
    <w:abstractNumId w:val="12"/>
  </w:num>
  <w:num w:numId="13" w16cid:durableId="516621690">
    <w:abstractNumId w:val="14"/>
  </w:num>
  <w:num w:numId="14" w16cid:durableId="850725121">
    <w:abstractNumId w:val="21"/>
  </w:num>
  <w:num w:numId="15" w16cid:durableId="409474653">
    <w:abstractNumId w:val="17"/>
  </w:num>
  <w:num w:numId="16" w16cid:durableId="1431973058">
    <w:abstractNumId w:val="15"/>
  </w:num>
  <w:num w:numId="17" w16cid:durableId="2102948497">
    <w:abstractNumId w:val="13"/>
  </w:num>
  <w:num w:numId="18" w16cid:durableId="146098320">
    <w:abstractNumId w:val="23"/>
  </w:num>
  <w:num w:numId="19" w16cid:durableId="107511434">
    <w:abstractNumId w:val="11"/>
  </w:num>
  <w:num w:numId="20" w16cid:durableId="2010214103">
    <w:abstractNumId w:val="20"/>
  </w:num>
  <w:num w:numId="21" w16cid:durableId="1285229789">
    <w:abstractNumId w:val="19"/>
  </w:num>
  <w:num w:numId="22" w16cid:durableId="725184661">
    <w:abstractNumId w:val="8"/>
  </w:num>
  <w:num w:numId="23" w16cid:durableId="1063987028">
    <w:abstractNumId w:val="16"/>
  </w:num>
  <w:num w:numId="24" w16cid:durableId="1501889559">
    <w:abstractNumId w:val="9"/>
  </w:num>
  <w:num w:numId="25" w16cid:durableId="1506090875">
    <w:abstractNumId w:val="24"/>
  </w:num>
  <w:num w:numId="26" w16cid:durableId="50413389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6F"/>
    <w:rsid w:val="00002230"/>
    <w:rsid w:val="00002EED"/>
    <w:rsid w:val="000030A9"/>
    <w:rsid w:val="00006E2D"/>
    <w:rsid w:val="0001477C"/>
    <w:rsid w:val="0002222B"/>
    <w:rsid w:val="00026202"/>
    <w:rsid w:val="0002748A"/>
    <w:rsid w:val="0003242D"/>
    <w:rsid w:val="0004061E"/>
    <w:rsid w:val="000503CF"/>
    <w:rsid w:val="0005326E"/>
    <w:rsid w:val="000616B8"/>
    <w:rsid w:val="00061962"/>
    <w:rsid w:val="00064F40"/>
    <w:rsid w:val="00075E7C"/>
    <w:rsid w:val="00080B9A"/>
    <w:rsid w:val="00085490"/>
    <w:rsid w:val="0008642A"/>
    <w:rsid w:val="00086B8A"/>
    <w:rsid w:val="0009344D"/>
    <w:rsid w:val="0009625D"/>
    <w:rsid w:val="00097B2B"/>
    <w:rsid w:val="000B1337"/>
    <w:rsid w:val="000C264D"/>
    <w:rsid w:val="000D4C28"/>
    <w:rsid w:val="000E176A"/>
    <w:rsid w:val="000E26F7"/>
    <w:rsid w:val="000F73F7"/>
    <w:rsid w:val="00111AC6"/>
    <w:rsid w:val="001205E2"/>
    <w:rsid w:val="00124699"/>
    <w:rsid w:val="001334F4"/>
    <w:rsid w:val="0014340F"/>
    <w:rsid w:val="00143536"/>
    <w:rsid w:val="00143F11"/>
    <w:rsid w:val="0014588B"/>
    <w:rsid w:val="00162F77"/>
    <w:rsid w:val="00163360"/>
    <w:rsid w:val="00165A53"/>
    <w:rsid w:val="00180880"/>
    <w:rsid w:val="00184E10"/>
    <w:rsid w:val="0019060F"/>
    <w:rsid w:val="0019585B"/>
    <w:rsid w:val="001A1B58"/>
    <w:rsid w:val="001A1D86"/>
    <w:rsid w:val="001B3F50"/>
    <w:rsid w:val="001B45CF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3465A"/>
    <w:rsid w:val="00241C76"/>
    <w:rsid w:val="0024402B"/>
    <w:rsid w:val="002532FF"/>
    <w:rsid w:val="0025638A"/>
    <w:rsid w:val="00257647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D7F12"/>
    <w:rsid w:val="002E2556"/>
    <w:rsid w:val="002F09D8"/>
    <w:rsid w:val="002F2043"/>
    <w:rsid w:val="002F2A78"/>
    <w:rsid w:val="002F6B99"/>
    <w:rsid w:val="002F771F"/>
    <w:rsid w:val="00304799"/>
    <w:rsid w:val="0031086B"/>
    <w:rsid w:val="003174C2"/>
    <w:rsid w:val="00340216"/>
    <w:rsid w:val="00342964"/>
    <w:rsid w:val="00352142"/>
    <w:rsid w:val="00360F3D"/>
    <w:rsid w:val="00364269"/>
    <w:rsid w:val="00376DCD"/>
    <w:rsid w:val="00382BCD"/>
    <w:rsid w:val="00390F7D"/>
    <w:rsid w:val="003932A1"/>
    <w:rsid w:val="003A6FEB"/>
    <w:rsid w:val="003B2232"/>
    <w:rsid w:val="003B420D"/>
    <w:rsid w:val="003C57A5"/>
    <w:rsid w:val="003C699D"/>
    <w:rsid w:val="003E23B8"/>
    <w:rsid w:val="003E348F"/>
    <w:rsid w:val="003E5835"/>
    <w:rsid w:val="003F1B18"/>
    <w:rsid w:val="004076E9"/>
    <w:rsid w:val="0041402E"/>
    <w:rsid w:val="00416098"/>
    <w:rsid w:val="004248A0"/>
    <w:rsid w:val="00433509"/>
    <w:rsid w:val="00437853"/>
    <w:rsid w:val="00440D21"/>
    <w:rsid w:val="0044561D"/>
    <w:rsid w:val="00445BB8"/>
    <w:rsid w:val="0044742E"/>
    <w:rsid w:val="00454705"/>
    <w:rsid w:val="00463938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356F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2FE4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7DE6"/>
    <w:rsid w:val="005D1825"/>
    <w:rsid w:val="005D26BD"/>
    <w:rsid w:val="005D2A74"/>
    <w:rsid w:val="005E07BD"/>
    <w:rsid w:val="005E7803"/>
    <w:rsid w:val="005F3383"/>
    <w:rsid w:val="005F6F40"/>
    <w:rsid w:val="00612EAF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C4228"/>
    <w:rsid w:val="006D45A1"/>
    <w:rsid w:val="006E24F6"/>
    <w:rsid w:val="006E7126"/>
    <w:rsid w:val="007026D1"/>
    <w:rsid w:val="00705106"/>
    <w:rsid w:val="00710C6F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666"/>
    <w:rsid w:val="007808BA"/>
    <w:rsid w:val="0078728B"/>
    <w:rsid w:val="00790130"/>
    <w:rsid w:val="00796513"/>
    <w:rsid w:val="007A060E"/>
    <w:rsid w:val="007A3E0C"/>
    <w:rsid w:val="007B1945"/>
    <w:rsid w:val="007C5B77"/>
    <w:rsid w:val="007D3976"/>
    <w:rsid w:val="007E0249"/>
    <w:rsid w:val="007F3A7C"/>
    <w:rsid w:val="008000CB"/>
    <w:rsid w:val="00802ED4"/>
    <w:rsid w:val="00805892"/>
    <w:rsid w:val="0081072B"/>
    <w:rsid w:val="00813720"/>
    <w:rsid w:val="008248D3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E72"/>
    <w:rsid w:val="009C2FF2"/>
    <w:rsid w:val="009C6850"/>
    <w:rsid w:val="009C6EFB"/>
    <w:rsid w:val="009D429E"/>
    <w:rsid w:val="009E1FB1"/>
    <w:rsid w:val="009E4C28"/>
    <w:rsid w:val="009F6E01"/>
    <w:rsid w:val="00A06317"/>
    <w:rsid w:val="00A075E6"/>
    <w:rsid w:val="00A15352"/>
    <w:rsid w:val="00A20798"/>
    <w:rsid w:val="00A237ED"/>
    <w:rsid w:val="00A31197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B0EBF"/>
    <w:rsid w:val="00AB3372"/>
    <w:rsid w:val="00AC17EE"/>
    <w:rsid w:val="00AE290A"/>
    <w:rsid w:val="00AF1983"/>
    <w:rsid w:val="00B13741"/>
    <w:rsid w:val="00B15817"/>
    <w:rsid w:val="00B1680D"/>
    <w:rsid w:val="00B21EEF"/>
    <w:rsid w:val="00B22993"/>
    <w:rsid w:val="00B24C33"/>
    <w:rsid w:val="00B261B2"/>
    <w:rsid w:val="00B367CE"/>
    <w:rsid w:val="00B62D3C"/>
    <w:rsid w:val="00B6345C"/>
    <w:rsid w:val="00B73242"/>
    <w:rsid w:val="00B77530"/>
    <w:rsid w:val="00B97DF3"/>
    <w:rsid w:val="00BA02EC"/>
    <w:rsid w:val="00BA1533"/>
    <w:rsid w:val="00BA1564"/>
    <w:rsid w:val="00BA7590"/>
    <w:rsid w:val="00BB468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62049"/>
    <w:rsid w:val="00C81429"/>
    <w:rsid w:val="00C84D8C"/>
    <w:rsid w:val="00C8522D"/>
    <w:rsid w:val="00C915CD"/>
    <w:rsid w:val="00C91AC1"/>
    <w:rsid w:val="00C940C7"/>
    <w:rsid w:val="00CA5FDE"/>
    <w:rsid w:val="00CA6FFC"/>
    <w:rsid w:val="00CB05DA"/>
    <w:rsid w:val="00CB24C7"/>
    <w:rsid w:val="00CC19EF"/>
    <w:rsid w:val="00CC50F4"/>
    <w:rsid w:val="00CD1A9A"/>
    <w:rsid w:val="00CD4117"/>
    <w:rsid w:val="00CE73C2"/>
    <w:rsid w:val="00D13BD1"/>
    <w:rsid w:val="00D217AB"/>
    <w:rsid w:val="00D33C8D"/>
    <w:rsid w:val="00D45365"/>
    <w:rsid w:val="00D61222"/>
    <w:rsid w:val="00D712A2"/>
    <w:rsid w:val="00D9001A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137C6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7518"/>
    <w:rsid w:val="00E96B1F"/>
    <w:rsid w:val="00EA0045"/>
    <w:rsid w:val="00EA2ACF"/>
    <w:rsid w:val="00EA74B3"/>
    <w:rsid w:val="00EC00F0"/>
    <w:rsid w:val="00EE217B"/>
    <w:rsid w:val="00EE6A9D"/>
    <w:rsid w:val="00EF2558"/>
    <w:rsid w:val="00F029CC"/>
    <w:rsid w:val="00F02A61"/>
    <w:rsid w:val="00F204A2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8E93B"/>
  <w15:docId w15:val="{ED417DBE-0D35-4016-A7BE-C1718204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C6F"/>
    <w:pPr>
      <w:spacing w:before="120"/>
      <w:jc w:val="both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einzug"/>
    <w:link w:val="berschrift1Zchn"/>
    <w:qFormat/>
    <w:rsid w:val="000D4C28"/>
    <w:pPr>
      <w:numPr>
        <w:numId w:val="1"/>
      </w:numPr>
      <w:suppressAutoHyphens/>
      <w:ind w:left="850" w:hanging="425"/>
      <w:jc w:val="left"/>
      <w:outlineLvl w:val="0"/>
    </w:pPr>
    <w:rPr>
      <w:b/>
      <w:color w:val="00B0F0"/>
      <w:kern w:val="28"/>
    </w:rPr>
  </w:style>
  <w:style w:type="paragraph" w:styleId="berschrift2">
    <w:name w:val="heading 2"/>
    <w:basedOn w:val="berschrift1"/>
    <w:next w:val="Standardeinzug"/>
    <w:qFormat/>
    <w:rsid w:val="00A237ED"/>
    <w:pPr>
      <w:numPr>
        <w:ilvl w:val="1"/>
      </w:numPr>
      <w:tabs>
        <w:tab w:val="left" w:pos="720"/>
      </w:tabs>
      <w:suppressAutoHyphens w:val="0"/>
      <w:spacing w:before="480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link w:val="Aufzhlungszeichen2Zchn"/>
    <w:qFormat/>
    <w:rsid w:val="002532FF"/>
    <w:pPr>
      <w:numPr>
        <w:numId w:val="11"/>
      </w:numPr>
      <w:spacing w:before="60" w:after="60"/>
      <w:ind w:left="1276" w:hanging="425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BB4680"/>
    <w:pPr>
      <w:numPr>
        <w:numId w:val="10"/>
      </w:numPr>
      <w:spacing w:before="60" w:after="60"/>
      <w:ind w:left="850" w:hanging="425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link w:val="ListenabsatzZchn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D217AB"/>
    <w:rPr>
      <w:rFonts w:ascii="Century Gothic" w:hAnsi="Century Gothic"/>
      <w:b/>
      <w:color w:val="FF0000"/>
      <w:sz w:val="24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D217AB"/>
    <w:rPr>
      <w:rFonts w:ascii="Century Gothic" w:hAnsi="Century Gothic"/>
      <w:b/>
      <w:color w:val="auto"/>
      <w:sz w:val="24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0D4C28"/>
    <w:rPr>
      <w:rFonts w:ascii="Century Gothic" w:hAnsi="Century Gothic"/>
      <w:b/>
      <w:color w:val="00B0F0"/>
      <w:kern w:val="28"/>
      <w:sz w:val="24"/>
    </w:rPr>
  </w:style>
  <w:style w:type="character" w:styleId="Fett">
    <w:name w:val="Strong"/>
    <w:basedOn w:val="Absatz-Standardschriftart"/>
    <w:uiPriority w:val="22"/>
    <w:qFormat/>
    <w:rsid w:val="000D4C28"/>
    <w:rPr>
      <w:b/>
      <w:bCs/>
    </w:rPr>
  </w:style>
  <w:style w:type="paragraph" w:customStyle="1" w:styleId="Aufzhlung">
    <w:name w:val="Aufzählung"/>
    <w:basedOn w:val="Aufzhlungszeichen2"/>
    <w:link w:val="AufzhlungZchn"/>
    <w:qFormat/>
    <w:rsid w:val="000D4C28"/>
    <w:pPr>
      <w:numPr>
        <w:numId w:val="24"/>
      </w:numPr>
      <w:ind w:left="850" w:hanging="425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D4C28"/>
    <w:rPr>
      <w:rFonts w:ascii="Century Gothic" w:hAnsi="Century Gothic"/>
      <w:sz w:val="24"/>
    </w:rPr>
  </w:style>
  <w:style w:type="character" w:customStyle="1" w:styleId="Aufzhlungszeichen2Zchn">
    <w:name w:val="Aufzählungszeichen 2 Zchn"/>
    <w:basedOn w:val="ListenabsatzZchn"/>
    <w:link w:val="Aufzhlungszeichen2"/>
    <w:rsid w:val="000D4C28"/>
    <w:rPr>
      <w:rFonts w:ascii="Century Gothic" w:hAnsi="Century Gothic"/>
      <w:sz w:val="24"/>
    </w:rPr>
  </w:style>
  <w:style w:type="character" w:customStyle="1" w:styleId="AufzhlungZchn">
    <w:name w:val="Aufzählung Zchn"/>
    <w:basedOn w:val="Aufzhlungszeichen2Zchn"/>
    <w:link w:val="Aufzhlung"/>
    <w:rsid w:val="000D4C28"/>
    <w:rPr>
      <w:rFonts w:ascii="Century Gothic" w:hAnsi="Century Gothic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3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220_Bearbeitung\AUD_220_2_Fertigstellung%20AUDfIT-Team\__Vorlagen_Skriptseiten_ab%202025\Vorlage%20Praxishilfe%202026_02_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C4D95D9-B4E2-4F5F-8416-BF1E6537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Praxishilfe 2026_02_26.dotx</Template>
  <TotalTime>0</TotalTime>
  <Pages>1</Pages>
  <Words>276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Hirth, Tina - LÖSLE</dc:creator>
  <cp:lastModifiedBy>Hirth, Tina - LÖSLE</cp:lastModifiedBy>
  <cp:revision>8</cp:revision>
  <cp:lastPrinted>2026-03-24T10:18:00Z</cp:lastPrinted>
  <dcterms:created xsi:type="dcterms:W3CDTF">2026-03-17T12:28:00Z</dcterms:created>
  <dcterms:modified xsi:type="dcterms:W3CDTF">2026-03-24T10:20:00Z</dcterms:modified>
</cp:coreProperties>
</file>