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3B559D" w:rsidRPr="00CA4B53" w14:paraId="08A37884" w14:textId="77777777" w:rsidTr="003B559D">
        <w:trPr>
          <w:cantSplit/>
          <w:trHeight w:val="68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C5F1C5"/>
            <w:tcMar>
              <w:top w:w="113" w:type="dxa"/>
              <w:bottom w:w="113" w:type="dxa"/>
            </w:tcMar>
            <w:vAlign w:val="center"/>
          </w:tcPr>
          <w:p w14:paraId="08B17930" w14:textId="77777777" w:rsidR="003B559D" w:rsidRPr="00894CCE" w:rsidRDefault="00894CCE" w:rsidP="003B559D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228B22"/>
                <w:szCs w:val="32"/>
              </w:rPr>
            </w:pPr>
            <w:r w:rsidRPr="00894CCE">
              <w:rPr>
                <w:rFonts w:ascii="Century Gothic" w:hAnsi="Century Gothic"/>
                <w:color w:val="228B22"/>
                <w:szCs w:val="32"/>
              </w:rPr>
              <w:t>Beispiele für schwere negative</w:t>
            </w:r>
            <w:r w:rsidR="009169EC">
              <w:rPr>
                <w:rFonts w:ascii="Century Gothic" w:hAnsi="Century Gothic"/>
                <w:color w:val="228B22"/>
                <w:szCs w:val="32"/>
              </w:rPr>
              <w:t xml:space="preserve"> </w:t>
            </w:r>
            <w:r w:rsidRPr="00894CCE">
              <w:rPr>
                <w:rFonts w:ascii="Century Gothic" w:hAnsi="Century Gothic"/>
                <w:color w:val="228B22"/>
                <w:szCs w:val="32"/>
              </w:rPr>
              <w:t>Menschenrechtsvorfälle (</w:t>
            </w:r>
            <w:proofErr w:type="spellStart"/>
            <w:r w:rsidRPr="00894CCE">
              <w:rPr>
                <w:rFonts w:ascii="Century Gothic" w:hAnsi="Century Gothic"/>
                <w:color w:val="228B22"/>
                <w:szCs w:val="32"/>
              </w:rPr>
              <w:t>Angabepflicht</w:t>
            </w:r>
            <w:proofErr w:type="spellEnd"/>
            <w:r w:rsidRPr="00894CCE">
              <w:rPr>
                <w:rFonts w:ascii="Century Gothic" w:hAnsi="Century Gothic"/>
                <w:color w:val="228B22"/>
                <w:szCs w:val="32"/>
              </w:rPr>
              <w:t xml:space="preserve"> C7)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C5F1C5"/>
            <w:textDirection w:val="btLr"/>
            <w:vAlign w:val="center"/>
          </w:tcPr>
          <w:p w14:paraId="1B82EBF9" w14:textId="77777777" w:rsidR="003B559D" w:rsidRPr="003B559D" w:rsidRDefault="003B559D" w:rsidP="003B559D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228722"/>
                <w:sz w:val="12"/>
                <w:szCs w:val="12"/>
              </w:rPr>
            </w:pPr>
            <w:r w:rsidRPr="003B559D">
              <w:rPr>
                <w:rFonts w:ascii="Century Gothic" w:hAnsi="Century Gothic"/>
                <w:b w:val="0"/>
                <w:color w:val="228722"/>
                <w:sz w:val="12"/>
                <w:szCs w:val="12"/>
                <w:shd w:val="clear" w:color="auto" w:fill="228722"/>
              </w:rPr>
              <w:t>02/2026</w:t>
            </w:r>
          </w:p>
        </w:tc>
      </w:tr>
    </w:tbl>
    <w:p w14:paraId="02531741" w14:textId="77777777" w:rsidR="00894CCE" w:rsidRDefault="00894CCE" w:rsidP="00894CCE">
      <w:pPr>
        <w:spacing w:before="0"/>
        <w:contextualSpacing/>
        <w:rPr>
          <w:sz w:val="20"/>
          <w:szCs w:val="16"/>
        </w:rPr>
      </w:pPr>
      <w:r w:rsidRPr="009D7EAB">
        <w:rPr>
          <w:noProof/>
          <w:sz w:val="20"/>
          <w:szCs w:val="16"/>
        </w:rPr>
        <w:drawing>
          <wp:anchor distT="0" distB="0" distL="114300" distR="114300" simplePos="0" relativeHeight="251662336" behindDoc="0" locked="0" layoutInCell="1" allowOverlap="1" wp14:anchorId="058BD1D0" wp14:editId="5FFCDD6C">
            <wp:simplePos x="0" y="0"/>
            <wp:positionH relativeFrom="column">
              <wp:posOffset>-3810</wp:posOffset>
            </wp:positionH>
            <wp:positionV relativeFrom="paragraph">
              <wp:posOffset>155575</wp:posOffset>
            </wp:positionV>
            <wp:extent cx="1722120" cy="1031875"/>
            <wp:effectExtent l="0" t="0" r="0" b="0"/>
            <wp:wrapSquare wrapText="bothSides"/>
            <wp:docPr id="7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E423FA82-B498-4A9E-ACF9-D458BECA82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E423FA82-B498-4A9E-ACF9-D458BECA82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FCE09" w14:textId="77777777" w:rsidR="00894CCE" w:rsidRPr="00B507B4" w:rsidRDefault="00894CCE" w:rsidP="00894CCE">
      <w:pPr>
        <w:spacing w:before="0"/>
        <w:contextualSpacing/>
        <w:jc w:val="left"/>
        <w:rPr>
          <w:sz w:val="16"/>
          <w:szCs w:val="16"/>
        </w:rPr>
      </w:pPr>
      <w:r>
        <w:rPr>
          <w:sz w:val="20"/>
          <w:szCs w:val="16"/>
        </w:rPr>
        <w:t xml:space="preserve">Quelle: </w:t>
      </w:r>
      <w:hyperlink r:id="rId10" w:history="1">
        <w:r w:rsidRPr="009D7EAB">
          <w:rPr>
            <w:rStyle w:val="Hyperlink"/>
            <w:sz w:val="16"/>
            <w:szCs w:val="16"/>
          </w:rPr>
          <w:t>https://www.efrag.org/en/vsme-supporting-guide-to-disclosure-c7-comprehensive-module-severe-negative-human-rights-incidents</w:t>
        </w:r>
      </w:hyperlink>
      <w:r w:rsidRPr="00B507B4">
        <w:rPr>
          <w:sz w:val="16"/>
          <w:szCs w:val="16"/>
        </w:rPr>
        <w:t xml:space="preserve"> (Abruf: 12.0</w:t>
      </w:r>
      <w:r>
        <w:rPr>
          <w:sz w:val="16"/>
          <w:szCs w:val="16"/>
        </w:rPr>
        <w:t>1</w:t>
      </w:r>
      <w:r w:rsidRPr="00B507B4">
        <w:rPr>
          <w:sz w:val="16"/>
          <w:szCs w:val="16"/>
        </w:rPr>
        <w:t>.202</w:t>
      </w:r>
      <w:r>
        <w:rPr>
          <w:sz w:val="16"/>
          <w:szCs w:val="16"/>
        </w:rPr>
        <w:t>6</w:t>
      </w:r>
      <w:r w:rsidRPr="00B507B4">
        <w:rPr>
          <w:sz w:val="16"/>
          <w:szCs w:val="16"/>
        </w:rPr>
        <w:t>)</w:t>
      </w:r>
    </w:p>
    <w:p w14:paraId="1B801CAB" w14:textId="77777777" w:rsidR="00894CCE" w:rsidRDefault="00894CCE" w:rsidP="00894CCE">
      <w:pPr>
        <w:spacing w:before="0"/>
        <w:contextualSpacing/>
        <w:rPr>
          <w:sz w:val="20"/>
          <w:szCs w:val="16"/>
        </w:rPr>
      </w:pPr>
    </w:p>
    <w:p w14:paraId="1CD89E18" w14:textId="77777777" w:rsidR="00894CCE" w:rsidRDefault="00894CCE" w:rsidP="00894CCE">
      <w:pPr>
        <w:spacing w:before="0"/>
        <w:contextualSpacing/>
        <w:jc w:val="left"/>
        <w:rPr>
          <w:noProof/>
        </w:rPr>
      </w:pPr>
      <w:r w:rsidRPr="009D7EAB"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74F4E" wp14:editId="333A195C">
                <wp:simplePos x="0" y="0"/>
                <wp:positionH relativeFrom="column">
                  <wp:posOffset>11430</wp:posOffset>
                </wp:positionH>
                <wp:positionV relativeFrom="paragraph">
                  <wp:posOffset>544195</wp:posOffset>
                </wp:positionV>
                <wp:extent cx="5753100" cy="1280160"/>
                <wp:effectExtent l="0" t="0" r="0" b="0"/>
                <wp:wrapNone/>
                <wp:docPr id="10" name="Rechteck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280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710B5" w14:textId="77777777" w:rsidR="00894CCE" w:rsidRDefault="00894CCE" w:rsidP="00894CCE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1"/>
                                <w:szCs w:val="21"/>
                              </w:rPr>
                              <w:t>Annex I der Empfehlung der EU zur Anwendung des VSME vom 30.07.2025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74F4E" id="Rechteck 3" o:spid="_x0000_s1026" style="position:absolute;margin-left:.9pt;margin-top:42.85pt;width:453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" fillcolor="#d8d8d8 [2732]" stroked="f" strokeweight="2pt">
                <v:textbox>
                  <w:txbxContent>
                    <w:p w14:paraId="692710B5" w14:textId="77777777" w:rsidR="00894CCE" w:rsidRDefault="00894CCE" w:rsidP="00894CCE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1"/>
                          <w:szCs w:val="21"/>
                        </w:rPr>
                        <w:t>Annex I der Empfehlung der EU zur Anwendung des VSME vom 30.07.2025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6EBB6D7" wp14:editId="2BD22D79">
            <wp:simplePos x="0" y="0"/>
            <wp:positionH relativeFrom="column">
              <wp:posOffset>392430</wp:posOffset>
            </wp:positionH>
            <wp:positionV relativeFrom="paragraph">
              <wp:posOffset>1089025</wp:posOffset>
            </wp:positionV>
            <wp:extent cx="5013960" cy="462598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462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9274CDB" wp14:editId="33BC357E">
            <wp:simplePos x="0" y="0"/>
            <wp:positionH relativeFrom="column">
              <wp:posOffset>80010</wp:posOffset>
            </wp:positionH>
            <wp:positionV relativeFrom="paragraph">
              <wp:posOffset>704215</wp:posOffset>
            </wp:positionV>
            <wp:extent cx="3771900" cy="38481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EAB">
        <w:rPr>
          <w:b/>
          <w:sz w:val="20"/>
          <w:szCs w:val="16"/>
        </w:rPr>
        <w:t>Unterstützungsleitfaden der EFRAG</w:t>
      </w:r>
      <w:r>
        <w:rPr>
          <w:sz w:val="20"/>
          <w:szCs w:val="16"/>
        </w:rPr>
        <w:t xml:space="preserve"> zur Offenlegung von C7 – Umfassendes Modul (</w:t>
      </w:r>
      <w:r w:rsidRPr="009D7EAB">
        <w:rPr>
          <w:b/>
          <w:sz w:val="20"/>
          <w:szCs w:val="16"/>
        </w:rPr>
        <w:t>Schwerwiegende negative Menschenrechtsvorfälle</w:t>
      </w:r>
      <w:r>
        <w:rPr>
          <w:sz w:val="20"/>
          <w:szCs w:val="16"/>
        </w:rPr>
        <w:t xml:space="preserve"> (Absatz 62 Buchstabe c)).</w:t>
      </w:r>
      <w:r w:rsidRPr="009D7EAB">
        <w:rPr>
          <w:noProof/>
        </w:rPr>
        <w:t xml:space="preserve"> </w:t>
      </w:r>
    </w:p>
    <w:p w14:paraId="3D35CD9E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541E0A80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1F85C41E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69C170C9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3D10D092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491E4D0D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2A7EC7A9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5CBE735D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115C8FE1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27085D18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  <w:r w:rsidRPr="009D7EAB"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CE4A2" wp14:editId="44BC0E17">
                <wp:simplePos x="0" y="0"/>
                <wp:positionH relativeFrom="column">
                  <wp:posOffset>11430</wp:posOffset>
                </wp:positionH>
                <wp:positionV relativeFrom="paragraph">
                  <wp:posOffset>59055</wp:posOffset>
                </wp:positionV>
                <wp:extent cx="5753100" cy="1592580"/>
                <wp:effectExtent l="0" t="0" r="0" b="7620"/>
                <wp:wrapNone/>
                <wp:docPr id="4" name="Rechtec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861AC1-9C8B-4005-8FEF-29345F042F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592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145D6" w14:textId="77777777" w:rsidR="00894CCE" w:rsidRDefault="00894CCE" w:rsidP="00894CCE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1"/>
                                <w:szCs w:val="21"/>
                              </w:rPr>
                              <w:t>Annex II der Empfehlung der EU zur Anwendung des VSME vom 30.07.2025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CE4A2" id="_x0000_s1027" style="position:absolute;margin-left:.9pt;margin-top:4.65pt;width:453pt;height:1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" fillcolor="#d8d8d8 [2732]" stroked="f" strokeweight="2pt">
                <v:textbox>
                  <w:txbxContent>
                    <w:p w14:paraId="403145D6" w14:textId="77777777" w:rsidR="00894CCE" w:rsidRDefault="00894CCE" w:rsidP="00894CCE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1"/>
                          <w:szCs w:val="21"/>
                        </w:rPr>
                        <w:t>Annex II der Empfehlung der EU zur Anwendung des VSME vom 30.07.2025</w:t>
                      </w:r>
                    </w:p>
                  </w:txbxContent>
                </v:textbox>
              </v:rect>
            </w:pict>
          </mc:Fallback>
        </mc:AlternateContent>
      </w:r>
    </w:p>
    <w:p w14:paraId="06E81799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  <w:r w:rsidRPr="009D7EAB">
        <w:rPr>
          <w:noProof/>
          <w:sz w:val="20"/>
          <w:szCs w:val="16"/>
        </w:rPr>
        <w:drawing>
          <wp:anchor distT="0" distB="0" distL="114300" distR="114300" simplePos="0" relativeHeight="251661312" behindDoc="0" locked="0" layoutInCell="1" allowOverlap="1" wp14:anchorId="7D757021" wp14:editId="1D5B91C9">
            <wp:simplePos x="0" y="0"/>
            <wp:positionH relativeFrom="column">
              <wp:posOffset>468630</wp:posOffset>
            </wp:positionH>
            <wp:positionV relativeFrom="paragraph">
              <wp:posOffset>33655</wp:posOffset>
            </wp:positionV>
            <wp:extent cx="4873214" cy="1167272"/>
            <wp:effectExtent l="0" t="0" r="3810" b="0"/>
            <wp:wrapNone/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82012DD4-B8FC-41E5-84BF-54D8482B4D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82012DD4-B8FC-41E5-84BF-54D8482B4D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3214" cy="1167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DECB3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2CCE57A2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0304BC12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67AFA653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588CA94D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2747D613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09EC6E59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4E51FED5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3AAA1B8E" w14:textId="77777777" w:rsidR="00894CCE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p w14:paraId="2AEFD8D3" w14:textId="77777777" w:rsidR="00B34F2D" w:rsidRPr="00B34F2D" w:rsidRDefault="00B34F2D" w:rsidP="00CA4B53">
      <w:pPr>
        <w:spacing w:before="0"/>
        <w:contextualSpacing/>
        <w:rPr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894CCE" w14:paraId="57A265DB" w14:textId="77777777" w:rsidTr="003F7331">
        <w:trPr>
          <w:trHeight w:val="624"/>
        </w:trPr>
        <w:tc>
          <w:tcPr>
            <w:tcW w:w="8359" w:type="dxa"/>
            <w:shd w:val="clear" w:color="auto" w:fill="C5F1C5"/>
            <w:vAlign w:val="center"/>
          </w:tcPr>
          <w:p w14:paraId="4E5DE002" w14:textId="77777777" w:rsidR="00894CCE" w:rsidRPr="009D7EAB" w:rsidRDefault="00894CCE" w:rsidP="003F7331">
            <w:pPr>
              <w:spacing w:before="0"/>
              <w:contextualSpacing/>
              <w:jc w:val="left"/>
              <w:rPr>
                <w:b/>
                <w:color w:val="00B050"/>
                <w:szCs w:val="16"/>
              </w:rPr>
            </w:pPr>
            <w:r w:rsidRPr="009D7EAB">
              <w:rPr>
                <w:b/>
                <w:color w:val="00B050"/>
                <w:szCs w:val="16"/>
              </w:rPr>
              <w:t>Beispiel 1: Arbeitnehmer in der Wertschöpfungskette</w:t>
            </w:r>
          </w:p>
        </w:tc>
        <w:tc>
          <w:tcPr>
            <w:tcW w:w="703" w:type="dxa"/>
            <w:shd w:val="clear" w:color="auto" w:fill="C5F1C5"/>
            <w:vAlign w:val="center"/>
          </w:tcPr>
          <w:p w14:paraId="02677FE7" w14:textId="77777777" w:rsidR="00894CCE" w:rsidRPr="009D7EAB" w:rsidRDefault="00894CCE" w:rsidP="003F7331">
            <w:pPr>
              <w:spacing w:before="0"/>
              <w:contextualSpacing/>
              <w:jc w:val="center"/>
              <w:rPr>
                <w:b/>
                <w:color w:val="00B050"/>
                <w:szCs w:val="16"/>
              </w:rPr>
            </w:pPr>
            <w:r>
              <w:rPr>
                <w:b/>
                <w:color w:val="00B050"/>
                <w:szCs w:val="16"/>
              </w:rPr>
              <w:t>Tz.</w:t>
            </w:r>
          </w:p>
        </w:tc>
      </w:tr>
      <w:tr w:rsidR="00894CCE" w14:paraId="6ED58CB2" w14:textId="77777777" w:rsidTr="003F7331">
        <w:tc>
          <w:tcPr>
            <w:tcW w:w="8359" w:type="dxa"/>
          </w:tcPr>
          <w:p w14:paraId="0C2A7175" w14:textId="77777777" w:rsidR="00894CCE" w:rsidRDefault="00894CCE" w:rsidP="003F7331">
            <w:pPr>
              <w:spacing w:before="0"/>
              <w:contextualSpacing/>
              <w:jc w:val="left"/>
            </w:pPr>
            <w:r>
              <w:br/>
              <w:t xml:space="preserve">Ein </w:t>
            </w:r>
            <w:r w:rsidRPr="009D7EAB">
              <w:rPr>
                <w:b/>
              </w:rPr>
              <w:t>kleines Bauunternehmen</w:t>
            </w:r>
            <w:r>
              <w:t xml:space="preserve"> erhielt eine formelle Beschwerde durch einen Brief einer Nichtregierungsorganisation, in dem </w:t>
            </w:r>
            <w:r w:rsidRPr="009D7EAB">
              <w:rPr>
                <w:b/>
              </w:rPr>
              <w:t>Bedenken hinsichtlich der Kinderarbeit</w:t>
            </w:r>
            <w:r>
              <w:t xml:space="preserve"> bei einem seiner Lieferanten in Südostasien geäußert wurden. </w:t>
            </w:r>
          </w:p>
          <w:p w14:paraId="534F5963" w14:textId="77777777" w:rsidR="00894CCE" w:rsidRDefault="00894CCE" w:rsidP="003F7331">
            <w:pPr>
              <w:spacing w:before="0"/>
              <w:contextualSpacing/>
              <w:jc w:val="left"/>
            </w:pPr>
          </w:p>
          <w:p w14:paraId="26251A89" w14:textId="77777777" w:rsidR="00894CCE" w:rsidRDefault="00894CCE" w:rsidP="003F7331">
            <w:pPr>
              <w:spacing w:before="0"/>
              <w:contextualSpacing/>
              <w:jc w:val="left"/>
            </w:pPr>
            <w:r>
              <w:t xml:space="preserve">Die Beschwerde, die </w:t>
            </w:r>
            <w:r w:rsidRPr="009D7EAB">
              <w:rPr>
                <w:b/>
              </w:rPr>
              <w:t>von einer lokalen Arbeitnehmerrechtsgruppe</w:t>
            </w:r>
            <w:r>
              <w:t xml:space="preserve"> eingereicht wurde, </w:t>
            </w:r>
            <w:r w:rsidRPr="009D7EAB">
              <w:rPr>
                <w:b/>
              </w:rPr>
              <w:t>enthielt Fotos und Zeugnisse</w:t>
            </w:r>
            <w:r>
              <w:t xml:space="preserve">, die darauf hinwiesen, dass </w:t>
            </w:r>
            <w:r w:rsidRPr="009D7EAB">
              <w:rPr>
                <w:b/>
              </w:rPr>
              <w:t>Kinder unter 14 Jahren an körperlich anstrengenden Arbeiten beteiligt</w:t>
            </w:r>
            <w:r>
              <w:t xml:space="preserve"> waren, wie zum Beispiel das Tragen schwerer Ziegel und </w:t>
            </w:r>
            <w:r w:rsidR="00AA7758">
              <w:t xml:space="preserve">die Arbeit an </w:t>
            </w:r>
            <w:r>
              <w:t xml:space="preserve">Betriebsöfen ohne Schutzausrüstung. </w:t>
            </w:r>
          </w:p>
          <w:p w14:paraId="7877BF00" w14:textId="77777777" w:rsidR="00894CCE" w:rsidRDefault="00894CCE" w:rsidP="003F7331">
            <w:pPr>
              <w:spacing w:before="0"/>
              <w:contextualSpacing/>
              <w:jc w:val="left"/>
            </w:pPr>
          </w:p>
          <w:p w14:paraId="24E75CE9" w14:textId="77777777" w:rsidR="00894CCE" w:rsidRDefault="00894CCE" w:rsidP="003F7331">
            <w:pPr>
              <w:spacing w:before="0"/>
              <w:contextualSpacing/>
              <w:jc w:val="left"/>
            </w:pPr>
            <w:r>
              <w:t xml:space="preserve">Das Thema erregte weitere Aufmerksamkeit, als ein </w:t>
            </w:r>
            <w:r w:rsidRPr="009D7EAB">
              <w:rPr>
                <w:b/>
              </w:rPr>
              <w:t>lokaler Journalist</w:t>
            </w:r>
            <w:r>
              <w:t xml:space="preserve"> über die </w:t>
            </w:r>
            <w:r w:rsidRPr="009D7EAB">
              <w:rPr>
                <w:b/>
              </w:rPr>
              <w:t>Bedingungen der Fabrik berichtete</w:t>
            </w:r>
            <w:r>
              <w:t xml:space="preserve"> und den </w:t>
            </w:r>
            <w:r w:rsidRPr="009D7EAB">
              <w:rPr>
                <w:b/>
              </w:rPr>
              <w:t>Druck auf das KMU erhöhte</w:t>
            </w:r>
            <w:r>
              <w:t xml:space="preserve">, darauf zu reagieren. </w:t>
            </w:r>
          </w:p>
          <w:p w14:paraId="5AE41E80" w14:textId="77777777" w:rsidR="00894CCE" w:rsidRDefault="00894CCE" w:rsidP="003F7331">
            <w:pPr>
              <w:spacing w:before="0"/>
              <w:contextualSpacing/>
              <w:jc w:val="left"/>
            </w:pPr>
          </w:p>
          <w:p w14:paraId="7C72F5C1" w14:textId="77777777" w:rsidR="00894CCE" w:rsidRDefault="00894CCE" w:rsidP="003F7331">
            <w:pPr>
              <w:spacing w:before="0"/>
              <w:contextualSpacing/>
              <w:jc w:val="left"/>
            </w:pPr>
            <w:r>
              <w:t xml:space="preserve">Angesichts des </w:t>
            </w:r>
            <w:r w:rsidRPr="009D7EAB">
              <w:rPr>
                <w:b/>
              </w:rPr>
              <w:t>Fehlens eines internen Compliance-Teams</w:t>
            </w:r>
            <w:r>
              <w:t xml:space="preserve"> beauftragte das KMU einen </w:t>
            </w:r>
            <w:r w:rsidRPr="009D7EAB">
              <w:rPr>
                <w:b/>
              </w:rPr>
              <w:t>lokalen vertrauenswürdigen Drittanbieter</w:t>
            </w:r>
            <w:r>
              <w:t>, den Lieferanten zu besuchen und die Ansprüche zu überprüfen.</w:t>
            </w:r>
          </w:p>
          <w:p w14:paraId="614AE479" w14:textId="77777777" w:rsidR="00894CCE" w:rsidRDefault="00894CCE" w:rsidP="00894CCE">
            <w:pPr>
              <w:spacing w:before="0"/>
              <w:contextualSpacing/>
              <w:jc w:val="left"/>
              <w:rPr>
                <w:sz w:val="20"/>
                <w:szCs w:val="16"/>
              </w:rPr>
            </w:pPr>
          </w:p>
        </w:tc>
        <w:tc>
          <w:tcPr>
            <w:tcW w:w="703" w:type="dxa"/>
          </w:tcPr>
          <w:p w14:paraId="112BDD70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5ADABF3E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  <w:r w:rsidRPr="00894CCE">
              <w:rPr>
                <w:b/>
              </w:rPr>
              <w:t>1</w:t>
            </w:r>
          </w:p>
          <w:p w14:paraId="14E79826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13C4AF7E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7B8D2566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70E0B5D5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  <w:r w:rsidRPr="00894CCE">
              <w:rPr>
                <w:b/>
              </w:rPr>
              <w:t>2</w:t>
            </w:r>
          </w:p>
          <w:p w14:paraId="77ACAF47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36CD1D39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75E6D2DE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33349393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030E2AE0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518F76E4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  <w:r w:rsidRPr="00894CCE">
              <w:rPr>
                <w:b/>
              </w:rPr>
              <w:t>3</w:t>
            </w:r>
          </w:p>
          <w:p w14:paraId="07D0E66B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74245C54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31F6EAF8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  <w:p w14:paraId="68A0E7A9" w14:textId="77777777" w:rsid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  <w:r w:rsidRPr="00894CCE">
              <w:rPr>
                <w:b/>
              </w:rPr>
              <w:t>4</w:t>
            </w:r>
          </w:p>
          <w:p w14:paraId="7FE427BD" w14:textId="77777777" w:rsidR="00894CCE" w:rsidRPr="00894CCE" w:rsidRDefault="00894CCE" w:rsidP="00894CCE">
            <w:pPr>
              <w:spacing w:before="0"/>
              <w:contextualSpacing/>
              <w:jc w:val="center"/>
              <w:rPr>
                <w:b/>
              </w:rPr>
            </w:pPr>
          </w:p>
        </w:tc>
      </w:tr>
    </w:tbl>
    <w:p w14:paraId="11837F6E" w14:textId="77777777" w:rsidR="00894CCE" w:rsidRDefault="00894CCE" w:rsidP="00894CCE">
      <w:pPr>
        <w:spacing w:before="0"/>
        <w:contextualSpacing/>
        <w:jc w:val="left"/>
      </w:pPr>
    </w:p>
    <w:p w14:paraId="7CBC4EB0" w14:textId="77777777" w:rsidR="00894CCE" w:rsidRDefault="00894CCE" w:rsidP="00894CCE">
      <w:pPr>
        <w:spacing w:before="0"/>
        <w:contextualSpacing/>
        <w:jc w:val="left"/>
      </w:pPr>
    </w:p>
    <w:p w14:paraId="5F23AAD3" w14:textId="77777777" w:rsidR="00894CCE" w:rsidRDefault="00894CCE" w:rsidP="00894CCE">
      <w:pPr>
        <w:spacing w:before="0"/>
        <w:contextualSpacing/>
        <w:jc w:val="left"/>
      </w:pPr>
    </w:p>
    <w:p w14:paraId="765D4846" w14:textId="77777777" w:rsidR="00894CCE" w:rsidRDefault="00894CCE" w:rsidP="00894CCE">
      <w:pPr>
        <w:spacing w:before="0"/>
        <w:contextualSpacing/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0E4311" w14:paraId="786B352F" w14:textId="77777777" w:rsidTr="003F7331">
        <w:trPr>
          <w:trHeight w:val="624"/>
        </w:trPr>
        <w:tc>
          <w:tcPr>
            <w:tcW w:w="8359" w:type="dxa"/>
            <w:shd w:val="clear" w:color="auto" w:fill="C5F1C5"/>
            <w:vAlign w:val="center"/>
          </w:tcPr>
          <w:p w14:paraId="73AAADA6" w14:textId="77777777" w:rsidR="000E4311" w:rsidRPr="009D7EAB" w:rsidRDefault="000E4311" w:rsidP="003F7331">
            <w:pPr>
              <w:spacing w:before="0"/>
              <w:contextualSpacing/>
              <w:jc w:val="left"/>
              <w:rPr>
                <w:b/>
                <w:color w:val="00B050"/>
                <w:szCs w:val="16"/>
              </w:rPr>
            </w:pPr>
            <w:r w:rsidRPr="009D7EAB">
              <w:rPr>
                <w:b/>
                <w:color w:val="00B050"/>
                <w:szCs w:val="16"/>
              </w:rPr>
              <w:lastRenderedPageBreak/>
              <w:t>Beispiel 1: Arbeitnehmer in der Wertschöpfungskette</w:t>
            </w:r>
            <w:r>
              <w:rPr>
                <w:b/>
                <w:color w:val="00B050"/>
                <w:szCs w:val="16"/>
              </w:rPr>
              <w:t>; Forts.</w:t>
            </w:r>
          </w:p>
        </w:tc>
        <w:tc>
          <w:tcPr>
            <w:tcW w:w="703" w:type="dxa"/>
            <w:shd w:val="clear" w:color="auto" w:fill="C5F1C5"/>
            <w:vAlign w:val="center"/>
          </w:tcPr>
          <w:p w14:paraId="75D49BD5" w14:textId="77777777" w:rsidR="000E4311" w:rsidRPr="009D7EAB" w:rsidRDefault="000E4311" w:rsidP="003F7331">
            <w:pPr>
              <w:spacing w:before="0"/>
              <w:contextualSpacing/>
              <w:jc w:val="center"/>
              <w:rPr>
                <w:b/>
                <w:color w:val="00B050"/>
                <w:szCs w:val="16"/>
              </w:rPr>
            </w:pPr>
            <w:r>
              <w:rPr>
                <w:b/>
                <w:color w:val="00B050"/>
                <w:szCs w:val="16"/>
              </w:rPr>
              <w:t>Tz.</w:t>
            </w:r>
          </w:p>
        </w:tc>
      </w:tr>
      <w:tr w:rsidR="000E4311" w14:paraId="6A0B442F" w14:textId="77777777" w:rsidTr="0075371F">
        <w:trPr>
          <w:trHeight w:val="2940"/>
        </w:trPr>
        <w:tc>
          <w:tcPr>
            <w:tcW w:w="8359" w:type="dxa"/>
          </w:tcPr>
          <w:p w14:paraId="43E44130" w14:textId="77777777" w:rsidR="000E4311" w:rsidRDefault="000E4311" w:rsidP="000E4311">
            <w:pPr>
              <w:spacing w:before="0"/>
              <w:contextualSpacing/>
              <w:jc w:val="left"/>
            </w:pPr>
            <w:r>
              <w:br/>
              <w:t xml:space="preserve">Die </w:t>
            </w:r>
            <w:r w:rsidRPr="009D7EAB">
              <w:rPr>
                <w:b/>
              </w:rPr>
              <w:t>Untersuchung bestätigte</w:t>
            </w:r>
            <w:r>
              <w:t xml:space="preserve">, dass </w:t>
            </w:r>
            <w:r w:rsidRPr="009D7EAB">
              <w:rPr>
                <w:b/>
              </w:rPr>
              <w:t>mehrere Kinder unter unsicheren Bedingungen</w:t>
            </w:r>
            <w:r>
              <w:t xml:space="preserve"> und oft als </w:t>
            </w:r>
            <w:r w:rsidRPr="009D7EAB">
              <w:rPr>
                <w:b/>
              </w:rPr>
              <w:t>Teil eines Familienschuldenrückzahlungssystems</w:t>
            </w:r>
            <w:r>
              <w:t xml:space="preserve"> arbeiteten. (</w:t>
            </w:r>
            <w:r w:rsidRPr="009D7EAB">
              <w:rPr>
                <w:b/>
              </w:rPr>
              <w:t>Zusätzliche Informationen</w:t>
            </w:r>
            <w:r>
              <w:t>, die nicht durch die Offenlegung erforderlich sind, aber die dem KMU helfen können, den Geschäftspartnern nützliche Informationen zur Verfügung zu stellen).</w:t>
            </w:r>
          </w:p>
          <w:p w14:paraId="26A5A4AF" w14:textId="77777777" w:rsidR="000E4311" w:rsidRDefault="000E4311" w:rsidP="000E4311">
            <w:pPr>
              <w:spacing w:before="0"/>
              <w:contextualSpacing/>
              <w:jc w:val="left"/>
              <w:rPr>
                <w:sz w:val="20"/>
                <w:szCs w:val="16"/>
              </w:rPr>
            </w:pPr>
          </w:p>
          <w:p w14:paraId="3BAB83AC" w14:textId="77777777" w:rsidR="000E4311" w:rsidRDefault="000E4311" w:rsidP="000E4311">
            <w:pPr>
              <w:rPr>
                <w:sz w:val="20"/>
                <w:szCs w:val="16"/>
              </w:rPr>
            </w:pPr>
            <w:r>
              <w:t xml:space="preserve">Mit </w:t>
            </w:r>
            <w:r w:rsidRPr="009D7EAB">
              <w:rPr>
                <w:b/>
              </w:rPr>
              <w:t>begrenzter Hebelwirkung</w:t>
            </w:r>
            <w:r>
              <w:t xml:space="preserve"> gegenüber dem Lieferanten </w:t>
            </w:r>
            <w:r w:rsidRPr="009D7EAB">
              <w:rPr>
                <w:b/>
              </w:rPr>
              <w:t>suchte das KMU Unterstützung von einem Branchenverband und einer lokalen NGO</w:t>
            </w:r>
            <w:r>
              <w:t>, um das Problem anzugehen.</w:t>
            </w:r>
          </w:p>
        </w:tc>
        <w:tc>
          <w:tcPr>
            <w:tcW w:w="703" w:type="dxa"/>
          </w:tcPr>
          <w:p w14:paraId="3DE73CDE" w14:textId="77777777" w:rsidR="000E4311" w:rsidRPr="00894CCE" w:rsidRDefault="000E4311" w:rsidP="000E4311">
            <w:pPr>
              <w:spacing w:before="0"/>
              <w:contextualSpacing/>
              <w:jc w:val="center"/>
              <w:rPr>
                <w:b/>
              </w:rPr>
            </w:pPr>
          </w:p>
          <w:p w14:paraId="6B16F340" w14:textId="77777777" w:rsidR="000E4311" w:rsidRDefault="000E4311" w:rsidP="000E4311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6A7EDFF3" w14:textId="77777777" w:rsidR="000E4311" w:rsidRDefault="000E4311" w:rsidP="000E4311">
            <w:pPr>
              <w:spacing w:before="0"/>
              <w:contextualSpacing/>
              <w:jc w:val="center"/>
              <w:rPr>
                <w:b/>
              </w:rPr>
            </w:pPr>
          </w:p>
          <w:p w14:paraId="2062574E" w14:textId="77777777" w:rsidR="000E4311" w:rsidRDefault="000E4311" w:rsidP="000E4311">
            <w:pPr>
              <w:spacing w:before="0"/>
              <w:contextualSpacing/>
              <w:jc w:val="center"/>
              <w:rPr>
                <w:b/>
              </w:rPr>
            </w:pPr>
          </w:p>
          <w:p w14:paraId="77BBFFA2" w14:textId="77777777" w:rsidR="000E4311" w:rsidRDefault="000E4311" w:rsidP="000E4311">
            <w:pPr>
              <w:spacing w:before="0"/>
              <w:contextualSpacing/>
              <w:jc w:val="center"/>
              <w:rPr>
                <w:b/>
              </w:rPr>
            </w:pPr>
          </w:p>
          <w:p w14:paraId="024AE1D1" w14:textId="77777777" w:rsidR="000E4311" w:rsidRDefault="000E4311" w:rsidP="000E4311">
            <w:pPr>
              <w:spacing w:before="0"/>
              <w:contextualSpacing/>
              <w:jc w:val="center"/>
              <w:rPr>
                <w:b/>
              </w:rPr>
            </w:pPr>
          </w:p>
          <w:p w14:paraId="0DC5BB10" w14:textId="77777777" w:rsidR="000E4311" w:rsidRPr="000E4311" w:rsidRDefault="000E4311" w:rsidP="000E4311">
            <w:pPr>
              <w:spacing w:before="0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75A607C3" w14:textId="77777777" w:rsidR="000E4311" w:rsidRDefault="000E4311" w:rsidP="000E4311">
            <w:pPr>
              <w:spacing w:before="0"/>
              <w:contextualSpacing/>
              <w:jc w:val="center"/>
              <w:rPr>
                <w:b/>
              </w:rPr>
            </w:pPr>
          </w:p>
          <w:p w14:paraId="7D84C876" w14:textId="77777777" w:rsidR="000E4311" w:rsidRPr="00894CCE" w:rsidRDefault="000E4311" w:rsidP="0075371F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14:paraId="4D43BFE0" w14:textId="77777777" w:rsidR="000E4311" w:rsidRDefault="000E4311" w:rsidP="00894CC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894CCE" w14:paraId="5BD6F19C" w14:textId="77777777" w:rsidTr="003F7331">
        <w:trPr>
          <w:trHeight w:val="624"/>
        </w:trPr>
        <w:tc>
          <w:tcPr>
            <w:tcW w:w="8359" w:type="dxa"/>
            <w:shd w:val="clear" w:color="auto" w:fill="C5F1C5"/>
            <w:vAlign w:val="center"/>
          </w:tcPr>
          <w:p w14:paraId="3B24D76E" w14:textId="77777777" w:rsidR="00894CCE" w:rsidRPr="009D7EAB" w:rsidRDefault="00894CCE" w:rsidP="003F7331">
            <w:pPr>
              <w:spacing w:before="0"/>
              <w:contextualSpacing/>
              <w:jc w:val="left"/>
              <w:rPr>
                <w:b/>
                <w:color w:val="00B050"/>
                <w:szCs w:val="16"/>
              </w:rPr>
            </w:pPr>
            <w:r>
              <w:rPr>
                <w:b/>
                <w:color w:val="00B050"/>
                <w:szCs w:val="16"/>
              </w:rPr>
              <w:t>Beispiel 2: Betroffene Gemeinschaften</w:t>
            </w:r>
          </w:p>
        </w:tc>
        <w:tc>
          <w:tcPr>
            <w:tcW w:w="703" w:type="dxa"/>
            <w:shd w:val="clear" w:color="auto" w:fill="C5F1C5"/>
            <w:vAlign w:val="center"/>
          </w:tcPr>
          <w:p w14:paraId="0F6975C0" w14:textId="77777777" w:rsidR="00894CCE" w:rsidRPr="009D7EAB" w:rsidRDefault="00894CCE" w:rsidP="003F7331">
            <w:pPr>
              <w:spacing w:before="0"/>
              <w:contextualSpacing/>
              <w:jc w:val="center"/>
              <w:rPr>
                <w:b/>
                <w:color w:val="00B050"/>
                <w:szCs w:val="16"/>
              </w:rPr>
            </w:pPr>
            <w:r>
              <w:rPr>
                <w:b/>
                <w:color w:val="00B050"/>
                <w:szCs w:val="16"/>
              </w:rPr>
              <w:t>Tz.</w:t>
            </w:r>
          </w:p>
        </w:tc>
      </w:tr>
      <w:tr w:rsidR="00894CCE" w14:paraId="40277ADE" w14:textId="77777777" w:rsidTr="003F7331">
        <w:tc>
          <w:tcPr>
            <w:tcW w:w="8359" w:type="dxa"/>
          </w:tcPr>
          <w:p w14:paraId="5FFFC39D" w14:textId="77777777" w:rsidR="006C7592" w:rsidRDefault="006C7592" w:rsidP="003F7331">
            <w:pPr>
              <w:spacing w:before="0"/>
              <w:contextualSpacing/>
              <w:jc w:val="left"/>
            </w:pPr>
          </w:p>
          <w:p w14:paraId="720044FC" w14:textId="77777777" w:rsidR="00894CCE" w:rsidRDefault="00894CCE" w:rsidP="003F7331">
            <w:pPr>
              <w:spacing w:before="0"/>
              <w:contextualSpacing/>
              <w:jc w:val="left"/>
            </w:pPr>
            <w:r>
              <w:t xml:space="preserve">Ein KMU betreibt </w:t>
            </w:r>
            <w:r w:rsidRPr="009D7EAB">
              <w:rPr>
                <w:b/>
              </w:rPr>
              <w:t>mehrere Obst- und Gemüseplantagen</w:t>
            </w:r>
            <w:r>
              <w:t xml:space="preserve">. </w:t>
            </w:r>
          </w:p>
          <w:p w14:paraId="0F63676B" w14:textId="77777777" w:rsidR="00894CCE" w:rsidRDefault="00894CCE" w:rsidP="003F7331">
            <w:pPr>
              <w:spacing w:before="0"/>
              <w:contextualSpacing/>
              <w:jc w:val="left"/>
            </w:pPr>
          </w:p>
          <w:p w14:paraId="73832EB0" w14:textId="77777777" w:rsidR="00894CCE" w:rsidRDefault="00894CCE" w:rsidP="003F7331">
            <w:pPr>
              <w:spacing w:before="0"/>
              <w:contextualSpacing/>
              <w:jc w:val="left"/>
            </w:pPr>
            <w:r w:rsidRPr="009D7EAB">
              <w:rPr>
                <w:b/>
              </w:rPr>
              <w:t>Lokale Gemeinden</w:t>
            </w:r>
            <w:r>
              <w:t xml:space="preserve"> haben eine </w:t>
            </w:r>
            <w:r w:rsidRPr="009D7EAB">
              <w:rPr>
                <w:b/>
              </w:rPr>
              <w:t>Kampagne initiiert</w:t>
            </w:r>
            <w:r>
              <w:t xml:space="preserve">, </w:t>
            </w:r>
          </w:p>
          <w:p w14:paraId="0AA30655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in der behauptet wird, </w:t>
            </w:r>
          </w:p>
          <w:p w14:paraId="2B36B00A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dass die </w:t>
            </w:r>
            <w:r w:rsidRPr="009D7EAB">
              <w:rPr>
                <w:b/>
              </w:rPr>
              <w:t>Pestizide und Herbizide in den Plantagen</w:t>
            </w:r>
            <w:r>
              <w:t xml:space="preserve"> </w:t>
            </w:r>
          </w:p>
          <w:p w14:paraId="6C0C3C35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 w:rsidRPr="009D7EAB">
              <w:rPr>
                <w:b/>
              </w:rPr>
              <w:t>über</w:t>
            </w:r>
            <w:r>
              <w:t xml:space="preserve"> den </w:t>
            </w:r>
            <w:r w:rsidRPr="009D7EAB">
              <w:rPr>
                <w:b/>
              </w:rPr>
              <w:t>gesetzlich zulässigen Grenzwerten</w:t>
            </w:r>
            <w:r>
              <w:t xml:space="preserve"> überbewertet wurden </w:t>
            </w:r>
          </w:p>
          <w:p w14:paraId="2C6EAF85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und dass diese </w:t>
            </w:r>
            <w:r w:rsidRPr="009D7EAB">
              <w:rPr>
                <w:b/>
              </w:rPr>
              <w:t>Überanwendung ernsthafte Risiken für die menschliche Gesundheit</w:t>
            </w:r>
            <w:r>
              <w:t xml:space="preserve"> darstellt. </w:t>
            </w:r>
            <w:r>
              <w:br/>
            </w:r>
          </w:p>
          <w:p w14:paraId="2D505B4F" w14:textId="77777777" w:rsidR="00894CCE" w:rsidRDefault="00894CCE" w:rsidP="003F7331">
            <w:pPr>
              <w:spacing w:before="0"/>
              <w:jc w:val="left"/>
            </w:pPr>
            <w:r>
              <w:t xml:space="preserve">Sie behaupten weiter, dass </w:t>
            </w:r>
          </w:p>
          <w:p w14:paraId="7ECB9EF1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 w:rsidRPr="009D7EAB">
              <w:rPr>
                <w:b/>
              </w:rPr>
              <w:t>einige Formen von Krankheiten</w:t>
            </w:r>
            <w:r>
              <w:t xml:space="preserve">, </w:t>
            </w:r>
          </w:p>
          <w:p w14:paraId="649D7B0F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die von Mitgliedern der Gemeinden erlitten werden, </w:t>
            </w:r>
          </w:p>
          <w:p w14:paraId="0886E3DE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 w:rsidRPr="009D7EAB">
              <w:rPr>
                <w:b/>
              </w:rPr>
              <w:t>durch die Pestizide und Herbizide verursacht</w:t>
            </w:r>
            <w:r>
              <w:t xml:space="preserve"> werden. </w:t>
            </w:r>
          </w:p>
          <w:p w14:paraId="39E060F7" w14:textId="77777777" w:rsidR="00894CCE" w:rsidRPr="009D7EAB" w:rsidRDefault="00894CCE" w:rsidP="003F7331">
            <w:pPr>
              <w:pStyle w:val="Listenabsatz"/>
              <w:spacing w:before="0"/>
              <w:jc w:val="left"/>
              <w:rPr>
                <w:sz w:val="20"/>
                <w:szCs w:val="16"/>
              </w:rPr>
            </w:pPr>
          </w:p>
          <w:p w14:paraId="6FF4A8BD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>
              <w:t xml:space="preserve">Diese Gemeinschaften behaupten, dass </w:t>
            </w:r>
          </w:p>
          <w:p w14:paraId="17FA3FAB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der </w:t>
            </w:r>
            <w:r w:rsidRPr="009D7EAB">
              <w:rPr>
                <w:b/>
              </w:rPr>
              <w:t>übermäßige Einsatz solcher Pestizide und Herbizide</w:t>
            </w:r>
            <w:r>
              <w:t xml:space="preserve"> </w:t>
            </w:r>
          </w:p>
          <w:p w14:paraId="766930E6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 w:rsidRPr="009D7EAB">
              <w:rPr>
                <w:b/>
              </w:rPr>
              <w:t>ihr Recht auf</w:t>
            </w:r>
            <w:r>
              <w:t xml:space="preserve"> </w:t>
            </w:r>
            <w:r w:rsidRPr="009D7EAB">
              <w:rPr>
                <w:b/>
              </w:rPr>
              <w:t>Gesundheit</w:t>
            </w:r>
            <w:r>
              <w:t xml:space="preserve"> und </w:t>
            </w:r>
          </w:p>
          <w:p w14:paraId="3C85E715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 w:rsidRPr="009D7EAB">
              <w:rPr>
                <w:b/>
              </w:rPr>
              <w:t>ihr Recht auf ein Leben</w:t>
            </w:r>
            <w:r>
              <w:t xml:space="preserve"> in einer </w:t>
            </w:r>
            <w:r w:rsidRPr="009D7EAB">
              <w:rPr>
                <w:b/>
              </w:rPr>
              <w:t>sauberen und gesunden Umwelt</w:t>
            </w:r>
            <w:r>
              <w:t xml:space="preserve"> </w:t>
            </w:r>
          </w:p>
          <w:p w14:paraId="77FEF076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>
              <w:t xml:space="preserve">beeinträchtigt. </w:t>
            </w:r>
          </w:p>
          <w:p w14:paraId="0A5BC4EC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</w:p>
          <w:p w14:paraId="7D9E547E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>
              <w:t xml:space="preserve">In </w:t>
            </w:r>
            <w:r w:rsidRPr="009D7EAB">
              <w:rPr>
                <w:b/>
              </w:rPr>
              <w:t>Zusammenarbeit</w:t>
            </w:r>
            <w:r>
              <w:t xml:space="preserve"> mit den zuständigen Behörden und lokalen externen Experten </w:t>
            </w:r>
            <w:r w:rsidRPr="009D7EAB">
              <w:rPr>
                <w:b/>
              </w:rPr>
              <w:t>wurden Untersuchungen durchgeführt</w:t>
            </w:r>
            <w:r>
              <w:t xml:space="preserve">, </w:t>
            </w:r>
          </w:p>
          <w:p w14:paraId="3E1C5FE8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um die </w:t>
            </w:r>
            <w:r w:rsidRPr="009D7EAB">
              <w:rPr>
                <w:b/>
              </w:rPr>
              <w:t>Situation zu bewerten</w:t>
            </w:r>
            <w:r>
              <w:t xml:space="preserve"> und </w:t>
            </w:r>
          </w:p>
          <w:p w14:paraId="6198241E" w14:textId="77777777" w:rsidR="00894CCE" w:rsidRPr="009D7EAB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das </w:t>
            </w:r>
            <w:r w:rsidRPr="009D7EAB">
              <w:rPr>
                <w:b/>
              </w:rPr>
              <w:t>Risiko eines schweren Menschenrechtsvorfalls zu bestätigen</w:t>
            </w:r>
            <w:r>
              <w:t xml:space="preserve">, </w:t>
            </w:r>
            <w:r>
              <w:br/>
              <w:t xml:space="preserve">der die Gesundheit und das Leben der Gemeinden beeinträchtigt. </w:t>
            </w:r>
          </w:p>
          <w:p w14:paraId="24AE6EC3" w14:textId="77777777" w:rsidR="00894CCE" w:rsidRDefault="00894CCE" w:rsidP="003F7331">
            <w:pPr>
              <w:pStyle w:val="Listenabsatz"/>
              <w:spacing w:before="0"/>
              <w:jc w:val="left"/>
            </w:pPr>
          </w:p>
          <w:p w14:paraId="52DBFCD7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>
              <w:t>Die Behörden haben das KMU benachrichtigt.</w:t>
            </w:r>
          </w:p>
          <w:p w14:paraId="5C7FA151" w14:textId="77777777" w:rsidR="006C7592" w:rsidRPr="009D7EAB" w:rsidRDefault="006C7592" w:rsidP="003F7331">
            <w:pPr>
              <w:pStyle w:val="Listenabsatz"/>
              <w:spacing w:before="0"/>
              <w:ind w:left="0"/>
              <w:jc w:val="left"/>
              <w:rPr>
                <w:sz w:val="20"/>
                <w:szCs w:val="16"/>
              </w:rPr>
            </w:pPr>
          </w:p>
        </w:tc>
        <w:tc>
          <w:tcPr>
            <w:tcW w:w="703" w:type="dxa"/>
          </w:tcPr>
          <w:p w14:paraId="275C78C5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2191D6F7" w14:textId="77777777" w:rsidR="00894CCE" w:rsidRP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  <w:r w:rsidRPr="006C7592">
              <w:rPr>
                <w:b/>
              </w:rPr>
              <w:t>7</w:t>
            </w:r>
          </w:p>
          <w:p w14:paraId="72F07A73" w14:textId="77777777" w:rsidR="006C7592" w:rsidRP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0E967AE0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  <w:r w:rsidRPr="006C7592">
              <w:rPr>
                <w:b/>
              </w:rPr>
              <w:t>8</w:t>
            </w:r>
          </w:p>
          <w:p w14:paraId="3DF4A8D5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6DFDDBD4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3EE735CC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4707AE99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0CC1F51C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07E4D844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714958CE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25E0C834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3B6D45FD" w14:textId="77777777" w:rsidR="006C7592" w:rsidRPr="006C7592" w:rsidRDefault="006C7592" w:rsidP="006C7592">
            <w:pPr>
              <w:spacing w:before="0"/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A22BF3E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520FA08A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3C8EA101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46C37928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540BCC8C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63B2E89B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619262AA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47E0043A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780EF132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14:paraId="7047F9FB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144E04E7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101EC8FE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08117F29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2247F4EE" w14:textId="77777777" w:rsid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</w:p>
          <w:p w14:paraId="3D8C084E" w14:textId="77777777" w:rsidR="006C7592" w:rsidRPr="006C7592" w:rsidRDefault="006C7592" w:rsidP="006C7592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14:paraId="45A16B05" w14:textId="77777777" w:rsidR="00D22682" w:rsidRDefault="00D22682" w:rsidP="00894CCE"/>
    <w:p w14:paraId="5C936685" w14:textId="77777777" w:rsidR="00D22682" w:rsidRDefault="00D22682" w:rsidP="00D22682">
      <w:pPr>
        <w:pStyle w:val="Standardeinzug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894CCE" w14:paraId="0FA605D1" w14:textId="77777777" w:rsidTr="003F7331">
        <w:trPr>
          <w:trHeight w:val="624"/>
        </w:trPr>
        <w:tc>
          <w:tcPr>
            <w:tcW w:w="8359" w:type="dxa"/>
            <w:shd w:val="clear" w:color="auto" w:fill="C5F1C5"/>
            <w:vAlign w:val="center"/>
          </w:tcPr>
          <w:p w14:paraId="1DD0F601" w14:textId="77777777" w:rsidR="00894CCE" w:rsidRPr="009D7EAB" w:rsidRDefault="00894CCE" w:rsidP="003F7331">
            <w:pPr>
              <w:spacing w:before="0"/>
              <w:contextualSpacing/>
              <w:jc w:val="left"/>
              <w:rPr>
                <w:b/>
                <w:color w:val="00B050"/>
                <w:szCs w:val="16"/>
              </w:rPr>
            </w:pPr>
            <w:r>
              <w:rPr>
                <w:b/>
                <w:color w:val="00B050"/>
                <w:szCs w:val="16"/>
              </w:rPr>
              <w:lastRenderedPageBreak/>
              <w:t>Beispiel 3: Verbraucher und Endverbraucher</w:t>
            </w:r>
          </w:p>
        </w:tc>
        <w:tc>
          <w:tcPr>
            <w:tcW w:w="703" w:type="dxa"/>
            <w:shd w:val="clear" w:color="auto" w:fill="C5F1C5"/>
            <w:vAlign w:val="center"/>
          </w:tcPr>
          <w:p w14:paraId="747A373D" w14:textId="77777777" w:rsidR="00894CCE" w:rsidRPr="009D7EAB" w:rsidRDefault="00894CCE" w:rsidP="003F7331">
            <w:pPr>
              <w:spacing w:before="0"/>
              <w:contextualSpacing/>
              <w:jc w:val="center"/>
              <w:rPr>
                <w:b/>
                <w:color w:val="00B050"/>
                <w:szCs w:val="16"/>
              </w:rPr>
            </w:pPr>
            <w:r>
              <w:rPr>
                <w:b/>
                <w:color w:val="00B050"/>
                <w:szCs w:val="16"/>
              </w:rPr>
              <w:t>Tz.</w:t>
            </w:r>
          </w:p>
        </w:tc>
      </w:tr>
      <w:tr w:rsidR="00894CCE" w14:paraId="28F0C2B5" w14:textId="77777777" w:rsidTr="003F7331">
        <w:tc>
          <w:tcPr>
            <w:tcW w:w="8359" w:type="dxa"/>
          </w:tcPr>
          <w:p w14:paraId="6F39D0B4" w14:textId="77777777" w:rsidR="00D22682" w:rsidRDefault="00D22682" w:rsidP="003F7331">
            <w:pPr>
              <w:pStyle w:val="Listenabsatz"/>
              <w:spacing w:before="0"/>
              <w:ind w:left="0"/>
              <w:jc w:val="left"/>
            </w:pPr>
          </w:p>
          <w:p w14:paraId="180888EC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>
              <w:t xml:space="preserve">Ein </w:t>
            </w:r>
            <w:r w:rsidRPr="00CD58F0">
              <w:rPr>
                <w:b/>
              </w:rPr>
              <w:t>mittelständisches Technologie-KMU</w:t>
            </w:r>
            <w:r>
              <w:t xml:space="preserve"> hat einen </w:t>
            </w:r>
            <w:r w:rsidRPr="00CD58F0">
              <w:rPr>
                <w:b/>
              </w:rPr>
              <w:t>Cloud-basierten Service zur Speicherung und Verwaltung sensibler Kundendaten</w:t>
            </w:r>
            <w:r>
              <w:t xml:space="preserve"> gestartet. </w:t>
            </w:r>
          </w:p>
          <w:p w14:paraId="1A797F35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</w:p>
          <w:p w14:paraId="4211D3F1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 w:rsidRPr="00CD58F0">
              <w:rPr>
                <w:b/>
              </w:rPr>
              <w:t>Trotz der Bemühungen</w:t>
            </w:r>
            <w:r>
              <w:t xml:space="preserve">, </w:t>
            </w:r>
          </w:p>
          <w:p w14:paraId="40FCAD87" w14:textId="77777777" w:rsidR="00894CCE" w:rsidRPr="00CD58F0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die </w:t>
            </w:r>
            <w:r w:rsidRPr="00CD58F0">
              <w:rPr>
                <w:b/>
              </w:rPr>
              <w:t>Datensicherheit und den Datenschutz zu gewährleisten</w:t>
            </w:r>
            <w:r>
              <w:t xml:space="preserve">, </w:t>
            </w:r>
          </w:p>
          <w:p w14:paraId="3899D9E0" w14:textId="77777777" w:rsidR="00894CCE" w:rsidRPr="00CD58F0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 w:rsidRPr="00CD58F0">
              <w:rPr>
                <w:b/>
              </w:rPr>
              <w:t>kam es zu einer Verletzung</w:t>
            </w:r>
            <w:r>
              <w:t xml:space="preserve">, </w:t>
            </w:r>
          </w:p>
          <w:p w14:paraId="01484B4F" w14:textId="77777777" w:rsidR="00894CCE" w:rsidRPr="00CD58F0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die </w:t>
            </w:r>
            <w:r w:rsidRPr="00CD58F0">
              <w:rPr>
                <w:b/>
              </w:rPr>
              <w:t>zu einem unbefugten Zugriff auf Kundendaten</w:t>
            </w:r>
            <w:r>
              <w:t xml:space="preserve"> </w:t>
            </w:r>
          </w:p>
          <w:p w14:paraId="4D7DBC83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>
              <w:t xml:space="preserve">führte. </w:t>
            </w:r>
          </w:p>
          <w:p w14:paraId="6BB5CAE0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</w:p>
          <w:p w14:paraId="3834DE26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>
              <w:t xml:space="preserve">Der </w:t>
            </w:r>
            <w:r w:rsidRPr="00CD58F0">
              <w:rPr>
                <w:b/>
              </w:rPr>
              <w:t>Verstoß enthüllte persönliche Informationen</w:t>
            </w:r>
            <w:r>
              <w:t xml:space="preserve"> (Namen, Adressen und finanzielle Daten), die sich </w:t>
            </w:r>
            <w:r w:rsidRPr="00CD58F0">
              <w:rPr>
                <w:b/>
              </w:rPr>
              <w:t>auf Tausende von Kunden auswirkten</w:t>
            </w:r>
            <w:r>
              <w:t xml:space="preserve">. </w:t>
            </w:r>
          </w:p>
          <w:p w14:paraId="5F3B2B7F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</w:p>
          <w:p w14:paraId="7C00A337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>
              <w:t xml:space="preserve">Dieser </w:t>
            </w:r>
            <w:r w:rsidRPr="00CD58F0">
              <w:rPr>
                <w:b/>
              </w:rPr>
              <w:t>Verstoß erhöhte auch das Risiko von Identitätsdiebstahl</w:t>
            </w:r>
            <w:r>
              <w:t xml:space="preserve"> erheblich. </w:t>
            </w:r>
          </w:p>
          <w:p w14:paraId="3F826D64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</w:p>
          <w:p w14:paraId="09AB6B46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 w:rsidRPr="00CD58F0">
              <w:rPr>
                <w:b/>
              </w:rPr>
              <w:t>Betroffene Kunden</w:t>
            </w:r>
            <w:r>
              <w:t xml:space="preserve"> </w:t>
            </w:r>
          </w:p>
          <w:p w14:paraId="103F1D05" w14:textId="77777777" w:rsidR="00894CCE" w:rsidRPr="00CD58F0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 w:rsidRPr="00CD58F0">
              <w:rPr>
                <w:b/>
              </w:rPr>
              <w:t>reichten formelle Beschwerden</w:t>
            </w:r>
            <w:r>
              <w:t xml:space="preserve"> </w:t>
            </w:r>
          </w:p>
          <w:p w14:paraId="60491252" w14:textId="77777777" w:rsidR="00894CCE" w:rsidRPr="00CD58F0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bei den </w:t>
            </w:r>
            <w:r w:rsidRPr="00CD58F0">
              <w:rPr>
                <w:b/>
              </w:rPr>
              <w:t>Datenschutzbehörden</w:t>
            </w:r>
            <w:r>
              <w:t xml:space="preserve"> ein und </w:t>
            </w:r>
          </w:p>
          <w:p w14:paraId="6E50B4E5" w14:textId="77777777" w:rsidR="00894CCE" w:rsidRPr="00CD58F0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behaupteten, </w:t>
            </w:r>
          </w:p>
          <w:p w14:paraId="29389E9E" w14:textId="77777777" w:rsidR="00894CCE" w:rsidRPr="00CD58F0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>
              <w:t xml:space="preserve">dass </w:t>
            </w:r>
            <w:r w:rsidRPr="00CD58F0">
              <w:rPr>
                <w:b/>
              </w:rPr>
              <w:t>ihr Recht auf Privatsphäre beeinträchtigt</w:t>
            </w:r>
            <w:r>
              <w:t xml:space="preserve"> wurde, </w:t>
            </w:r>
          </w:p>
          <w:p w14:paraId="7C29DCC0" w14:textId="77777777" w:rsidR="00894CCE" w:rsidRPr="00CD58F0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 w:rsidRPr="00CD58F0">
              <w:rPr>
                <w:b/>
              </w:rPr>
              <w:t>da die KMU keine angemessenen Sicherheitsmaßnahmen ergriffen</w:t>
            </w:r>
            <w:r>
              <w:t xml:space="preserve"> hat. </w:t>
            </w:r>
          </w:p>
          <w:p w14:paraId="6D06AB48" w14:textId="77777777" w:rsidR="00894CCE" w:rsidRPr="00CD58F0" w:rsidRDefault="00894CCE" w:rsidP="003F7331">
            <w:pPr>
              <w:pStyle w:val="Listenabsatz"/>
              <w:spacing w:before="0"/>
              <w:jc w:val="left"/>
              <w:rPr>
                <w:sz w:val="20"/>
                <w:szCs w:val="16"/>
              </w:rPr>
            </w:pPr>
          </w:p>
          <w:p w14:paraId="33E5DAF9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  <w:r w:rsidRPr="00CD58F0">
              <w:rPr>
                <w:b/>
              </w:rPr>
              <w:t>Die Behörden</w:t>
            </w:r>
            <w:r>
              <w:t xml:space="preserve"> </w:t>
            </w:r>
          </w:p>
          <w:p w14:paraId="140E5901" w14:textId="77777777" w:rsidR="00894CCE" w:rsidRPr="00CD58F0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 w:rsidRPr="00CD58F0">
              <w:rPr>
                <w:b/>
              </w:rPr>
              <w:t>leiteten eine Untersuchung der Datenschutzpraktiken</w:t>
            </w:r>
            <w:r>
              <w:t xml:space="preserve"> des Unternehmens ein und </w:t>
            </w:r>
          </w:p>
          <w:p w14:paraId="057926FA" w14:textId="77777777" w:rsidR="00894CCE" w:rsidRPr="00CD58F0" w:rsidRDefault="00894CCE" w:rsidP="00894CCE">
            <w:pPr>
              <w:pStyle w:val="Listenabsatz"/>
              <w:numPr>
                <w:ilvl w:val="0"/>
                <w:numId w:val="32"/>
              </w:numPr>
              <w:spacing w:before="0"/>
              <w:jc w:val="left"/>
              <w:rPr>
                <w:sz w:val="20"/>
                <w:szCs w:val="16"/>
              </w:rPr>
            </w:pPr>
            <w:r w:rsidRPr="00CD58F0">
              <w:rPr>
                <w:b/>
              </w:rPr>
              <w:t>bestätigten</w:t>
            </w:r>
            <w:r>
              <w:t xml:space="preserve"> </w:t>
            </w:r>
            <w:r w:rsidRPr="00CD58F0">
              <w:rPr>
                <w:b/>
              </w:rPr>
              <w:t>den Vorfall</w:t>
            </w:r>
            <w:r>
              <w:t xml:space="preserve">, bei dem die </w:t>
            </w:r>
            <w:r w:rsidRPr="00CD58F0">
              <w:rPr>
                <w:b/>
              </w:rPr>
              <w:t>Sicherheitsprotokolle nicht befolgt wurden.</w:t>
            </w:r>
            <w:r>
              <w:t xml:space="preserve"> </w:t>
            </w:r>
          </w:p>
          <w:p w14:paraId="13D8ED5C" w14:textId="77777777" w:rsidR="00894CCE" w:rsidRDefault="00894CCE" w:rsidP="003F7331">
            <w:pPr>
              <w:pStyle w:val="Listenabsatz"/>
              <w:spacing w:before="0"/>
              <w:ind w:left="0"/>
              <w:jc w:val="left"/>
            </w:pPr>
          </w:p>
          <w:p w14:paraId="0416A02B" w14:textId="77777777" w:rsidR="00894CCE" w:rsidRPr="00CD58F0" w:rsidRDefault="00894CCE" w:rsidP="003F7331">
            <w:pPr>
              <w:pStyle w:val="Listenabsatz"/>
              <w:spacing w:before="0"/>
              <w:ind w:left="0"/>
              <w:jc w:val="left"/>
              <w:rPr>
                <w:sz w:val="20"/>
                <w:szCs w:val="16"/>
              </w:rPr>
            </w:pPr>
            <w:r>
              <w:t>Die Behörden haben das KMU benachrichtigt.</w:t>
            </w:r>
          </w:p>
        </w:tc>
        <w:tc>
          <w:tcPr>
            <w:tcW w:w="703" w:type="dxa"/>
          </w:tcPr>
          <w:p w14:paraId="730B3882" w14:textId="77777777" w:rsidR="00894CCE" w:rsidRDefault="00894CCE" w:rsidP="003F7331">
            <w:pPr>
              <w:spacing w:before="0"/>
              <w:contextualSpacing/>
              <w:jc w:val="left"/>
            </w:pPr>
          </w:p>
          <w:p w14:paraId="1083B77C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  <w:r w:rsidRPr="00D22682">
              <w:rPr>
                <w:b/>
              </w:rPr>
              <w:t>13</w:t>
            </w:r>
          </w:p>
          <w:p w14:paraId="2822C506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58ED3AC4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1FF444E6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79040145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29B1AC7A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20329A44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5054E34A" w14:textId="77777777" w:rsidR="00D22682" w:rsidRPr="00D22682" w:rsidRDefault="00D22682" w:rsidP="00D22682">
            <w:pPr>
              <w:spacing w:before="0"/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63A07DC0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1F050FDC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203E2DFC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0C76E5D5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485BC238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14:paraId="0336ADC6" w14:textId="77777777" w:rsidR="00D22682" w:rsidRPr="00CC289D" w:rsidRDefault="00D22682" w:rsidP="00D22682">
            <w:pPr>
              <w:spacing w:before="0"/>
              <w:contextualSpacing/>
              <w:jc w:val="center"/>
              <w:rPr>
                <w:b/>
                <w:sz w:val="10"/>
                <w:szCs w:val="10"/>
              </w:rPr>
            </w:pPr>
          </w:p>
          <w:p w14:paraId="63B526B8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379B5DFA" w14:textId="77777777" w:rsidR="00D22682" w:rsidRDefault="00D22682" w:rsidP="00D22682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5E711756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33991E14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1423A4F5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367C0D9E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50232C3B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7064B85C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630194F6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4EBC7ECD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14:paraId="30596BB8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7186453C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471B155E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750F99AD" w14:textId="77777777" w:rsidR="00CC289D" w:rsidRPr="00CC289D" w:rsidRDefault="00CC289D" w:rsidP="00D22682">
            <w:pPr>
              <w:spacing w:before="0"/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72877C94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  <w:p w14:paraId="52C327FC" w14:textId="77777777" w:rsidR="00CC289D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14:paraId="23E1CFE1" w14:textId="77777777" w:rsidR="00CC289D" w:rsidRPr="00D22682" w:rsidRDefault="00CC289D" w:rsidP="00D22682">
            <w:pPr>
              <w:spacing w:before="0"/>
              <w:contextualSpacing/>
              <w:jc w:val="center"/>
              <w:rPr>
                <w:b/>
              </w:rPr>
            </w:pPr>
          </w:p>
        </w:tc>
      </w:tr>
    </w:tbl>
    <w:p w14:paraId="376A56AC" w14:textId="77777777" w:rsidR="00894CCE" w:rsidRPr="00B507B4" w:rsidRDefault="00894CCE" w:rsidP="00894CCE">
      <w:pPr>
        <w:spacing w:before="0"/>
        <w:contextualSpacing/>
        <w:jc w:val="left"/>
        <w:rPr>
          <w:sz w:val="20"/>
          <w:szCs w:val="16"/>
        </w:rPr>
      </w:pPr>
    </w:p>
    <w:sectPr w:rsidR="00894CCE" w:rsidRPr="00B507B4" w:rsidSect="003870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568" w:right="1701" w:bottom="851" w:left="1134" w:header="572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51DD8" w14:textId="77777777" w:rsidR="008F5922" w:rsidRDefault="008F5922">
      <w:pPr>
        <w:spacing w:before="0"/>
      </w:pPr>
      <w:r>
        <w:separator/>
      </w:r>
    </w:p>
  </w:endnote>
  <w:endnote w:type="continuationSeparator" w:id="0">
    <w:p w14:paraId="0AEAD3CE" w14:textId="77777777" w:rsidR="008F5922" w:rsidRDefault="008F592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7D21B" w14:textId="77777777" w:rsidR="005E3A62" w:rsidRDefault="005E3A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77"/>
      <w:gridCol w:w="3860"/>
      <w:gridCol w:w="2235"/>
    </w:tblGrid>
    <w:tr w:rsidR="00AA7758" w:rsidRPr="008667C8" w14:paraId="7880E291" w14:textId="77777777" w:rsidTr="00C415E4">
      <w:trPr>
        <w:trHeight w:hRule="exact" w:val="737"/>
      </w:trPr>
      <w:tc>
        <w:tcPr>
          <w:tcW w:w="2977" w:type="dxa"/>
          <w:vAlign w:val="bottom"/>
        </w:tcPr>
        <w:p w14:paraId="2E480098" w14:textId="77777777" w:rsidR="00AA7758" w:rsidRPr="005F3383" w:rsidRDefault="00AA7758" w:rsidP="00AA7758">
          <w:pPr>
            <w:tabs>
              <w:tab w:val="left" w:pos="2100"/>
            </w:tabs>
            <w:rPr>
              <w:sz w:val="20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sz w:val="20"/>
            </w:rPr>
            <w:fldChar w:fldCharType="begin"/>
          </w:r>
          <w:r w:rsidRPr="005F3383">
            <w:rPr>
              <w:sz w:val="20"/>
            </w:rPr>
            <w:instrText>PAGE   \* MERGEFORMAT</w:instrText>
          </w:r>
          <w:r w:rsidRPr="005F3383">
            <w:rPr>
              <w:sz w:val="20"/>
            </w:rPr>
            <w:fldChar w:fldCharType="separate"/>
          </w:r>
          <w:r w:rsidRPr="005F3383">
            <w:rPr>
              <w:sz w:val="20"/>
            </w:rPr>
            <w:t>1</w:t>
          </w:r>
          <w:r w:rsidRPr="005F3383">
            <w:rPr>
              <w:sz w:val="20"/>
            </w:rPr>
            <w:fldChar w:fldCharType="end"/>
          </w:r>
          <w:r w:rsidRPr="005F3383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4095833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sz w:val="20"/>
                </w:rPr>
                <w:t xml:space="preserve">von </w:t>
              </w:r>
              <w:r w:rsidRPr="005F3383">
                <w:rPr>
                  <w:sz w:val="20"/>
                </w:rPr>
                <w:fldChar w:fldCharType="begin"/>
              </w:r>
              <w:r w:rsidRPr="005F3383">
                <w:rPr>
                  <w:sz w:val="20"/>
                </w:rPr>
                <w:instrText xml:space="preserve"> NUMPAGES  \* Arabic  \* MERGEFORMAT </w:instrText>
              </w:r>
              <w:r w:rsidRPr="005F3383">
                <w:rPr>
                  <w:sz w:val="20"/>
                </w:rPr>
                <w:fldChar w:fldCharType="separate"/>
              </w:r>
              <w:r w:rsidRPr="005F3383">
                <w:rPr>
                  <w:sz w:val="20"/>
                </w:rPr>
                <w:t>26</w:t>
              </w:r>
              <w:r w:rsidRPr="005F3383">
                <w:rPr>
                  <w:sz w:val="20"/>
                </w:rPr>
                <w:fldChar w:fldCharType="end"/>
              </w:r>
            </w:sdtContent>
          </w:sdt>
        </w:p>
        <w:p w14:paraId="1B4B92E6" w14:textId="77777777" w:rsidR="00AA7758" w:rsidRPr="008667C8" w:rsidRDefault="00AA7758" w:rsidP="00AA7758">
          <w:pPr>
            <w:tabs>
              <w:tab w:val="left" w:pos="2100"/>
            </w:tabs>
            <w:spacing w:before="0"/>
            <w:rPr>
              <w:color w:val="228B22"/>
              <w:sz w:val="16"/>
              <w:szCs w:val="16"/>
            </w:rPr>
          </w:pPr>
          <w:r w:rsidRPr="000C52BA">
            <w:rPr>
              <w:b/>
              <w:color w:val="228B22"/>
              <w:sz w:val="20"/>
            </w:rPr>
            <w:t xml:space="preserve">VSME </w:t>
          </w:r>
          <w:r>
            <w:rPr>
              <w:b/>
              <w:color w:val="228B22"/>
              <w:sz w:val="20"/>
            </w:rPr>
            <w:t>BASICS 2026</w:t>
          </w:r>
        </w:p>
      </w:tc>
      <w:tc>
        <w:tcPr>
          <w:tcW w:w="3860" w:type="dxa"/>
          <w:vAlign w:val="bottom"/>
        </w:tcPr>
        <w:p w14:paraId="3D4F4690" w14:textId="77777777" w:rsidR="00AA7758" w:rsidRDefault="00AA7758" w:rsidP="00AA7758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 w:rsidRPr="0038709B">
            <w:rPr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26C61A2C" wp14:editId="18E6CBD9">
                <wp:simplePos x="0" y="0"/>
                <wp:positionH relativeFrom="column">
                  <wp:posOffset>434975</wp:posOffset>
                </wp:positionH>
                <wp:positionV relativeFrom="paragraph">
                  <wp:posOffset>85725</wp:posOffset>
                </wp:positionV>
                <wp:extent cx="1471930" cy="171450"/>
                <wp:effectExtent l="0" t="0" r="0" b="0"/>
                <wp:wrapNone/>
                <wp:docPr id="1" name="Grafik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249725-4F26-47D7-859E-31E4DED920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rafik 14">
                          <a:extLst>
                            <a:ext uri="{FF2B5EF4-FFF2-40B4-BE49-F238E27FC236}">
                              <a16:creationId xmlns:a16="http://schemas.microsoft.com/office/drawing/2014/main" id="{91249725-4F26-47D7-859E-31E4DED9202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5" w:type="dxa"/>
          <w:vAlign w:val="bottom"/>
        </w:tcPr>
        <w:p w14:paraId="2552E751" w14:textId="16ABA710" w:rsidR="00AA7758" w:rsidRPr="009B73C0" w:rsidRDefault="00AA7758" w:rsidP="00AA7758">
          <w:pPr>
            <w:tabs>
              <w:tab w:val="left" w:pos="1731"/>
            </w:tabs>
            <w:ind w:right="-110"/>
            <w:jc w:val="right"/>
            <w:rPr>
              <w:b/>
              <w:color w:val="00B0F0"/>
              <w:sz w:val="20"/>
            </w:rPr>
          </w:pPr>
          <w:r>
            <w:rPr>
              <w:b/>
              <w:color w:val="228B22"/>
              <w:sz w:val="20"/>
            </w:rPr>
            <w:t xml:space="preserve">Praxishilfe </w:t>
          </w:r>
          <w:r w:rsidR="005E3A62">
            <w:rPr>
              <w:b/>
              <w:color w:val="228B22"/>
              <w:sz w:val="20"/>
            </w:rPr>
            <w:t>4/3</w:t>
          </w:r>
          <w:bookmarkStart w:id="0" w:name="_GoBack"/>
          <w:bookmarkEnd w:id="0"/>
        </w:p>
      </w:tc>
    </w:tr>
  </w:tbl>
  <w:p w14:paraId="0380D435" w14:textId="77777777" w:rsidR="001E1F96" w:rsidRPr="0038709B" w:rsidRDefault="001E1F96" w:rsidP="00CB2FA1">
    <w:pPr>
      <w:pStyle w:val="Fuzeile"/>
      <w:rPr>
        <w:rFonts w:eastAsiaTheme="minorHAns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0E2E" w14:textId="77777777" w:rsidR="001E1F96" w:rsidRPr="00870FFE" w:rsidRDefault="00CA4B53" w:rsidP="00CA4B53">
    <w:pPr>
      <w:tabs>
        <w:tab w:val="center" w:pos="4536"/>
        <w:tab w:val="right" w:pos="9072"/>
      </w:tabs>
      <w:spacing w:before="520" w:after="120"/>
      <w:jc w:val="lef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785612952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3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>
      <w:rPr>
        <w:rFonts w:eastAsiaTheme="minorHAnsi" w:cstheme="minorBidi"/>
        <w:b/>
        <w:color w:val="00B0F0"/>
        <w:sz w:val="20"/>
        <w:lang w:eastAsia="en-US"/>
      </w:rPr>
      <w:t>Prüferhilfe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092AA" w14:textId="77777777" w:rsidR="008F5922" w:rsidRDefault="008F5922" w:rsidP="00EE217B">
      <w:pPr>
        <w:pStyle w:val="Fuzeile"/>
      </w:pPr>
    </w:p>
    <w:p w14:paraId="4A275308" w14:textId="77777777" w:rsidR="008F5922" w:rsidRPr="00EE217B" w:rsidRDefault="008F5922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3435AC6C" w14:textId="77777777" w:rsidR="008F5922" w:rsidRDefault="008F5922" w:rsidP="00711AB6">
      <w:pPr>
        <w:spacing w:before="0"/>
        <w:jc w:val="center"/>
      </w:pPr>
    </w:p>
    <w:p w14:paraId="0A246B01" w14:textId="77777777" w:rsidR="008F5922" w:rsidRPr="00711AB6" w:rsidRDefault="008F5922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2108" w14:textId="77777777" w:rsidR="005E3A62" w:rsidRDefault="005E3A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68844" w14:textId="77777777" w:rsidR="00CA4B53" w:rsidRPr="00CA4B53" w:rsidRDefault="00CA4B53" w:rsidP="004E2AE4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D543" w14:textId="77777777" w:rsidR="00CA4B53" w:rsidRPr="00CA4B53" w:rsidRDefault="00CA4B53" w:rsidP="00CA4B53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  <w:tbl>
    <w:tblPr>
      <w:tblStyle w:val="Tabellenraster"/>
      <w:tblW w:w="0" w:type="auto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797"/>
      <w:gridCol w:w="4820"/>
      <w:gridCol w:w="575"/>
      <w:gridCol w:w="575"/>
      <w:gridCol w:w="575"/>
      <w:gridCol w:w="575"/>
      <w:gridCol w:w="575"/>
      <w:gridCol w:w="575"/>
    </w:tblGrid>
    <w:tr w:rsidR="00CA4B53" w14:paraId="202B14CB" w14:textId="77777777" w:rsidTr="008E2466">
      <w:trPr>
        <w:cantSplit/>
        <w:trHeight w:val="15"/>
      </w:trPr>
      <w:tc>
        <w:tcPr>
          <w:tcW w:w="799" w:type="dxa"/>
          <w:tcBorders>
            <w:top w:val="nil"/>
            <w:left w:val="nil"/>
            <w:bottom w:val="nil"/>
          </w:tcBorders>
          <w:textDirection w:val="btLr"/>
          <w:vAlign w:val="center"/>
        </w:tcPr>
        <w:p w14:paraId="4E522DF4" w14:textId="77777777" w:rsid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ind w:left="113" w:right="113"/>
            <w:jc w:val="center"/>
            <w:rPr>
              <w:sz w:val="16"/>
              <w:szCs w:val="14"/>
            </w:rPr>
          </w:pPr>
        </w:p>
      </w:tc>
      <w:tc>
        <w:tcPr>
          <w:tcW w:w="4837" w:type="dxa"/>
          <w:shd w:val="clear" w:color="auto" w:fill="D9D9D9" w:themeFill="background1" w:themeFillShade="D9"/>
        </w:tcPr>
        <w:p w14:paraId="41B9BDDA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rPr>
              <w:b/>
              <w:sz w:val="16"/>
              <w:szCs w:val="14"/>
            </w:rPr>
          </w:pPr>
          <w:r>
            <w:rPr>
              <w:b/>
              <w:sz w:val="16"/>
              <w:szCs w:val="14"/>
            </w:rPr>
            <w:t>Inspektionen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0DB5250C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2017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795AF075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2018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30C7B410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2019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78539184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2020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39026EA3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2021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2D5B3C75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2022</w:t>
          </w:r>
        </w:p>
      </w:tc>
    </w:tr>
  </w:tbl>
  <w:p w14:paraId="2FC983BE" w14:textId="77777777" w:rsidR="001E1F96" w:rsidRPr="00CA4B53" w:rsidRDefault="001E1F96" w:rsidP="00CA4B53">
    <w:pPr>
      <w:pStyle w:val="Kopfzeile"/>
      <w:pBdr>
        <w:bottom w:val="none" w:sz="0" w:space="0" w:color="auto"/>
      </w:pBdr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983811"/>
    <w:multiLevelType w:val="hybridMultilevel"/>
    <w:tmpl w:val="99365C02"/>
    <w:lvl w:ilvl="0" w:tplc="A2B8D742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3055731"/>
    <w:multiLevelType w:val="hybridMultilevel"/>
    <w:tmpl w:val="DC8A3FEE"/>
    <w:lvl w:ilvl="0" w:tplc="E390BB4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color="00B0F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27AFD"/>
    <w:multiLevelType w:val="hybridMultilevel"/>
    <w:tmpl w:val="1288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166B58"/>
    <w:multiLevelType w:val="hybridMultilevel"/>
    <w:tmpl w:val="BD9ECAD6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0760D"/>
    <w:multiLevelType w:val="hybridMultilevel"/>
    <w:tmpl w:val="529CC06E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34E12"/>
    <w:multiLevelType w:val="hybridMultilevel"/>
    <w:tmpl w:val="878455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738AB"/>
    <w:multiLevelType w:val="hybridMultilevel"/>
    <w:tmpl w:val="FC18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3A2CBF"/>
    <w:multiLevelType w:val="hybridMultilevel"/>
    <w:tmpl w:val="E25A308A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43BF2"/>
    <w:multiLevelType w:val="hybridMultilevel"/>
    <w:tmpl w:val="515211D8"/>
    <w:lvl w:ilvl="0" w:tplc="0407000F">
      <w:start w:val="1"/>
      <w:numFmt w:val="decimal"/>
      <w:lvlText w:val="%1."/>
      <w:lvlJc w:val="left"/>
      <w:pPr>
        <w:ind w:left="2291" w:hanging="360"/>
      </w:pPr>
    </w:lvl>
    <w:lvl w:ilvl="1" w:tplc="04070019" w:tentative="1">
      <w:start w:val="1"/>
      <w:numFmt w:val="lowerLetter"/>
      <w:lvlText w:val="%2."/>
      <w:lvlJc w:val="left"/>
      <w:pPr>
        <w:ind w:left="3011" w:hanging="360"/>
      </w:pPr>
    </w:lvl>
    <w:lvl w:ilvl="2" w:tplc="0407001B" w:tentative="1">
      <w:start w:val="1"/>
      <w:numFmt w:val="lowerRoman"/>
      <w:lvlText w:val="%3."/>
      <w:lvlJc w:val="right"/>
      <w:pPr>
        <w:ind w:left="3731" w:hanging="180"/>
      </w:pPr>
    </w:lvl>
    <w:lvl w:ilvl="3" w:tplc="0407000F" w:tentative="1">
      <w:start w:val="1"/>
      <w:numFmt w:val="decimal"/>
      <w:lvlText w:val="%4."/>
      <w:lvlJc w:val="left"/>
      <w:pPr>
        <w:ind w:left="4451" w:hanging="360"/>
      </w:pPr>
    </w:lvl>
    <w:lvl w:ilvl="4" w:tplc="04070019" w:tentative="1">
      <w:start w:val="1"/>
      <w:numFmt w:val="lowerLetter"/>
      <w:lvlText w:val="%5."/>
      <w:lvlJc w:val="left"/>
      <w:pPr>
        <w:ind w:left="5171" w:hanging="360"/>
      </w:pPr>
    </w:lvl>
    <w:lvl w:ilvl="5" w:tplc="0407001B" w:tentative="1">
      <w:start w:val="1"/>
      <w:numFmt w:val="lowerRoman"/>
      <w:lvlText w:val="%6."/>
      <w:lvlJc w:val="right"/>
      <w:pPr>
        <w:ind w:left="5891" w:hanging="180"/>
      </w:pPr>
    </w:lvl>
    <w:lvl w:ilvl="6" w:tplc="0407000F" w:tentative="1">
      <w:start w:val="1"/>
      <w:numFmt w:val="decimal"/>
      <w:lvlText w:val="%7."/>
      <w:lvlJc w:val="left"/>
      <w:pPr>
        <w:ind w:left="6611" w:hanging="360"/>
      </w:pPr>
    </w:lvl>
    <w:lvl w:ilvl="7" w:tplc="04070019" w:tentative="1">
      <w:start w:val="1"/>
      <w:numFmt w:val="lowerLetter"/>
      <w:lvlText w:val="%8."/>
      <w:lvlJc w:val="left"/>
      <w:pPr>
        <w:ind w:left="7331" w:hanging="360"/>
      </w:pPr>
    </w:lvl>
    <w:lvl w:ilvl="8" w:tplc="040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5B3D0B41"/>
    <w:multiLevelType w:val="hybridMultilevel"/>
    <w:tmpl w:val="E25A308A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5BB4540E"/>
    <w:multiLevelType w:val="hybridMultilevel"/>
    <w:tmpl w:val="4B766EEE"/>
    <w:lvl w:ilvl="0" w:tplc="3B989A3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0465"/>
    <w:multiLevelType w:val="hybridMultilevel"/>
    <w:tmpl w:val="AE9C18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FF27D1"/>
    <w:multiLevelType w:val="hybridMultilevel"/>
    <w:tmpl w:val="7F3CB42E"/>
    <w:lvl w:ilvl="0" w:tplc="F0D01788">
      <w:start w:val="1"/>
      <w:numFmt w:val="decimal"/>
      <w:lvlText w:val="%1."/>
      <w:lvlJc w:val="left"/>
      <w:pPr>
        <w:ind w:left="535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000000" w:themeColor="text1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255" w:hanging="360"/>
      </w:pPr>
    </w:lvl>
    <w:lvl w:ilvl="2" w:tplc="0407001B" w:tentative="1">
      <w:start w:val="1"/>
      <w:numFmt w:val="lowerRoman"/>
      <w:lvlText w:val="%3."/>
      <w:lvlJc w:val="right"/>
      <w:pPr>
        <w:ind w:left="1975" w:hanging="180"/>
      </w:pPr>
    </w:lvl>
    <w:lvl w:ilvl="3" w:tplc="0407000F" w:tentative="1">
      <w:start w:val="1"/>
      <w:numFmt w:val="decimal"/>
      <w:lvlText w:val="%4."/>
      <w:lvlJc w:val="left"/>
      <w:pPr>
        <w:ind w:left="2695" w:hanging="360"/>
      </w:pPr>
    </w:lvl>
    <w:lvl w:ilvl="4" w:tplc="04070019" w:tentative="1">
      <w:start w:val="1"/>
      <w:numFmt w:val="lowerLetter"/>
      <w:lvlText w:val="%5."/>
      <w:lvlJc w:val="left"/>
      <w:pPr>
        <w:ind w:left="3415" w:hanging="360"/>
      </w:pPr>
    </w:lvl>
    <w:lvl w:ilvl="5" w:tplc="0407001B" w:tentative="1">
      <w:start w:val="1"/>
      <w:numFmt w:val="lowerRoman"/>
      <w:lvlText w:val="%6."/>
      <w:lvlJc w:val="right"/>
      <w:pPr>
        <w:ind w:left="4135" w:hanging="180"/>
      </w:pPr>
    </w:lvl>
    <w:lvl w:ilvl="6" w:tplc="0407000F" w:tentative="1">
      <w:start w:val="1"/>
      <w:numFmt w:val="decimal"/>
      <w:lvlText w:val="%7."/>
      <w:lvlJc w:val="left"/>
      <w:pPr>
        <w:ind w:left="4855" w:hanging="360"/>
      </w:pPr>
    </w:lvl>
    <w:lvl w:ilvl="7" w:tplc="04070019" w:tentative="1">
      <w:start w:val="1"/>
      <w:numFmt w:val="lowerLetter"/>
      <w:lvlText w:val="%8."/>
      <w:lvlJc w:val="left"/>
      <w:pPr>
        <w:ind w:left="5575" w:hanging="360"/>
      </w:pPr>
    </w:lvl>
    <w:lvl w:ilvl="8" w:tplc="040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 w15:restartNumberingAfterBreak="0">
    <w:nsid w:val="6F393800"/>
    <w:multiLevelType w:val="hybridMultilevel"/>
    <w:tmpl w:val="164A87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EC6636"/>
    <w:multiLevelType w:val="hybridMultilevel"/>
    <w:tmpl w:val="595A6D36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4"/>
  </w:num>
  <w:num w:numId="12">
    <w:abstractNumId w:val="11"/>
  </w:num>
  <w:num w:numId="13">
    <w:abstractNumId w:val="12"/>
  </w:num>
  <w:num w:numId="14">
    <w:abstractNumId w:val="21"/>
  </w:num>
  <w:num w:numId="15">
    <w:abstractNumId w:val="16"/>
  </w:num>
  <w:num w:numId="16">
    <w:abstractNumId w:val="13"/>
  </w:num>
  <w:num w:numId="17">
    <w:abstractNumId w:val="30"/>
  </w:num>
  <w:num w:numId="18">
    <w:abstractNumId w:val="15"/>
  </w:num>
  <w:num w:numId="19">
    <w:abstractNumId w:val="29"/>
  </w:num>
  <w:num w:numId="20">
    <w:abstractNumId w:val="28"/>
  </w:num>
  <w:num w:numId="21">
    <w:abstractNumId w:val="17"/>
  </w:num>
  <w:num w:numId="22">
    <w:abstractNumId w:val="23"/>
  </w:num>
  <w:num w:numId="23">
    <w:abstractNumId w:val="22"/>
  </w:num>
  <w:num w:numId="24">
    <w:abstractNumId w:val="20"/>
  </w:num>
  <w:num w:numId="25">
    <w:abstractNumId w:val="14"/>
  </w:num>
  <w:num w:numId="26">
    <w:abstractNumId w:val="18"/>
  </w:num>
  <w:num w:numId="27">
    <w:abstractNumId w:val="26"/>
  </w:num>
  <w:num w:numId="28">
    <w:abstractNumId w:val="10"/>
  </w:num>
  <w:num w:numId="29">
    <w:abstractNumId w:val="27"/>
  </w:num>
  <w:num w:numId="30">
    <w:abstractNumId w:val="8"/>
  </w:num>
  <w:num w:numId="31">
    <w:abstractNumId w:val="19"/>
  </w:num>
  <w:num w:numId="3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927843"/>
    <w:rsid w:val="00002230"/>
    <w:rsid w:val="00002EED"/>
    <w:rsid w:val="000030A9"/>
    <w:rsid w:val="0001477C"/>
    <w:rsid w:val="00027D1F"/>
    <w:rsid w:val="00027DD9"/>
    <w:rsid w:val="0003242D"/>
    <w:rsid w:val="0004061E"/>
    <w:rsid w:val="0005326E"/>
    <w:rsid w:val="000616B8"/>
    <w:rsid w:val="00061A18"/>
    <w:rsid w:val="000625F4"/>
    <w:rsid w:val="00064F40"/>
    <w:rsid w:val="00075E7C"/>
    <w:rsid w:val="00080B9A"/>
    <w:rsid w:val="00086B8A"/>
    <w:rsid w:val="00087433"/>
    <w:rsid w:val="00092B54"/>
    <w:rsid w:val="00097B2B"/>
    <w:rsid w:val="000A5E27"/>
    <w:rsid w:val="000B1337"/>
    <w:rsid w:val="000C371C"/>
    <w:rsid w:val="000D3103"/>
    <w:rsid w:val="000E26F7"/>
    <w:rsid w:val="000E4311"/>
    <w:rsid w:val="000E7E76"/>
    <w:rsid w:val="00111AC6"/>
    <w:rsid w:val="001205E2"/>
    <w:rsid w:val="00120EEE"/>
    <w:rsid w:val="00143F11"/>
    <w:rsid w:val="0016374E"/>
    <w:rsid w:val="00165A53"/>
    <w:rsid w:val="00191738"/>
    <w:rsid w:val="0019585B"/>
    <w:rsid w:val="001A1B58"/>
    <w:rsid w:val="001A6B40"/>
    <w:rsid w:val="001B3F50"/>
    <w:rsid w:val="001B7E25"/>
    <w:rsid w:val="001C02A5"/>
    <w:rsid w:val="001C0A32"/>
    <w:rsid w:val="001C0D6B"/>
    <w:rsid w:val="001C1789"/>
    <w:rsid w:val="001D22E2"/>
    <w:rsid w:val="001E1F96"/>
    <w:rsid w:val="001E38E2"/>
    <w:rsid w:val="001E7A82"/>
    <w:rsid w:val="001F04DD"/>
    <w:rsid w:val="0020064F"/>
    <w:rsid w:val="002065BE"/>
    <w:rsid w:val="0021047B"/>
    <w:rsid w:val="00215C04"/>
    <w:rsid w:val="00245E33"/>
    <w:rsid w:val="0025043C"/>
    <w:rsid w:val="0025227D"/>
    <w:rsid w:val="00257647"/>
    <w:rsid w:val="002717FB"/>
    <w:rsid w:val="00284FA6"/>
    <w:rsid w:val="00285560"/>
    <w:rsid w:val="00290924"/>
    <w:rsid w:val="0029592F"/>
    <w:rsid w:val="002A064F"/>
    <w:rsid w:val="002B17CE"/>
    <w:rsid w:val="002B298F"/>
    <w:rsid w:val="002B2D52"/>
    <w:rsid w:val="002B797D"/>
    <w:rsid w:val="002C0D01"/>
    <w:rsid w:val="002C5394"/>
    <w:rsid w:val="002D0908"/>
    <w:rsid w:val="002D3B26"/>
    <w:rsid w:val="002D7E2D"/>
    <w:rsid w:val="002F09D8"/>
    <w:rsid w:val="002F4AA4"/>
    <w:rsid w:val="002F6B99"/>
    <w:rsid w:val="002F771F"/>
    <w:rsid w:val="00304799"/>
    <w:rsid w:val="00335ABA"/>
    <w:rsid w:val="00337EA0"/>
    <w:rsid w:val="00340216"/>
    <w:rsid w:val="00342964"/>
    <w:rsid w:val="00352142"/>
    <w:rsid w:val="00354B8A"/>
    <w:rsid w:val="00364269"/>
    <w:rsid w:val="00373626"/>
    <w:rsid w:val="00376DCD"/>
    <w:rsid w:val="00382BCD"/>
    <w:rsid w:val="0038709B"/>
    <w:rsid w:val="003932A1"/>
    <w:rsid w:val="0039408B"/>
    <w:rsid w:val="003943E5"/>
    <w:rsid w:val="003A3C88"/>
    <w:rsid w:val="003A6FEB"/>
    <w:rsid w:val="003B559D"/>
    <w:rsid w:val="003B69EB"/>
    <w:rsid w:val="003E0BDE"/>
    <w:rsid w:val="003E348F"/>
    <w:rsid w:val="003F1B18"/>
    <w:rsid w:val="003F543D"/>
    <w:rsid w:val="0041402E"/>
    <w:rsid w:val="00416D34"/>
    <w:rsid w:val="00431ABD"/>
    <w:rsid w:val="00433509"/>
    <w:rsid w:val="00440D21"/>
    <w:rsid w:val="00445BB8"/>
    <w:rsid w:val="0044742E"/>
    <w:rsid w:val="0045235E"/>
    <w:rsid w:val="00454705"/>
    <w:rsid w:val="0046455E"/>
    <w:rsid w:val="004657D3"/>
    <w:rsid w:val="00465DB3"/>
    <w:rsid w:val="004867BC"/>
    <w:rsid w:val="0049126F"/>
    <w:rsid w:val="004A4C0E"/>
    <w:rsid w:val="004B2234"/>
    <w:rsid w:val="004B5526"/>
    <w:rsid w:val="004B5A8E"/>
    <w:rsid w:val="004B6415"/>
    <w:rsid w:val="004C60FF"/>
    <w:rsid w:val="004C6A02"/>
    <w:rsid w:val="004D6C91"/>
    <w:rsid w:val="004E20B0"/>
    <w:rsid w:val="004E2AE4"/>
    <w:rsid w:val="004E4BFB"/>
    <w:rsid w:val="004E699D"/>
    <w:rsid w:val="004F1C26"/>
    <w:rsid w:val="004F1E92"/>
    <w:rsid w:val="0050152B"/>
    <w:rsid w:val="005060F4"/>
    <w:rsid w:val="00512E25"/>
    <w:rsid w:val="00525CDB"/>
    <w:rsid w:val="00527267"/>
    <w:rsid w:val="005473EF"/>
    <w:rsid w:val="0055136F"/>
    <w:rsid w:val="0055156D"/>
    <w:rsid w:val="00565377"/>
    <w:rsid w:val="005665A7"/>
    <w:rsid w:val="00567521"/>
    <w:rsid w:val="00583AA1"/>
    <w:rsid w:val="005913EC"/>
    <w:rsid w:val="005921A2"/>
    <w:rsid w:val="00593DC5"/>
    <w:rsid w:val="005967E6"/>
    <w:rsid w:val="005A07A9"/>
    <w:rsid w:val="005A1E67"/>
    <w:rsid w:val="005B50E0"/>
    <w:rsid w:val="005B57D7"/>
    <w:rsid w:val="005B7F7F"/>
    <w:rsid w:val="005D26BD"/>
    <w:rsid w:val="005D2A74"/>
    <w:rsid w:val="005E07BD"/>
    <w:rsid w:val="005E3A62"/>
    <w:rsid w:val="005F5B4B"/>
    <w:rsid w:val="005F6F40"/>
    <w:rsid w:val="00605E85"/>
    <w:rsid w:val="00615D8F"/>
    <w:rsid w:val="00615EFE"/>
    <w:rsid w:val="00641B56"/>
    <w:rsid w:val="006454CF"/>
    <w:rsid w:val="0065198F"/>
    <w:rsid w:val="00652D23"/>
    <w:rsid w:val="006546AB"/>
    <w:rsid w:val="0066763B"/>
    <w:rsid w:val="00684B37"/>
    <w:rsid w:val="006A7789"/>
    <w:rsid w:val="006A7DD6"/>
    <w:rsid w:val="006B5C71"/>
    <w:rsid w:val="006C4228"/>
    <w:rsid w:val="006C7592"/>
    <w:rsid w:val="006D45A1"/>
    <w:rsid w:val="006E24F6"/>
    <w:rsid w:val="006E7126"/>
    <w:rsid w:val="007026D1"/>
    <w:rsid w:val="00710636"/>
    <w:rsid w:val="00711AB6"/>
    <w:rsid w:val="00716DD5"/>
    <w:rsid w:val="00720E5C"/>
    <w:rsid w:val="00722ED2"/>
    <w:rsid w:val="00723CAB"/>
    <w:rsid w:val="00724FD8"/>
    <w:rsid w:val="0073060F"/>
    <w:rsid w:val="00744772"/>
    <w:rsid w:val="0074784E"/>
    <w:rsid w:val="0075371F"/>
    <w:rsid w:val="00763FC1"/>
    <w:rsid w:val="007648E0"/>
    <w:rsid w:val="00765666"/>
    <w:rsid w:val="00767E93"/>
    <w:rsid w:val="0078728B"/>
    <w:rsid w:val="00790130"/>
    <w:rsid w:val="00790AB7"/>
    <w:rsid w:val="00796513"/>
    <w:rsid w:val="007A060E"/>
    <w:rsid w:val="007A2AC2"/>
    <w:rsid w:val="007A3E0C"/>
    <w:rsid w:val="007B74BA"/>
    <w:rsid w:val="007C0288"/>
    <w:rsid w:val="007C33BF"/>
    <w:rsid w:val="007D3976"/>
    <w:rsid w:val="007D3B54"/>
    <w:rsid w:val="007D3D47"/>
    <w:rsid w:val="007E0249"/>
    <w:rsid w:val="007F3A7C"/>
    <w:rsid w:val="00802ED4"/>
    <w:rsid w:val="00805892"/>
    <w:rsid w:val="0081072B"/>
    <w:rsid w:val="00811A23"/>
    <w:rsid w:val="00817E16"/>
    <w:rsid w:val="008218DD"/>
    <w:rsid w:val="008471C9"/>
    <w:rsid w:val="00855B99"/>
    <w:rsid w:val="00862DDF"/>
    <w:rsid w:val="008667C8"/>
    <w:rsid w:val="00870FFE"/>
    <w:rsid w:val="00872C95"/>
    <w:rsid w:val="00872F5F"/>
    <w:rsid w:val="0087591D"/>
    <w:rsid w:val="0088020C"/>
    <w:rsid w:val="00883C63"/>
    <w:rsid w:val="00884570"/>
    <w:rsid w:val="00891EEA"/>
    <w:rsid w:val="00894CCE"/>
    <w:rsid w:val="008976BA"/>
    <w:rsid w:val="008A248A"/>
    <w:rsid w:val="008A5560"/>
    <w:rsid w:val="008C44B0"/>
    <w:rsid w:val="008D1A8E"/>
    <w:rsid w:val="008E0FC7"/>
    <w:rsid w:val="008F5922"/>
    <w:rsid w:val="009075A9"/>
    <w:rsid w:val="009169EC"/>
    <w:rsid w:val="009212B4"/>
    <w:rsid w:val="00927843"/>
    <w:rsid w:val="009460E0"/>
    <w:rsid w:val="00950B33"/>
    <w:rsid w:val="00965F0F"/>
    <w:rsid w:val="009A6E64"/>
    <w:rsid w:val="009B2E65"/>
    <w:rsid w:val="009B69FD"/>
    <w:rsid w:val="009C12A8"/>
    <w:rsid w:val="009C2FF2"/>
    <w:rsid w:val="009D429E"/>
    <w:rsid w:val="009E1FB1"/>
    <w:rsid w:val="009E61C8"/>
    <w:rsid w:val="009F6E01"/>
    <w:rsid w:val="00A06317"/>
    <w:rsid w:val="00A237ED"/>
    <w:rsid w:val="00A31197"/>
    <w:rsid w:val="00A5114A"/>
    <w:rsid w:val="00A56D7A"/>
    <w:rsid w:val="00A613A1"/>
    <w:rsid w:val="00A649A3"/>
    <w:rsid w:val="00A7113B"/>
    <w:rsid w:val="00A75CE3"/>
    <w:rsid w:val="00A8486F"/>
    <w:rsid w:val="00A969CB"/>
    <w:rsid w:val="00AA00D4"/>
    <w:rsid w:val="00AA7758"/>
    <w:rsid w:val="00AB56AB"/>
    <w:rsid w:val="00AC0BF0"/>
    <w:rsid w:val="00AC17EE"/>
    <w:rsid w:val="00AD33F1"/>
    <w:rsid w:val="00AD6224"/>
    <w:rsid w:val="00AE110A"/>
    <w:rsid w:val="00AE290A"/>
    <w:rsid w:val="00AE4267"/>
    <w:rsid w:val="00AF1983"/>
    <w:rsid w:val="00AF5989"/>
    <w:rsid w:val="00AF6EE5"/>
    <w:rsid w:val="00B13741"/>
    <w:rsid w:val="00B14C26"/>
    <w:rsid w:val="00B15449"/>
    <w:rsid w:val="00B15817"/>
    <w:rsid w:val="00B17572"/>
    <w:rsid w:val="00B22993"/>
    <w:rsid w:val="00B261B2"/>
    <w:rsid w:val="00B34F2D"/>
    <w:rsid w:val="00B57044"/>
    <w:rsid w:val="00B6345C"/>
    <w:rsid w:val="00B73242"/>
    <w:rsid w:val="00B77530"/>
    <w:rsid w:val="00B9373F"/>
    <w:rsid w:val="00BA02EC"/>
    <w:rsid w:val="00BA1564"/>
    <w:rsid w:val="00BA7590"/>
    <w:rsid w:val="00BB4025"/>
    <w:rsid w:val="00BC6A51"/>
    <w:rsid w:val="00BD008A"/>
    <w:rsid w:val="00BD2864"/>
    <w:rsid w:val="00BD37FF"/>
    <w:rsid w:val="00BD62C0"/>
    <w:rsid w:val="00BE19F8"/>
    <w:rsid w:val="00BE368B"/>
    <w:rsid w:val="00BE4DA5"/>
    <w:rsid w:val="00BF0354"/>
    <w:rsid w:val="00BF7EB9"/>
    <w:rsid w:val="00C01E26"/>
    <w:rsid w:val="00C05845"/>
    <w:rsid w:val="00C24E59"/>
    <w:rsid w:val="00C3080F"/>
    <w:rsid w:val="00C43D74"/>
    <w:rsid w:val="00C470A2"/>
    <w:rsid w:val="00C53B60"/>
    <w:rsid w:val="00C61B3F"/>
    <w:rsid w:val="00C72DE5"/>
    <w:rsid w:val="00C8522D"/>
    <w:rsid w:val="00C91AC1"/>
    <w:rsid w:val="00C940C7"/>
    <w:rsid w:val="00C963A5"/>
    <w:rsid w:val="00CA4B53"/>
    <w:rsid w:val="00CA6E23"/>
    <w:rsid w:val="00CA6FFC"/>
    <w:rsid w:val="00CB24C7"/>
    <w:rsid w:val="00CB2FA1"/>
    <w:rsid w:val="00CC04E1"/>
    <w:rsid w:val="00CC19EF"/>
    <w:rsid w:val="00CC289D"/>
    <w:rsid w:val="00CD1A9A"/>
    <w:rsid w:val="00CD7EEE"/>
    <w:rsid w:val="00CE73C2"/>
    <w:rsid w:val="00D13BD1"/>
    <w:rsid w:val="00D14C47"/>
    <w:rsid w:val="00D165F6"/>
    <w:rsid w:val="00D20FAF"/>
    <w:rsid w:val="00D22682"/>
    <w:rsid w:val="00D4205B"/>
    <w:rsid w:val="00D45365"/>
    <w:rsid w:val="00D61222"/>
    <w:rsid w:val="00D76D2A"/>
    <w:rsid w:val="00D86537"/>
    <w:rsid w:val="00D97DC7"/>
    <w:rsid w:val="00DA6374"/>
    <w:rsid w:val="00DA7A8C"/>
    <w:rsid w:val="00DB3B77"/>
    <w:rsid w:val="00DC679B"/>
    <w:rsid w:val="00DD3447"/>
    <w:rsid w:val="00DD5810"/>
    <w:rsid w:val="00DD7454"/>
    <w:rsid w:val="00DE10AB"/>
    <w:rsid w:val="00DE2B44"/>
    <w:rsid w:val="00E016C0"/>
    <w:rsid w:val="00E124B9"/>
    <w:rsid w:val="00E24652"/>
    <w:rsid w:val="00E342CA"/>
    <w:rsid w:val="00E35A39"/>
    <w:rsid w:val="00E368C3"/>
    <w:rsid w:val="00E50734"/>
    <w:rsid w:val="00E54CF5"/>
    <w:rsid w:val="00E57522"/>
    <w:rsid w:val="00E57793"/>
    <w:rsid w:val="00E61BCD"/>
    <w:rsid w:val="00E77518"/>
    <w:rsid w:val="00E77EFA"/>
    <w:rsid w:val="00EA74B3"/>
    <w:rsid w:val="00EC00F0"/>
    <w:rsid w:val="00EC7968"/>
    <w:rsid w:val="00ED48D4"/>
    <w:rsid w:val="00EE217B"/>
    <w:rsid w:val="00EF2558"/>
    <w:rsid w:val="00EF58F6"/>
    <w:rsid w:val="00F029CC"/>
    <w:rsid w:val="00F02A61"/>
    <w:rsid w:val="00F2421E"/>
    <w:rsid w:val="00F2799A"/>
    <w:rsid w:val="00F3121A"/>
    <w:rsid w:val="00F35247"/>
    <w:rsid w:val="00F41E39"/>
    <w:rsid w:val="00F508B7"/>
    <w:rsid w:val="00F51F9C"/>
    <w:rsid w:val="00F579A0"/>
    <w:rsid w:val="00F672A4"/>
    <w:rsid w:val="00F7029A"/>
    <w:rsid w:val="00F734D0"/>
    <w:rsid w:val="00F858CC"/>
    <w:rsid w:val="00F87375"/>
    <w:rsid w:val="00F920AB"/>
    <w:rsid w:val="00FA0CC5"/>
    <w:rsid w:val="00FA1E51"/>
    <w:rsid w:val="00FB19BE"/>
    <w:rsid w:val="00FB74D4"/>
    <w:rsid w:val="00FD0600"/>
    <w:rsid w:val="00FD6CCC"/>
    <w:rsid w:val="00FE65A7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6D353"/>
  <w15:docId w15:val="{470ABDEF-0B33-4D6F-BF8F-78879DD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C02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finance.ec.europa.eu/document/download/095eb35f-1d45-4d86-b878-0224c5f1c5e2_en?filename=250711-esrs-quick-fix-provisions-modifications_en.pdf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Rechtsvorschrift_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9CFEB35-BCE8-4F88-9BC0-6B250363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_320_Muster_Rechtsvorschrift_A4.dotx</Template>
  <TotalTime>0</TotalTime>
  <Pages>3</Pages>
  <Words>589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86</cp:revision>
  <cp:lastPrinted>2026-02-20T11:44:00Z</cp:lastPrinted>
  <dcterms:created xsi:type="dcterms:W3CDTF">2020-08-12T13:41:00Z</dcterms:created>
  <dcterms:modified xsi:type="dcterms:W3CDTF">2026-02-24T12:54:00Z</dcterms:modified>
</cp:coreProperties>
</file>