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7F3086D0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46086BA1" w14:textId="77777777" w:rsidR="00AF76A2" w:rsidRPr="00DA47D0" w:rsidRDefault="003D2DD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Cs w:val="32"/>
              </w:rPr>
            </w:pPr>
            <w:r w:rsidRPr="00575058">
              <w:rPr>
                <w:rFonts w:ascii="Century Gothic" w:hAnsi="Century Gothic"/>
                <w:color w:val="00B0F0"/>
                <w:sz w:val="28"/>
                <w:szCs w:val="32"/>
              </w:rPr>
              <w:t>Lösungshinweis</w:t>
            </w:r>
            <w:r w:rsidR="00DA47D0" w:rsidRPr="00575058">
              <w:rPr>
                <w:rFonts w:ascii="Century Gothic" w:hAnsi="Century Gothic"/>
                <w:color w:val="00B0F0"/>
                <w:sz w:val="28"/>
                <w:szCs w:val="32"/>
              </w:rPr>
              <w:t>e</w:t>
            </w:r>
            <w:r w:rsidRPr="00575058">
              <w:rPr>
                <w:rFonts w:ascii="Century Gothic" w:hAnsi="Century Gothic"/>
                <w:color w:val="00B0F0"/>
                <w:sz w:val="28"/>
                <w:szCs w:val="32"/>
              </w:rPr>
              <w:t xml:space="preserve"> zu </w:t>
            </w:r>
            <w:r w:rsidR="00AF76A2" w:rsidRPr="00575058">
              <w:rPr>
                <w:rFonts w:ascii="Century Gothic" w:hAnsi="Century Gothic"/>
                <w:color w:val="00B0F0"/>
                <w:sz w:val="28"/>
                <w:szCs w:val="32"/>
              </w:rPr>
              <w:t>Praxisf</w:t>
            </w:r>
            <w:r w:rsidR="00C10F24" w:rsidRPr="00575058">
              <w:rPr>
                <w:rFonts w:ascii="Century Gothic" w:hAnsi="Century Gothic"/>
                <w:color w:val="00B0F0"/>
                <w:sz w:val="28"/>
                <w:szCs w:val="32"/>
              </w:rPr>
              <w:t>a</w:t>
            </w:r>
            <w:r w:rsidR="00B50770" w:rsidRPr="00575058">
              <w:rPr>
                <w:rFonts w:ascii="Century Gothic" w:hAnsi="Century Gothic"/>
                <w:color w:val="00B0F0"/>
                <w:sz w:val="28"/>
                <w:szCs w:val="32"/>
              </w:rPr>
              <w:t xml:space="preserve">ll </w:t>
            </w:r>
            <w:r w:rsidR="009E52C9" w:rsidRPr="00575058">
              <w:rPr>
                <w:rFonts w:ascii="Century Gothic" w:hAnsi="Century Gothic"/>
                <w:color w:val="00B0F0"/>
                <w:sz w:val="28"/>
                <w:szCs w:val="32"/>
              </w:rPr>
              <w:t>2</w:t>
            </w:r>
            <w:r w:rsidR="005E0577" w:rsidRPr="00575058">
              <w:rPr>
                <w:rFonts w:ascii="Century Gothic" w:hAnsi="Century Gothic"/>
                <w:color w:val="00B0F0"/>
                <w:sz w:val="28"/>
                <w:szCs w:val="32"/>
              </w:rPr>
              <w:t xml:space="preserve">: </w:t>
            </w:r>
            <w:r w:rsidR="009E52C9" w:rsidRPr="00575058">
              <w:rPr>
                <w:rFonts w:ascii="Century Gothic" w:hAnsi="Century Gothic"/>
                <w:color w:val="00B0F0"/>
                <w:sz w:val="28"/>
                <w:szCs w:val="32"/>
              </w:rPr>
              <w:t>Bewertung von Wertpapieren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4C15E64A" w14:textId="77777777" w:rsidR="00AF76A2" w:rsidRPr="00B7014A" w:rsidRDefault="00AF76A2" w:rsidP="00C406F7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03B0C2EA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37D2D2DB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2F324D78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78EF2316" w14:textId="77777777" w:rsidTr="00CA64ED">
        <w:tc>
          <w:tcPr>
            <w:tcW w:w="9072" w:type="dxa"/>
          </w:tcPr>
          <w:p w14:paraId="2DEFE25E" w14:textId="77777777" w:rsidR="009E52C9" w:rsidRDefault="009E52C9" w:rsidP="009E52C9">
            <w:pPr>
              <w:spacing w:before="0"/>
              <w:rPr>
                <w:sz w:val="24"/>
                <w:szCs w:val="28"/>
              </w:rPr>
            </w:pPr>
            <w:r w:rsidRPr="009E52C9">
              <w:rPr>
                <w:sz w:val="24"/>
                <w:szCs w:val="28"/>
              </w:rPr>
              <w:t>Der Unternehmer kauft am 16.</w:t>
            </w:r>
            <w:r w:rsidR="00F86F3C">
              <w:rPr>
                <w:sz w:val="24"/>
                <w:szCs w:val="28"/>
              </w:rPr>
              <w:t>0</w:t>
            </w:r>
            <w:r w:rsidRPr="009E52C9">
              <w:rPr>
                <w:sz w:val="24"/>
                <w:szCs w:val="28"/>
              </w:rPr>
              <w:t>5. eine Inhaberschuldverschreibung (IHS) i. H. v. nominal EUR 100.000 für EUR 99.564,00 inkl. Gebühren (EUR 196,00), welche nicht dazu bestimmt sind, dem Geschäftsbetrieb dauernd zu dienen.</w:t>
            </w:r>
          </w:p>
          <w:p w14:paraId="66CBFC93" w14:textId="77777777" w:rsidR="009E52C9" w:rsidRPr="009E52C9" w:rsidRDefault="009E52C9" w:rsidP="009E52C9">
            <w:pPr>
              <w:spacing w:before="0"/>
              <w:rPr>
                <w:sz w:val="24"/>
                <w:szCs w:val="28"/>
              </w:rPr>
            </w:pPr>
          </w:p>
          <w:p w14:paraId="3AA577BB" w14:textId="77777777" w:rsidR="00354556" w:rsidRPr="00E65739" w:rsidRDefault="009E52C9" w:rsidP="009E52C9">
            <w:pPr>
              <w:spacing w:before="0"/>
              <w:rPr>
                <w:sz w:val="24"/>
                <w:szCs w:val="28"/>
              </w:rPr>
            </w:pPr>
            <w:r w:rsidRPr="009E52C9">
              <w:rPr>
                <w:sz w:val="24"/>
                <w:szCs w:val="28"/>
              </w:rPr>
              <w:t>Am 31.12. belastet die Bank das Girokonto mit Depotgebühren i. H. v. 1 % de</w:t>
            </w:r>
            <w:r>
              <w:rPr>
                <w:sz w:val="24"/>
                <w:szCs w:val="28"/>
              </w:rPr>
              <w:t>s</w:t>
            </w:r>
            <w:r w:rsidRPr="009E52C9">
              <w:rPr>
                <w:sz w:val="24"/>
                <w:szCs w:val="28"/>
              </w:rPr>
              <w:t xml:space="preserve"> Depotwertes. Der Kurswert beträgt nur</w:t>
            </w:r>
            <w:r>
              <w:rPr>
                <w:sz w:val="24"/>
                <w:szCs w:val="28"/>
              </w:rPr>
              <w:t xml:space="preserve"> </w:t>
            </w:r>
            <w:r w:rsidRPr="009E52C9">
              <w:rPr>
                <w:sz w:val="24"/>
                <w:szCs w:val="28"/>
              </w:rPr>
              <w:t>noch 97 % des Ausgabebetrages.</w:t>
            </w:r>
          </w:p>
        </w:tc>
      </w:tr>
      <w:tr w:rsidR="00D13823" w:rsidRPr="00E65739" w14:paraId="7896AA45" w14:textId="77777777" w:rsidTr="00CA64ED">
        <w:tc>
          <w:tcPr>
            <w:tcW w:w="9072" w:type="dxa"/>
          </w:tcPr>
          <w:p w14:paraId="09220140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2912A032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470F17D8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5B234D1F" w14:textId="77777777" w:rsidTr="00CA64ED">
        <w:tc>
          <w:tcPr>
            <w:tcW w:w="9072" w:type="dxa"/>
          </w:tcPr>
          <w:p w14:paraId="4A987920" w14:textId="77777777" w:rsidR="00354556" w:rsidRDefault="009E52C9" w:rsidP="009E52C9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wird das Wertpapier bei der Anschaffung gebucht?</w:t>
            </w:r>
          </w:p>
          <w:p w14:paraId="566BAE18" w14:textId="77777777" w:rsidR="009E52C9" w:rsidRPr="009E52C9" w:rsidRDefault="009E52C9" w:rsidP="009E52C9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4"/>
                <w:szCs w:val="28"/>
              </w:rPr>
            </w:pPr>
            <w:r w:rsidRPr="009E52C9">
              <w:rPr>
                <w:sz w:val="24"/>
                <w:szCs w:val="28"/>
              </w:rPr>
              <w:t>Welche Buchungen sind am 31.12. notwendig, wenn die IHS im Januar verkauft werden soll?</w:t>
            </w:r>
          </w:p>
          <w:p w14:paraId="7C02B704" w14:textId="77777777" w:rsidR="009E52C9" w:rsidRPr="009E52C9" w:rsidRDefault="009E52C9" w:rsidP="009E52C9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4"/>
                <w:szCs w:val="28"/>
              </w:rPr>
            </w:pPr>
            <w:r w:rsidRPr="009E52C9">
              <w:rPr>
                <w:sz w:val="24"/>
                <w:szCs w:val="28"/>
              </w:rPr>
              <w:t>Welche Buchungen sind am 31.12. notwendig, wenn ein Verkauf der IHS nicht geplant ist?</w:t>
            </w:r>
          </w:p>
          <w:p w14:paraId="0F340EAA" w14:textId="77777777" w:rsidR="009E52C9" w:rsidRPr="009E52C9" w:rsidRDefault="009E52C9" w:rsidP="009E52C9">
            <w:pPr>
              <w:pStyle w:val="Listenabsatz"/>
              <w:numPr>
                <w:ilvl w:val="0"/>
                <w:numId w:val="17"/>
              </w:numPr>
              <w:spacing w:before="0"/>
              <w:rPr>
                <w:sz w:val="24"/>
                <w:szCs w:val="28"/>
              </w:rPr>
            </w:pPr>
            <w:r w:rsidRPr="009E52C9">
              <w:rPr>
                <w:sz w:val="24"/>
                <w:szCs w:val="28"/>
              </w:rPr>
              <w:t>Am Ende des Folgejahres steigt der Kurs der IHS auf 101,5 %. Welche bilanziellen Folgen sind damit verbunden?</w:t>
            </w:r>
          </w:p>
        </w:tc>
      </w:tr>
      <w:tr w:rsidR="009D1BB7" w:rsidRPr="009D1BB7" w14:paraId="1F3A3C8E" w14:textId="77777777" w:rsidTr="00CA64ED">
        <w:tc>
          <w:tcPr>
            <w:tcW w:w="9072" w:type="dxa"/>
          </w:tcPr>
          <w:p w14:paraId="74529565" w14:textId="77777777" w:rsidR="009D1BB7" w:rsidRPr="009D1BB7" w:rsidRDefault="009D1BB7" w:rsidP="009D1BB7">
            <w:pPr>
              <w:spacing w:before="0"/>
              <w:rPr>
                <w:sz w:val="2"/>
                <w:szCs w:val="28"/>
              </w:rPr>
            </w:pPr>
          </w:p>
        </w:tc>
      </w:tr>
      <w:tr w:rsidR="009D1BB7" w:rsidRPr="00E65739" w14:paraId="489D4343" w14:textId="77777777" w:rsidTr="009C3021">
        <w:tc>
          <w:tcPr>
            <w:tcW w:w="9072" w:type="dxa"/>
            <w:shd w:val="clear" w:color="auto" w:fill="D9D9D9" w:themeFill="background1" w:themeFillShade="D9"/>
          </w:tcPr>
          <w:p w14:paraId="1831C69D" w14:textId="77777777" w:rsidR="009D1BB7" w:rsidRPr="00E65739" w:rsidRDefault="009D1BB7" w:rsidP="009C3021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</w:tbl>
    <w:p w14:paraId="542A2D17" w14:textId="77777777" w:rsidR="007777A5" w:rsidRPr="007777A5" w:rsidRDefault="007777A5" w:rsidP="009D1BB7">
      <w:pPr>
        <w:spacing w:before="0"/>
        <w:rPr>
          <w:b/>
          <w:sz w:val="24"/>
          <w:szCs w:val="32"/>
        </w:rPr>
      </w:pPr>
    </w:p>
    <w:p w14:paraId="7110BDB2" w14:textId="77777777" w:rsidR="009D1BB7" w:rsidRPr="00277C10" w:rsidRDefault="009D1BB7" w:rsidP="009D1BB7">
      <w:pPr>
        <w:spacing w:before="0"/>
        <w:rPr>
          <w:b/>
          <w:sz w:val="20"/>
          <w:szCs w:val="32"/>
        </w:rPr>
      </w:pPr>
      <w:r w:rsidRPr="00277C10">
        <w:rPr>
          <w:b/>
          <w:sz w:val="20"/>
          <w:szCs w:val="32"/>
        </w:rPr>
        <w:t>Datenbasis: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66"/>
        <w:gridCol w:w="814"/>
        <w:gridCol w:w="1618"/>
      </w:tblGrid>
      <w:tr w:rsidR="009D1BB7" w:rsidRPr="00C84245" w14:paraId="4342D7C1" w14:textId="77777777" w:rsidTr="009C3021">
        <w:trPr>
          <w:jc w:val="center"/>
        </w:trPr>
        <w:tc>
          <w:tcPr>
            <w:tcW w:w="2880" w:type="dxa"/>
            <w:gridSpan w:val="2"/>
          </w:tcPr>
          <w:p w14:paraId="2A4A368C" w14:textId="77777777" w:rsidR="009D1BB7" w:rsidRPr="00C84245" w:rsidRDefault="009D1BB7" w:rsidP="009C3021">
            <w:pPr>
              <w:spacing w:before="0"/>
              <w:rPr>
                <w:sz w:val="20"/>
              </w:rPr>
            </w:pPr>
          </w:p>
        </w:tc>
        <w:tc>
          <w:tcPr>
            <w:tcW w:w="1618" w:type="dxa"/>
            <w:vAlign w:val="center"/>
          </w:tcPr>
          <w:p w14:paraId="7C1B6D73" w14:textId="77777777" w:rsidR="009D1BB7" w:rsidRPr="00C84245" w:rsidRDefault="001B0528" w:rsidP="009C3021">
            <w:pPr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EUR</w:t>
            </w:r>
          </w:p>
        </w:tc>
      </w:tr>
      <w:tr w:rsidR="009D1BB7" w:rsidRPr="00C84245" w14:paraId="25C81428" w14:textId="77777777" w:rsidTr="009C3021">
        <w:trPr>
          <w:jc w:val="center"/>
        </w:trPr>
        <w:tc>
          <w:tcPr>
            <w:tcW w:w="2880" w:type="dxa"/>
            <w:gridSpan w:val="2"/>
          </w:tcPr>
          <w:p w14:paraId="765BCE11" w14:textId="77777777" w:rsidR="007777A5" w:rsidRPr="00C84245" w:rsidRDefault="009D1BB7" w:rsidP="009C3021">
            <w:pPr>
              <w:spacing w:before="0"/>
              <w:rPr>
                <w:b/>
                <w:sz w:val="20"/>
              </w:rPr>
            </w:pPr>
            <w:r w:rsidRPr="00C84245">
              <w:rPr>
                <w:b/>
                <w:sz w:val="20"/>
              </w:rPr>
              <w:t>Nominalwert</w:t>
            </w:r>
          </w:p>
        </w:tc>
        <w:tc>
          <w:tcPr>
            <w:tcW w:w="1618" w:type="dxa"/>
            <w:vAlign w:val="center"/>
          </w:tcPr>
          <w:p w14:paraId="3AFD62E7" w14:textId="77777777" w:rsidR="009D1BB7" w:rsidRPr="00C84245" w:rsidRDefault="009D1BB7" w:rsidP="009C3021">
            <w:pPr>
              <w:spacing w:before="0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9D1BB7" w:rsidRPr="00C84245" w14:paraId="05652AE2" w14:textId="77777777" w:rsidTr="009C3021">
        <w:trPr>
          <w:jc w:val="center"/>
        </w:trPr>
        <w:tc>
          <w:tcPr>
            <w:tcW w:w="2880" w:type="dxa"/>
            <w:gridSpan w:val="2"/>
          </w:tcPr>
          <w:p w14:paraId="07BA0D04" w14:textId="77777777" w:rsidR="009D1BB7" w:rsidRPr="00C84245" w:rsidRDefault="009D1BB7" w:rsidP="009C3021">
            <w:pPr>
              <w:spacing w:before="0"/>
              <w:rPr>
                <w:b/>
                <w:sz w:val="2"/>
              </w:rPr>
            </w:pPr>
          </w:p>
        </w:tc>
        <w:tc>
          <w:tcPr>
            <w:tcW w:w="1618" w:type="dxa"/>
            <w:vAlign w:val="center"/>
          </w:tcPr>
          <w:p w14:paraId="0791F4B3" w14:textId="77777777" w:rsidR="009D1BB7" w:rsidRPr="00C84245" w:rsidRDefault="009D1BB7" w:rsidP="009C3021">
            <w:pPr>
              <w:spacing w:before="0"/>
              <w:jc w:val="right"/>
              <w:rPr>
                <w:sz w:val="2"/>
              </w:rPr>
            </w:pPr>
          </w:p>
        </w:tc>
      </w:tr>
      <w:tr w:rsidR="009D1BB7" w:rsidRPr="00C84245" w14:paraId="1F2C6923" w14:textId="77777777" w:rsidTr="009C3021">
        <w:trPr>
          <w:jc w:val="center"/>
        </w:trPr>
        <w:tc>
          <w:tcPr>
            <w:tcW w:w="2880" w:type="dxa"/>
            <w:gridSpan w:val="2"/>
          </w:tcPr>
          <w:p w14:paraId="152AC7E4" w14:textId="77777777" w:rsidR="009D1BB7" w:rsidRPr="00C84245" w:rsidRDefault="009D1BB7" w:rsidP="009C3021">
            <w:pPr>
              <w:spacing w:before="0"/>
              <w:rPr>
                <w:b/>
                <w:sz w:val="20"/>
              </w:rPr>
            </w:pPr>
            <w:r w:rsidRPr="00C84245">
              <w:rPr>
                <w:b/>
                <w:sz w:val="20"/>
              </w:rPr>
              <w:t>Kaufpreis WP</w:t>
            </w:r>
          </w:p>
        </w:tc>
        <w:tc>
          <w:tcPr>
            <w:tcW w:w="1618" w:type="dxa"/>
            <w:vAlign w:val="center"/>
          </w:tcPr>
          <w:p w14:paraId="25433A9D" w14:textId="77777777" w:rsidR="009D1BB7" w:rsidRPr="00C84245" w:rsidRDefault="009D1BB7" w:rsidP="009C3021">
            <w:pPr>
              <w:spacing w:before="0"/>
              <w:jc w:val="right"/>
              <w:rPr>
                <w:sz w:val="20"/>
              </w:rPr>
            </w:pPr>
            <w:r w:rsidRPr="00C84245">
              <w:rPr>
                <w:sz w:val="20"/>
              </w:rPr>
              <w:t>99.368,00</w:t>
            </w:r>
          </w:p>
        </w:tc>
      </w:tr>
      <w:tr w:rsidR="009D1BB7" w:rsidRPr="00C84245" w14:paraId="2DA9BF9E" w14:textId="77777777" w:rsidTr="009C3021">
        <w:trPr>
          <w:jc w:val="center"/>
        </w:trPr>
        <w:tc>
          <w:tcPr>
            <w:tcW w:w="2880" w:type="dxa"/>
            <w:gridSpan w:val="2"/>
          </w:tcPr>
          <w:p w14:paraId="05CA1DDD" w14:textId="77777777" w:rsidR="009D1BB7" w:rsidRPr="00C84245" w:rsidRDefault="009D1BB7" w:rsidP="009C3021">
            <w:pPr>
              <w:spacing w:before="0"/>
              <w:rPr>
                <w:b/>
                <w:sz w:val="20"/>
              </w:rPr>
            </w:pPr>
            <w:r w:rsidRPr="00C84245">
              <w:rPr>
                <w:b/>
                <w:sz w:val="20"/>
              </w:rPr>
              <w:t>Gebühren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35E858F7" w14:textId="77777777" w:rsidR="009D1BB7" w:rsidRPr="00C84245" w:rsidRDefault="009D1BB7" w:rsidP="009C3021">
            <w:pPr>
              <w:spacing w:before="0"/>
              <w:jc w:val="right"/>
              <w:rPr>
                <w:sz w:val="20"/>
              </w:rPr>
            </w:pPr>
            <w:r w:rsidRPr="00C84245">
              <w:rPr>
                <w:sz w:val="20"/>
              </w:rPr>
              <w:t>196,00</w:t>
            </w:r>
          </w:p>
        </w:tc>
      </w:tr>
      <w:tr w:rsidR="009D1BB7" w:rsidRPr="00C84245" w14:paraId="0256AC0C" w14:textId="77777777" w:rsidTr="009C3021">
        <w:trPr>
          <w:jc w:val="center"/>
        </w:trPr>
        <w:tc>
          <w:tcPr>
            <w:tcW w:w="2880" w:type="dxa"/>
            <w:gridSpan w:val="2"/>
          </w:tcPr>
          <w:p w14:paraId="6428D99A" w14:textId="77777777" w:rsidR="009D1BB7" w:rsidRPr="00C84245" w:rsidRDefault="009D1BB7" w:rsidP="009C3021">
            <w:pPr>
              <w:spacing w:before="0"/>
              <w:rPr>
                <w:b/>
                <w:sz w:val="20"/>
              </w:rPr>
            </w:pPr>
            <w:r w:rsidRPr="00C84245">
              <w:rPr>
                <w:b/>
                <w:sz w:val="20"/>
              </w:rPr>
              <w:t>Anschaffungskosten</w:t>
            </w:r>
          </w:p>
        </w:tc>
        <w:tc>
          <w:tcPr>
            <w:tcW w:w="16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30D48C" w14:textId="77777777" w:rsidR="009D1BB7" w:rsidRPr="00C84245" w:rsidRDefault="009D1BB7" w:rsidP="009C3021">
            <w:pPr>
              <w:spacing w:before="0"/>
              <w:jc w:val="right"/>
              <w:rPr>
                <w:sz w:val="20"/>
              </w:rPr>
            </w:pPr>
            <w:r w:rsidRPr="00C84245">
              <w:rPr>
                <w:sz w:val="20"/>
              </w:rPr>
              <w:t>99.564,00</w:t>
            </w:r>
          </w:p>
        </w:tc>
      </w:tr>
      <w:tr w:rsidR="009D1BB7" w:rsidRPr="00C84245" w14:paraId="0D09AD41" w14:textId="77777777" w:rsidTr="009C3021">
        <w:trPr>
          <w:jc w:val="center"/>
        </w:trPr>
        <w:tc>
          <w:tcPr>
            <w:tcW w:w="2880" w:type="dxa"/>
            <w:gridSpan w:val="2"/>
          </w:tcPr>
          <w:p w14:paraId="5212E9C7" w14:textId="77777777" w:rsidR="009D1BB7" w:rsidRPr="00C84245" w:rsidRDefault="009D1BB7" w:rsidP="009C3021">
            <w:pPr>
              <w:spacing w:before="0"/>
              <w:rPr>
                <w:sz w:val="2"/>
              </w:rPr>
            </w:pPr>
          </w:p>
        </w:tc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3A9F5196" w14:textId="77777777" w:rsidR="009D1BB7" w:rsidRPr="00C84245" w:rsidRDefault="009D1BB7" w:rsidP="009C3021">
            <w:pPr>
              <w:spacing w:before="0"/>
              <w:jc w:val="right"/>
              <w:rPr>
                <w:sz w:val="2"/>
              </w:rPr>
            </w:pPr>
          </w:p>
        </w:tc>
      </w:tr>
      <w:tr w:rsidR="009D1BB7" w:rsidRPr="00C84245" w14:paraId="0ED2E134" w14:textId="77777777" w:rsidTr="009C3021">
        <w:trPr>
          <w:jc w:val="center"/>
        </w:trPr>
        <w:tc>
          <w:tcPr>
            <w:tcW w:w="2066" w:type="dxa"/>
          </w:tcPr>
          <w:p w14:paraId="47484E36" w14:textId="77777777" w:rsidR="009D1BB7" w:rsidRPr="00C84245" w:rsidRDefault="009D1BB7" w:rsidP="009C3021">
            <w:pPr>
              <w:spacing w:before="0"/>
              <w:rPr>
                <w:b/>
                <w:sz w:val="20"/>
              </w:rPr>
            </w:pPr>
            <w:r w:rsidRPr="00C84245">
              <w:rPr>
                <w:b/>
                <w:sz w:val="20"/>
              </w:rPr>
              <w:t>Stichtagskurs</w:t>
            </w:r>
          </w:p>
        </w:tc>
        <w:tc>
          <w:tcPr>
            <w:tcW w:w="814" w:type="dxa"/>
          </w:tcPr>
          <w:p w14:paraId="3BED3EEA" w14:textId="77777777" w:rsidR="009D1BB7" w:rsidRPr="00C84245" w:rsidRDefault="009D1BB7" w:rsidP="009C3021">
            <w:pPr>
              <w:spacing w:before="0"/>
              <w:rPr>
                <w:sz w:val="20"/>
              </w:rPr>
            </w:pPr>
            <w:r w:rsidRPr="00C84245">
              <w:rPr>
                <w:sz w:val="20"/>
              </w:rPr>
              <w:t>97 %</w:t>
            </w:r>
          </w:p>
        </w:tc>
        <w:tc>
          <w:tcPr>
            <w:tcW w:w="1618" w:type="dxa"/>
            <w:vAlign w:val="center"/>
          </w:tcPr>
          <w:p w14:paraId="179373EC" w14:textId="77777777" w:rsidR="009D1BB7" w:rsidRPr="00C84245" w:rsidRDefault="009D1BB7" w:rsidP="009C3021">
            <w:pPr>
              <w:spacing w:before="0"/>
              <w:jc w:val="right"/>
              <w:rPr>
                <w:sz w:val="20"/>
              </w:rPr>
            </w:pPr>
            <w:r w:rsidRPr="00C84245">
              <w:rPr>
                <w:sz w:val="20"/>
              </w:rPr>
              <w:t>97.000,00</w:t>
            </w:r>
          </w:p>
        </w:tc>
      </w:tr>
      <w:tr w:rsidR="009D1BB7" w:rsidRPr="00C84245" w14:paraId="5C998110" w14:textId="77777777" w:rsidTr="009C3021">
        <w:trPr>
          <w:jc w:val="center"/>
        </w:trPr>
        <w:tc>
          <w:tcPr>
            <w:tcW w:w="2066" w:type="dxa"/>
          </w:tcPr>
          <w:p w14:paraId="4B1651C5" w14:textId="77777777" w:rsidR="009D1BB7" w:rsidRPr="00C84245" w:rsidRDefault="009D1BB7" w:rsidP="009C3021">
            <w:pPr>
              <w:spacing w:before="0"/>
              <w:rPr>
                <w:b/>
                <w:sz w:val="20"/>
              </w:rPr>
            </w:pPr>
            <w:r w:rsidRPr="00C84245">
              <w:rPr>
                <w:b/>
                <w:sz w:val="20"/>
              </w:rPr>
              <w:t>Depotgebühren</w:t>
            </w:r>
          </w:p>
        </w:tc>
        <w:tc>
          <w:tcPr>
            <w:tcW w:w="814" w:type="dxa"/>
          </w:tcPr>
          <w:p w14:paraId="324BD027" w14:textId="77777777" w:rsidR="009D1BB7" w:rsidRPr="00C84245" w:rsidRDefault="009D1BB7" w:rsidP="009C3021">
            <w:pPr>
              <w:spacing w:before="0"/>
              <w:rPr>
                <w:sz w:val="20"/>
              </w:rPr>
            </w:pPr>
            <w:r w:rsidRPr="00C84245">
              <w:rPr>
                <w:sz w:val="20"/>
              </w:rPr>
              <w:t>1 %</w:t>
            </w:r>
          </w:p>
        </w:tc>
        <w:tc>
          <w:tcPr>
            <w:tcW w:w="1618" w:type="dxa"/>
            <w:vAlign w:val="center"/>
          </w:tcPr>
          <w:p w14:paraId="217D3CFD" w14:textId="77777777" w:rsidR="009D1BB7" w:rsidRPr="00C84245" w:rsidRDefault="009D1BB7" w:rsidP="009C3021">
            <w:pPr>
              <w:spacing w:before="0"/>
              <w:jc w:val="right"/>
              <w:rPr>
                <w:sz w:val="20"/>
              </w:rPr>
            </w:pPr>
            <w:r w:rsidRPr="00C84245">
              <w:rPr>
                <w:sz w:val="20"/>
              </w:rPr>
              <w:t>970,00</w:t>
            </w:r>
          </w:p>
        </w:tc>
      </w:tr>
    </w:tbl>
    <w:p w14:paraId="07F923C6" w14:textId="77777777" w:rsidR="009D1BB7" w:rsidRDefault="009D1BB7" w:rsidP="009D1BB7">
      <w:pPr>
        <w:spacing w:before="0"/>
        <w:rPr>
          <w:szCs w:val="32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1"/>
        <w:gridCol w:w="5945"/>
        <w:gridCol w:w="1297"/>
        <w:gridCol w:w="1339"/>
      </w:tblGrid>
      <w:tr w:rsidR="009D1BB7" w:rsidRPr="00C84245" w14:paraId="634BD017" w14:textId="77777777" w:rsidTr="007A2233">
        <w:tc>
          <w:tcPr>
            <w:tcW w:w="6436" w:type="dxa"/>
            <w:gridSpan w:val="2"/>
          </w:tcPr>
          <w:p w14:paraId="7BDE180D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97" w:type="dxa"/>
          </w:tcPr>
          <w:p w14:paraId="124DA29C" w14:textId="77777777" w:rsidR="009D1BB7" w:rsidRPr="001B0528" w:rsidRDefault="00294ADD" w:rsidP="009C3021">
            <w:pPr>
              <w:spacing w:before="0"/>
              <w:jc w:val="center"/>
              <w:rPr>
                <w:b/>
                <w:sz w:val="20"/>
                <w:szCs w:val="32"/>
              </w:rPr>
            </w:pPr>
            <w:r w:rsidRPr="001B0528">
              <w:rPr>
                <w:b/>
                <w:sz w:val="20"/>
                <w:szCs w:val="32"/>
              </w:rPr>
              <w:t>Soll</w:t>
            </w:r>
          </w:p>
        </w:tc>
        <w:tc>
          <w:tcPr>
            <w:tcW w:w="1339" w:type="dxa"/>
          </w:tcPr>
          <w:p w14:paraId="47640620" w14:textId="77777777" w:rsidR="009D1BB7" w:rsidRPr="001B0528" w:rsidRDefault="00294ADD" w:rsidP="009C3021">
            <w:pPr>
              <w:spacing w:before="0"/>
              <w:jc w:val="center"/>
              <w:rPr>
                <w:b/>
                <w:sz w:val="20"/>
                <w:szCs w:val="32"/>
              </w:rPr>
            </w:pPr>
            <w:r w:rsidRPr="001B0528">
              <w:rPr>
                <w:b/>
                <w:sz w:val="20"/>
                <w:szCs w:val="32"/>
              </w:rPr>
              <w:t>Haben</w:t>
            </w:r>
          </w:p>
        </w:tc>
      </w:tr>
      <w:tr w:rsidR="00294ADD" w:rsidRPr="00C84245" w14:paraId="5B6AF852" w14:textId="77777777" w:rsidTr="007A2233">
        <w:tc>
          <w:tcPr>
            <w:tcW w:w="6436" w:type="dxa"/>
            <w:gridSpan w:val="2"/>
          </w:tcPr>
          <w:p w14:paraId="6E7AF3B8" w14:textId="77777777" w:rsidR="00294ADD" w:rsidRPr="00C84245" w:rsidRDefault="00294ADD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DE4D339" w14:textId="77777777" w:rsidR="00294ADD" w:rsidRPr="00456B39" w:rsidRDefault="001B0528" w:rsidP="009C3021">
            <w:pPr>
              <w:spacing w:before="0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EUR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4E883BCD" w14:textId="77777777" w:rsidR="00294ADD" w:rsidRPr="00456B39" w:rsidRDefault="001B0528" w:rsidP="009C3021">
            <w:pPr>
              <w:spacing w:before="0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EUR</w:t>
            </w:r>
          </w:p>
        </w:tc>
      </w:tr>
      <w:tr w:rsidR="009D1BB7" w:rsidRPr="00306EA5" w14:paraId="06D29CBC" w14:textId="77777777" w:rsidTr="007A2233">
        <w:tc>
          <w:tcPr>
            <w:tcW w:w="6436" w:type="dxa"/>
            <w:gridSpan w:val="2"/>
          </w:tcPr>
          <w:p w14:paraId="31C53B41" w14:textId="77777777" w:rsidR="009D1BB7" w:rsidRPr="00306EA5" w:rsidRDefault="009D1BB7" w:rsidP="009C3021">
            <w:pPr>
              <w:spacing w:before="0"/>
              <w:rPr>
                <w:b/>
                <w:sz w:val="20"/>
                <w:szCs w:val="32"/>
              </w:rPr>
            </w:pPr>
            <w:r w:rsidRPr="00306EA5">
              <w:rPr>
                <w:b/>
                <w:sz w:val="20"/>
                <w:szCs w:val="32"/>
              </w:rPr>
              <w:t>1. Wie wird das Wertpapier bei der Anschaffung gebucht?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14:paraId="767F01CE" w14:textId="77777777" w:rsidR="009D1BB7" w:rsidRPr="00306EA5" w:rsidRDefault="009D1BB7" w:rsidP="009C3021">
            <w:pPr>
              <w:spacing w:before="0"/>
              <w:rPr>
                <w:b/>
                <w:sz w:val="20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017529D6" w14:textId="77777777" w:rsidR="009D1BB7" w:rsidRPr="00306EA5" w:rsidRDefault="009D1BB7" w:rsidP="009C3021">
            <w:pPr>
              <w:spacing w:before="0"/>
              <w:rPr>
                <w:b/>
                <w:sz w:val="20"/>
                <w:szCs w:val="32"/>
              </w:rPr>
            </w:pPr>
          </w:p>
        </w:tc>
      </w:tr>
      <w:tr w:rsidR="009D1BB7" w:rsidRPr="00C84245" w14:paraId="255B5FAB" w14:textId="77777777" w:rsidTr="007A2233">
        <w:tc>
          <w:tcPr>
            <w:tcW w:w="491" w:type="dxa"/>
          </w:tcPr>
          <w:p w14:paraId="58D38F4B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5945" w:type="dxa"/>
            <w:shd w:val="clear" w:color="auto" w:fill="D9D9D9" w:themeFill="background1" w:themeFillShade="D9"/>
          </w:tcPr>
          <w:p w14:paraId="472D2206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Wertpapiere des UV</w:t>
            </w:r>
          </w:p>
          <w:p w14:paraId="297F2662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Bank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0DF04E27" w14:textId="77777777" w:rsidR="009D1BB7" w:rsidRPr="00C84245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99.564,00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56F2EBC2" w14:textId="77777777" w:rsidR="009D1BB7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</w:p>
          <w:p w14:paraId="404B5728" w14:textId="77777777" w:rsidR="009D1BB7" w:rsidRPr="00C84245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99.564,00</w:t>
            </w:r>
          </w:p>
        </w:tc>
      </w:tr>
    </w:tbl>
    <w:p w14:paraId="3D71D732" w14:textId="77777777" w:rsidR="00294ADD" w:rsidRPr="00717936" w:rsidRDefault="00294ADD">
      <w:pPr>
        <w:rPr>
          <w:sz w:val="8"/>
          <w:szCs w:val="8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8"/>
        <w:gridCol w:w="383"/>
        <w:gridCol w:w="468"/>
        <w:gridCol w:w="2835"/>
        <w:gridCol w:w="1372"/>
        <w:gridCol w:w="1270"/>
        <w:gridCol w:w="1297"/>
        <w:gridCol w:w="75"/>
        <w:gridCol w:w="1264"/>
      </w:tblGrid>
      <w:tr w:rsidR="009D1BB7" w:rsidRPr="00306EA5" w14:paraId="4442CB8F" w14:textId="77777777" w:rsidTr="007A2233">
        <w:tc>
          <w:tcPr>
            <w:tcW w:w="6436" w:type="dxa"/>
            <w:gridSpan w:val="6"/>
          </w:tcPr>
          <w:p w14:paraId="53597C38" w14:textId="77777777" w:rsidR="009D1BB7" w:rsidRPr="00306EA5" w:rsidRDefault="009D1BB7" w:rsidP="009C3021">
            <w:pPr>
              <w:spacing w:before="0"/>
              <w:rPr>
                <w:b/>
                <w:sz w:val="20"/>
                <w:szCs w:val="32"/>
              </w:rPr>
            </w:pPr>
            <w:r w:rsidRPr="00306EA5">
              <w:rPr>
                <w:b/>
                <w:sz w:val="20"/>
                <w:szCs w:val="32"/>
              </w:rPr>
              <w:lastRenderedPageBreak/>
              <w:t>2. Verkaufsabsicht</w:t>
            </w:r>
          </w:p>
        </w:tc>
        <w:tc>
          <w:tcPr>
            <w:tcW w:w="1297" w:type="dxa"/>
          </w:tcPr>
          <w:p w14:paraId="2AFF4F21" w14:textId="77777777" w:rsidR="009D1BB7" w:rsidRPr="00306EA5" w:rsidRDefault="009D1BB7" w:rsidP="009C3021">
            <w:pPr>
              <w:spacing w:before="0"/>
              <w:rPr>
                <w:b/>
                <w:sz w:val="20"/>
                <w:szCs w:val="32"/>
              </w:rPr>
            </w:pPr>
          </w:p>
        </w:tc>
        <w:tc>
          <w:tcPr>
            <w:tcW w:w="1339" w:type="dxa"/>
            <w:gridSpan w:val="2"/>
          </w:tcPr>
          <w:p w14:paraId="1F8B7636" w14:textId="77777777" w:rsidR="009D1BB7" w:rsidRPr="00306EA5" w:rsidRDefault="009D1BB7" w:rsidP="009C3021">
            <w:pPr>
              <w:spacing w:before="0"/>
              <w:rPr>
                <w:b/>
                <w:sz w:val="20"/>
                <w:szCs w:val="32"/>
              </w:rPr>
            </w:pPr>
          </w:p>
        </w:tc>
      </w:tr>
      <w:tr w:rsidR="009D1BB7" w:rsidRPr="00C84245" w14:paraId="04CC0109" w14:textId="77777777" w:rsidTr="007A2233">
        <w:tc>
          <w:tcPr>
            <w:tcW w:w="491" w:type="dxa"/>
            <w:gridSpan w:val="2"/>
          </w:tcPr>
          <w:p w14:paraId="518813E6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7242" w:type="dxa"/>
            <w:gridSpan w:val="5"/>
          </w:tcPr>
          <w:p w14:paraId="6C704E6C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</w:t>
            </w:r>
            <w:r w:rsidRPr="00306EA5">
              <w:rPr>
                <w:sz w:val="20"/>
                <w:szCs w:val="32"/>
              </w:rPr>
              <w:t>ewertung zum niedrigeren WP-Kurs abzgl. VK-Gebühren</w:t>
            </w:r>
          </w:p>
        </w:tc>
        <w:tc>
          <w:tcPr>
            <w:tcW w:w="1339" w:type="dxa"/>
            <w:gridSpan w:val="2"/>
          </w:tcPr>
          <w:p w14:paraId="2B7D6658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25E9A9D7" w14:textId="77777777" w:rsidTr="007A2233">
        <w:tc>
          <w:tcPr>
            <w:tcW w:w="491" w:type="dxa"/>
            <w:gridSpan w:val="2"/>
          </w:tcPr>
          <w:p w14:paraId="21505930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227A52A4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9C12D00" w14:textId="77777777" w:rsidR="009D1BB7" w:rsidRPr="000F3EE2" w:rsidRDefault="001B0528" w:rsidP="009C3021">
            <w:pPr>
              <w:pStyle w:val="Listenabsatz"/>
              <w:spacing w:before="0"/>
              <w:ind w:left="34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EUR</w:t>
            </w:r>
          </w:p>
        </w:tc>
        <w:tc>
          <w:tcPr>
            <w:tcW w:w="1270" w:type="dxa"/>
            <w:vAlign w:val="center"/>
          </w:tcPr>
          <w:p w14:paraId="12E84786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97" w:type="dxa"/>
          </w:tcPr>
          <w:p w14:paraId="740C9015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339" w:type="dxa"/>
            <w:gridSpan w:val="2"/>
          </w:tcPr>
          <w:p w14:paraId="21005C82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7535DCB6" w14:textId="77777777" w:rsidTr="007A2233">
        <w:tc>
          <w:tcPr>
            <w:tcW w:w="491" w:type="dxa"/>
            <w:gridSpan w:val="2"/>
          </w:tcPr>
          <w:p w14:paraId="102562F1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0551761F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Stichtagskurs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212D2A14" w14:textId="77777777" w:rsidR="009D1BB7" w:rsidRDefault="009D1BB7" w:rsidP="009C3021">
            <w:pPr>
              <w:pStyle w:val="Listenabsatz"/>
              <w:spacing w:before="0"/>
              <w:ind w:left="34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97.000,000</w:t>
            </w:r>
          </w:p>
        </w:tc>
        <w:tc>
          <w:tcPr>
            <w:tcW w:w="1270" w:type="dxa"/>
            <w:vAlign w:val="center"/>
          </w:tcPr>
          <w:p w14:paraId="5CB3F830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97" w:type="dxa"/>
          </w:tcPr>
          <w:p w14:paraId="7F4528BE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339" w:type="dxa"/>
            <w:gridSpan w:val="2"/>
          </w:tcPr>
          <w:p w14:paraId="1B390307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3DA937C9" w14:textId="77777777" w:rsidTr="007A2233">
        <w:tc>
          <w:tcPr>
            <w:tcW w:w="491" w:type="dxa"/>
            <w:gridSpan w:val="2"/>
          </w:tcPr>
          <w:p w14:paraId="2E6122A9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5F7B80A3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VK-Gebühren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2002E5DA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- 196,00</w:t>
            </w:r>
          </w:p>
        </w:tc>
        <w:tc>
          <w:tcPr>
            <w:tcW w:w="1270" w:type="dxa"/>
            <w:vAlign w:val="center"/>
          </w:tcPr>
          <w:p w14:paraId="2A38A09B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97" w:type="dxa"/>
          </w:tcPr>
          <w:p w14:paraId="59762DED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339" w:type="dxa"/>
            <w:gridSpan w:val="2"/>
          </w:tcPr>
          <w:p w14:paraId="25CCD236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3BAB0FC6" w14:textId="77777777" w:rsidTr="007A2233">
        <w:tc>
          <w:tcPr>
            <w:tcW w:w="491" w:type="dxa"/>
            <w:gridSpan w:val="2"/>
          </w:tcPr>
          <w:p w14:paraId="1FCDEF84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3A6A5818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Wertansatz 31.12.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1CC272F4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70" w:type="dxa"/>
            <w:vAlign w:val="center"/>
          </w:tcPr>
          <w:p w14:paraId="6AC0B322" w14:textId="77777777" w:rsidR="009D1BB7" w:rsidRDefault="009D1BB7" w:rsidP="009C3021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96.804,00</w:t>
            </w:r>
          </w:p>
        </w:tc>
        <w:tc>
          <w:tcPr>
            <w:tcW w:w="1297" w:type="dxa"/>
          </w:tcPr>
          <w:p w14:paraId="7DA51DE7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339" w:type="dxa"/>
            <w:gridSpan w:val="2"/>
          </w:tcPr>
          <w:p w14:paraId="42791F1A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21317A8E" w14:textId="77777777" w:rsidTr="007A2233">
        <w:tc>
          <w:tcPr>
            <w:tcW w:w="491" w:type="dxa"/>
            <w:gridSpan w:val="2"/>
          </w:tcPr>
          <w:p w14:paraId="2C88E4EA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1AC2B183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Buchwert</w:t>
            </w:r>
          </w:p>
        </w:tc>
        <w:tc>
          <w:tcPr>
            <w:tcW w:w="1372" w:type="dxa"/>
            <w:vAlign w:val="center"/>
          </w:tcPr>
          <w:p w14:paraId="3A20B386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1393F9B8" w14:textId="77777777" w:rsidR="009D1BB7" w:rsidRDefault="009D1BB7" w:rsidP="009C3021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99.564,00</w:t>
            </w:r>
          </w:p>
        </w:tc>
        <w:tc>
          <w:tcPr>
            <w:tcW w:w="1297" w:type="dxa"/>
          </w:tcPr>
          <w:p w14:paraId="2EDFB9BF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339" w:type="dxa"/>
            <w:gridSpan w:val="2"/>
          </w:tcPr>
          <w:p w14:paraId="57E5AD2D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3817E3FB" w14:textId="77777777" w:rsidTr="007A2233">
        <w:tc>
          <w:tcPr>
            <w:tcW w:w="491" w:type="dxa"/>
            <w:gridSpan w:val="2"/>
          </w:tcPr>
          <w:p w14:paraId="02375FF3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21688FE5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Abschreibung</w:t>
            </w:r>
          </w:p>
        </w:tc>
        <w:tc>
          <w:tcPr>
            <w:tcW w:w="1372" w:type="dxa"/>
            <w:vAlign w:val="center"/>
          </w:tcPr>
          <w:p w14:paraId="43651AE3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C54704" w14:textId="77777777" w:rsidR="009D1BB7" w:rsidRDefault="009D1BB7" w:rsidP="009C3021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-2.760,00</w:t>
            </w:r>
          </w:p>
        </w:tc>
        <w:tc>
          <w:tcPr>
            <w:tcW w:w="1297" w:type="dxa"/>
          </w:tcPr>
          <w:p w14:paraId="6342220B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339" w:type="dxa"/>
            <w:gridSpan w:val="2"/>
          </w:tcPr>
          <w:p w14:paraId="7B20E5AC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1B87CFD0" w14:textId="77777777" w:rsidTr="007A2233">
        <w:tc>
          <w:tcPr>
            <w:tcW w:w="491" w:type="dxa"/>
            <w:gridSpan w:val="2"/>
          </w:tcPr>
          <w:p w14:paraId="0791EEA0" w14:textId="77777777" w:rsidR="009D1BB7" w:rsidRPr="0099715C" w:rsidRDefault="009D1BB7" w:rsidP="009C3021">
            <w:pPr>
              <w:spacing w:before="0"/>
              <w:rPr>
                <w:sz w:val="2"/>
                <w:szCs w:val="32"/>
              </w:rPr>
            </w:pPr>
          </w:p>
        </w:tc>
        <w:tc>
          <w:tcPr>
            <w:tcW w:w="468" w:type="dxa"/>
            <w:shd w:val="clear" w:color="auto" w:fill="auto"/>
          </w:tcPr>
          <w:p w14:paraId="047C2CD2" w14:textId="77777777" w:rsidR="009D1BB7" w:rsidRPr="0099715C" w:rsidRDefault="009D1BB7" w:rsidP="009C3021">
            <w:pPr>
              <w:spacing w:before="0"/>
              <w:rPr>
                <w:sz w:val="2"/>
                <w:szCs w:val="32"/>
              </w:rPr>
            </w:pPr>
          </w:p>
        </w:tc>
        <w:tc>
          <w:tcPr>
            <w:tcW w:w="5477" w:type="dxa"/>
            <w:gridSpan w:val="3"/>
            <w:shd w:val="clear" w:color="auto" w:fill="auto"/>
          </w:tcPr>
          <w:p w14:paraId="2AD02CB6" w14:textId="77777777" w:rsidR="009D1BB7" w:rsidRPr="0099715C" w:rsidRDefault="009D1BB7" w:rsidP="009C3021">
            <w:pPr>
              <w:spacing w:before="0"/>
              <w:rPr>
                <w:sz w:val="2"/>
                <w:szCs w:val="32"/>
              </w:rPr>
            </w:pPr>
          </w:p>
        </w:tc>
        <w:tc>
          <w:tcPr>
            <w:tcW w:w="1297" w:type="dxa"/>
            <w:shd w:val="clear" w:color="auto" w:fill="auto"/>
          </w:tcPr>
          <w:p w14:paraId="0F501358" w14:textId="77777777" w:rsidR="009D1BB7" w:rsidRPr="0099715C" w:rsidRDefault="009D1BB7" w:rsidP="009C3021">
            <w:pPr>
              <w:spacing w:before="0"/>
              <w:jc w:val="right"/>
              <w:rPr>
                <w:sz w:val="2"/>
                <w:szCs w:val="32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0E02C68D" w14:textId="77777777" w:rsidR="009D1BB7" w:rsidRPr="0099715C" w:rsidRDefault="009D1BB7" w:rsidP="009C3021">
            <w:pPr>
              <w:spacing w:before="0"/>
              <w:jc w:val="right"/>
              <w:rPr>
                <w:sz w:val="2"/>
                <w:szCs w:val="32"/>
              </w:rPr>
            </w:pPr>
          </w:p>
        </w:tc>
      </w:tr>
      <w:tr w:rsidR="009D1BB7" w:rsidRPr="00C84245" w14:paraId="4F6F559E" w14:textId="77777777" w:rsidTr="007A2233">
        <w:tc>
          <w:tcPr>
            <w:tcW w:w="491" w:type="dxa"/>
            <w:gridSpan w:val="2"/>
          </w:tcPr>
          <w:p w14:paraId="443C2811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468" w:type="dxa"/>
            <w:shd w:val="clear" w:color="auto" w:fill="auto"/>
          </w:tcPr>
          <w:p w14:paraId="52D9F548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5477" w:type="dxa"/>
            <w:gridSpan w:val="3"/>
            <w:shd w:val="clear" w:color="auto" w:fill="D9D9D9" w:themeFill="background1" w:themeFillShade="D9"/>
          </w:tcPr>
          <w:p w14:paraId="0EA3B495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Abschreibungen auf </w:t>
            </w:r>
            <w:proofErr w:type="spellStart"/>
            <w:r>
              <w:rPr>
                <w:sz w:val="20"/>
                <w:szCs w:val="32"/>
              </w:rPr>
              <w:t>FinAV</w:t>
            </w:r>
            <w:proofErr w:type="spellEnd"/>
            <w:r>
              <w:rPr>
                <w:sz w:val="20"/>
                <w:szCs w:val="32"/>
              </w:rPr>
              <w:t xml:space="preserve"> und WP d. UV</w:t>
            </w:r>
          </w:p>
          <w:p w14:paraId="39538169" w14:textId="77777777" w:rsidR="009D1BB7" w:rsidRPr="00306EA5" w:rsidRDefault="009D1BB7" w:rsidP="009C3021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Wertpapiere des UV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53986559" w14:textId="77777777" w:rsidR="009D1BB7" w:rsidRPr="00C84245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2.760,00</w:t>
            </w:r>
          </w:p>
        </w:tc>
        <w:tc>
          <w:tcPr>
            <w:tcW w:w="1339" w:type="dxa"/>
            <w:gridSpan w:val="2"/>
            <w:shd w:val="clear" w:color="auto" w:fill="D9D9D9" w:themeFill="background1" w:themeFillShade="D9"/>
          </w:tcPr>
          <w:p w14:paraId="1874D6C2" w14:textId="77777777" w:rsidR="009D1BB7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</w:p>
          <w:p w14:paraId="555F98A2" w14:textId="77777777" w:rsidR="009D1BB7" w:rsidRPr="00C84245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2.760,00</w:t>
            </w:r>
          </w:p>
        </w:tc>
      </w:tr>
      <w:tr w:rsidR="00B7014A" w:rsidRPr="00C84245" w14:paraId="4D8055B4" w14:textId="77777777" w:rsidTr="00FD0F5B">
        <w:tc>
          <w:tcPr>
            <w:tcW w:w="491" w:type="dxa"/>
            <w:gridSpan w:val="2"/>
            <w:shd w:val="clear" w:color="auto" w:fill="auto"/>
          </w:tcPr>
          <w:p w14:paraId="7D347546" w14:textId="77777777" w:rsidR="00B7014A" w:rsidRDefault="00B7014A" w:rsidP="00FD0F5B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5945" w:type="dxa"/>
            <w:gridSpan w:val="4"/>
            <w:shd w:val="clear" w:color="auto" w:fill="auto"/>
          </w:tcPr>
          <w:p w14:paraId="6083E754" w14:textId="77777777" w:rsidR="00B7014A" w:rsidRPr="00306EA5" w:rsidRDefault="00B7014A" w:rsidP="00FD0F5B">
            <w:pPr>
              <w:pStyle w:val="Listenabsatz"/>
              <w:spacing w:before="0"/>
              <w:ind w:left="393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Buchung der Depotgebühren, die auf dem Bankkonto belastet wurden</w:t>
            </w:r>
          </w:p>
        </w:tc>
        <w:tc>
          <w:tcPr>
            <w:tcW w:w="1297" w:type="dxa"/>
            <w:shd w:val="clear" w:color="auto" w:fill="auto"/>
          </w:tcPr>
          <w:p w14:paraId="3F4E66BE" w14:textId="77777777" w:rsidR="00B7014A" w:rsidRDefault="00B7014A" w:rsidP="00FD0F5B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3DC87013" w14:textId="77777777" w:rsidR="00B7014A" w:rsidRDefault="00B7014A" w:rsidP="00FD0F5B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</w:tr>
      <w:tr w:rsidR="00B7014A" w:rsidRPr="00C84245" w14:paraId="4602FD18" w14:textId="77777777" w:rsidTr="00FD0F5B">
        <w:tc>
          <w:tcPr>
            <w:tcW w:w="491" w:type="dxa"/>
            <w:gridSpan w:val="2"/>
            <w:shd w:val="clear" w:color="auto" w:fill="auto"/>
          </w:tcPr>
          <w:p w14:paraId="4F64BB33" w14:textId="77777777" w:rsidR="00B7014A" w:rsidRDefault="00B7014A" w:rsidP="00FD0F5B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468" w:type="dxa"/>
            <w:shd w:val="clear" w:color="auto" w:fill="auto"/>
          </w:tcPr>
          <w:p w14:paraId="666E6113" w14:textId="77777777" w:rsidR="00B7014A" w:rsidRPr="00306EA5" w:rsidRDefault="00B7014A" w:rsidP="00FD0F5B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5477" w:type="dxa"/>
            <w:gridSpan w:val="3"/>
            <w:shd w:val="clear" w:color="auto" w:fill="D9D9D9" w:themeFill="background1" w:themeFillShade="D9"/>
          </w:tcPr>
          <w:p w14:paraId="338F1608" w14:textId="77777777" w:rsidR="00B7014A" w:rsidRDefault="00B7014A" w:rsidP="00FD0F5B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Depotgebühren (= sonstiger betrieblicher Aufwand)</w:t>
            </w:r>
          </w:p>
          <w:p w14:paraId="134CFB9D" w14:textId="77777777" w:rsidR="00B7014A" w:rsidRPr="00306EA5" w:rsidRDefault="00B7014A" w:rsidP="00FD0F5B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Bank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0B5D6D30" w14:textId="77777777" w:rsidR="00B7014A" w:rsidRDefault="00B7014A" w:rsidP="00FD0F5B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970,00</w:t>
            </w:r>
          </w:p>
        </w:tc>
        <w:tc>
          <w:tcPr>
            <w:tcW w:w="1339" w:type="dxa"/>
            <w:gridSpan w:val="2"/>
            <w:shd w:val="clear" w:color="auto" w:fill="D9D9D9" w:themeFill="background1" w:themeFillShade="D9"/>
          </w:tcPr>
          <w:p w14:paraId="1A3271ED" w14:textId="77777777" w:rsidR="00B7014A" w:rsidRDefault="00B7014A" w:rsidP="00FD0F5B">
            <w:pPr>
              <w:spacing w:before="0"/>
              <w:jc w:val="right"/>
              <w:rPr>
                <w:sz w:val="20"/>
                <w:szCs w:val="32"/>
              </w:rPr>
            </w:pPr>
          </w:p>
          <w:p w14:paraId="1C496060" w14:textId="77777777" w:rsidR="00B7014A" w:rsidRDefault="00B7014A" w:rsidP="00FD0F5B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970,00</w:t>
            </w:r>
          </w:p>
        </w:tc>
      </w:tr>
      <w:tr w:rsidR="009D1BB7" w:rsidRPr="00C84245" w14:paraId="36AC3B41" w14:textId="77777777" w:rsidTr="0033789F">
        <w:trPr>
          <w:gridBefore w:val="1"/>
          <w:wBefore w:w="108" w:type="dxa"/>
        </w:trPr>
        <w:tc>
          <w:tcPr>
            <w:tcW w:w="6328" w:type="dxa"/>
            <w:gridSpan w:val="5"/>
          </w:tcPr>
          <w:p w14:paraId="7BB460B9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372" w:type="dxa"/>
            <w:gridSpan w:val="2"/>
          </w:tcPr>
          <w:p w14:paraId="51EFA5B2" w14:textId="77777777" w:rsidR="009D1BB7" w:rsidRPr="001B0528" w:rsidRDefault="00294ADD" w:rsidP="009C3021">
            <w:pPr>
              <w:spacing w:before="0"/>
              <w:jc w:val="center"/>
              <w:rPr>
                <w:b/>
                <w:sz w:val="20"/>
                <w:szCs w:val="32"/>
              </w:rPr>
            </w:pPr>
            <w:r w:rsidRPr="001B0528">
              <w:rPr>
                <w:b/>
                <w:sz w:val="20"/>
                <w:szCs w:val="32"/>
              </w:rPr>
              <w:t>Soll</w:t>
            </w:r>
          </w:p>
        </w:tc>
        <w:tc>
          <w:tcPr>
            <w:tcW w:w="1264" w:type="dxa"/>
          </w:tcPr>
          <w:p w14:paraId="71B48DAE" w14:textId="77777777" w:rsidR="009D1BB7" w:rsidRPr="001B0528" w:rsidRDefault="00294ADD" w:rsidP="009C3021">
            <w:pPr>
              <w:spacing w:before="0"/>
              <w:jc w:val="center"/>
              <w:rPr>
                <w:b/>
                <w:sz w:val="20"/>
                <w:szCs w:val="32"/>
              </w:rPr>
            </w:pPr>
            <w:r w:rsidRPr="001B0528">
              <w:rPr>
                <w:b/>
                <w:sz w:val="20"/>
                <w:szCs w:val="32"/>
              </w:rPr>
              <w:t>Haben</w:t>
            </w:r>
          </w:p>
        </w:tc>
      </w:tr>
      <w:tr w:rsidR="00294ADD" w:rsidRPr="00C84245" w14:paraId="60B55024" w14:textId="77777777" w:rsidTr="0033789F">
        <w:trPr>
          <w:gridBefore w:val="1"/>
          <w:wBefore w:w="108" w:type="dxa"/>
        </w:trPr>
        <w:tc>
          <w:tcPr>
            <w:tcW w:w="6328" w:type="dxa"/>
            <w:gridSpan w:val="5"/>
          </w:tcPr>
          <w:p w14:paraId="086A0DF3" w14:textId="77777777" w:rsidR="00294ADD" w:rsidRPr="00C84245" w:rsidRDefault="00294ADD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67A5D4E1" w14:textId="77777777" w:rsidR="00294ADD" w:rsidRPr="001B0528" w:rsidRDefault="001B0528" w:rsidP="009C3021">
            <w:pPr>
              <w:spacing w:before="0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EUR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FE49F04" w14:textId="77777777" w:rsidR="00294ADD" w:rsidRPr="001B0528" w:rsidRDefault="001B0528" w:rsidP="009C3021">
            <w:pPr>
              <w:spacing w:before="0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EUR</w:t>
            </w:r>
          </w:p>
        </w:tc>
      </w:tr>
      <w:tr w:rsidR="009D1BB7" w:rsidRPr="00306EA5" w14:paraId="62C00D3B" w14:textId="77777777" w:rsidTr="0033789F">
        <w:trPr>
          <w:gridBefore w:val="1"/>
          <w:wBefore w:w="108" w:type="dxa"/>
        </w:trPr>
        <w:tc>
          <w:tcPr>
            <w:tcW w:w="6328" w:type="dxa"/>
            <w:gridSpan w:val="5"/>
          </w:tcPr>
          <w:p w14:paraId="26D0604D" w14:textId="77777777" w:rsidR="009D1BB7" w:rsidRPr="00306EA5" w:rsidRDefault="009D1BB7" w:rsidP="009C3021">
            <w:pPr>
              <w:spacing w:before="0"/>
              <w:rPr>
                <w:b/>
                <w:sz w:val="20"/>
                <w:szCs w:val="32"/>
              </w:rPr>
            </w:pPr>
            <w:r>
              <w:rPr>
                <w:noProof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9C344" wp14:editId="2DF4CBE4">
                      <wp:simplePos x="0" y="0"/>
                      <wp:positionH relativeFrom="column">
                        <wp:posOffset>3912726</wp:posOffset>
                      </wp:positionH>
                      <wp:positionV relativeFrom="paragraph">
                        <wp:posOffset>37357</wp:posOffset>
                      </wp:positionV>
                      <wp:extent cx="1974850" cy="689610"/>
                      <wp:effectExtent l="781050" t="0" r="25400" b="243840"/>
                      <wp:wrapNone/>
                      <wp:docPr id="4" name="Rechteckig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0" cy="689610"/>
                              </a:xfrm>
                              <a:prstGeom prst="wedgeRectCallout">
                                <a:avLst>
                                  <a:gd name="adj1" fmla="val -89355"/>
                                  <a:gd name="adj2" fmla="val 82285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0786F8" w14:textId="77777777" w:rsidR="009D1BB7" w:rsidRPr="003472E0" w:rsidRDefault="009D1BB7" w:rsidP="009D1BB7">
                                  <w:pPr>
                                    <w:spacing w:before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3472E0">
                                    <w:rPr>
                                      <w:color w:val="000000" w:themeColor="text1"/>
                                      <w:sz w:val="14"/>
                                    </w:rPr>
                                    <w:t>Anteilig gemindert wegen gesunkenem</w:t>
                                  </w:r>
                                </w:p>
                                <w:p w14:paraId="3BD189B2" w14:textId="77777777" w:rsidR="009D1BB7" w:rsidRPr="003472E0" w:rsidRDefault="009D1BB7" w:rsidP="009D1BB7">
                                  <w:pPr>
                                    <w:spacing w:before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3472E0">
                                    <w:rPr>
                                      <w:color w:val="000000" w:themeColor="text1"/>
                                      <w:sz w:val="14"/>
                                    </w:rPr>
                                    <w:t>Börsenwert der Schuldverschreibung</w:t>
                                  </w:r>
                                </w:p>
                                <w:p w14:paraId="709C54F1" w14:textId="77777777" w:rsidR="009D1BB7" w:rsidRPr="003472E0" w:rsidRDefault="009D1BB7" w:rsidP="009D1BB7">
                                  <w:pPr>
                                    <w:spacing w:before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3472E0">
                                    <w:rPr>
                                      <w:color w:val="000000" w:themeColor="text1"/>
                                      <w:sz w:val="14"/>
                                    </w:rPr>
                                    <w:t xml:space="preserve">(BBK, 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>12</w:t>
                                  </w:r>
                                  <w:r w:rsidRPr="003472E0">
                                    <w:rPr>
                                      <w:color w:val="000000" w:themeColor="text1"/>
                                      <w:sz w:val="14"/>
                                    </w:rPr>
                                    <w:t xml:space="preserve">. Aufl., § 253 Rz 609): </w:t>
                                  </w:r>
                                </w:p>
                                <w:p w14:paraId="3873A2E1" w14:textId="77777777" w:rsidR="009D1BB7" w:rsidRPr="003472E0" w:rsidRDefault="009D1BB7" w:rsidP="009D1BB7">
                                  <w:pPr>
                                    <w:spacing w:before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3472E0">
                                    <w:rPr>
                                      <w:color w:val="000000" w:themeColor="text1"/>
                                      <w:sz w:val="14"/>
                                    </w:rPr>
                                    <w:t>196 x 97.000 / 99.368 = 191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84D0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hteckige Legende 4" o:spid="_x0000_s1026" type="#_x0000_t61" style="position:absolute;left:0;text-align:left;margin-left:308.1pt;margin-top:2.95pt;width:155.5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" adj="-8501,28574" fillcolor="#d8d8d8 [2732]" strokecolor="#d8d8d8 [2732]" strokeweight="2pt">
                      <v:textbox>
                        <w:txbxContent>
                          <w:p w:rsidR="009D1BB7" w:rsidRPr="003472E0" w:rsidRDefault="009D1BB7" w:rsidP="009D1BB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472E0">
                              <w:rPr>
                                <w:color w:val="000000" w:themeColor="text1"/>
                                <w:sz w:val="14"/>
                              </w:rPr>
                              <w:t>Anteilig gemindert wegen gesunkenem</w:t>
                            </w:r>
                          </w:p>
                          <w:p w:rsidR="009D1BB7" w:rsidRPr="003472E0" w:rsidRDefault="009D1BB7" w:rsidP="009D1BB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472E0">
                              <w:rPr>
                                <w:color w:val="000000" w:themeColor="text1"/>
                                <w:sz w:val="14"/>
                              </w:rPr>
                              <w:t>Börsenwert der Schuldverschreibung</w:t>
                            </w:r>
                          </w:p>
                          <w:p w:rsidR="009D1BB7" w:rsidRPr="003472E0" w:rsidRDefault="009D1BB7" w:rsidP="009D1BB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472E0">
                              <w:rPr>
                                <w:color w:val="000000" w:themeColor="text1"/>
                                <w:sz w:val="14"/>
                              </w:rPr>
                              <w:t xml:space="preserve">(BBK,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12</w:t>
                            </w:r>
                            <w:r w:rsidRPr="003472E0">
                              <w:rPr>
                                <w:color w:val="000000" w:themeColor="text1"/>
                                <w:sz w:val="14"/>
                              </w:rPr>
                              <w:t xml:space="preserve">. Aufl., § 253 Rz 609): </w:t>
                            </w:r>
                          </w:p>
                          <w:p w:rsidR="009D1BB7" w:rsidRPr="003472E0" w:rsidRDefault="009D1BB7" w:rsidP="009D1BB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472E0">
                              <w:rPr>
                                <w:color w:val="000000" w:themeColor="text1"/>
                                <w:sz w:val="14"/>
                              </w:rPr>
                              <w:t>196 x 97.000 / 99.368 = 191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32"/>
              </w:rPr>
              <w:t>3</w:t>
            </w:r>
            <w:r w:rsidRPr="00306EA5">
              <w:rPr>
                <w:b/>
                <w:sz w:val="20"/>
                <w:szCs w:val="32"/>
              </w:rPr>
              <w:t xml:space="preserve">. </w:t>
            </w:r>
            <w:proofErr w:type="spellStart"/>
            <w:r>
              <w:rPr>
                <w:b/>
                <w:sz w:val="20"/>
                <w:szCs w:val="32"/>
              </w:rPr>
              <w:t>Behalt</w:t>
            </w:r>
            <w:bookmarkStart w:id="0" w:name="_GoBack"/>
            <w:bookmarkEnd w:id="0"/>
            <w:r>
              <w:rPr>
                <w:b/>
                <w:sz w:val="20"/>
                <w:szCs w:val="32"/>
              </w:rPr>
              <w:t>ensabsicht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14:paraId="230B410B" w14:textId="77777777" w:rsidR="009D1BB7" w:rsidRPr="00306EA5" w:rsidRDefault="009D1BB7" w:rsidP="009C3021">
            <w:pPr>
              <w:spacing w:before="0"/>
              <w:rPr>
                <w:b/>
                <w:sz w:val="20"/>
                <w:szCs w:val="32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1CAF906" w14:textId="77777777" w:rsidR="009D1BB7" w:rsidRPr="00306EA5" w:rsidRDefault="009D1BB7" w:rsidP="009C3021">
            <w:pPr>
              <w:spacing w:before="0"/>
              <w:rPr>
                <w:b/>
                <w:sz w:val="20"/>
                <w:szCs w:val="32"/>
              </w:rPr>
            </w:pPr>
          </w:p>
        </w:tc>
      </w:tr>
      <w:tr w:rsidR="009D1BB7" w:rsidRPr="00C84245" w14:paraId="75508773" w14:textId="77777777" w:rsidTr="0033789F">
        <w:trPr>
          <w:gridBefore w:val="1"/>
          <w:wBefore w:w="108" w:type="dxa"/>
        </w:trPr>
        <w:tc>
          <w:tcPr>
            <w:tcW w:w="383" w:type="dxa"/>
          </w:tcPr>
          <w:p w14:paraId="7CC87729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5945" w:type="dxa"/>
            <w:gridSpan w:val="4"/>
          </w:tcPr>
          <w:p w14:paraId="319051DD" w14:textId="77777777" w:rsidR="009D1BB7" w:rsidRPr="00374874" w:rsidRDefault="009D1BB7" w:rsidP="009C3021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Bewertung zum niedrigeren WP-Kurs zzgl. Anschaffungsnebenkosten</w:t>
            </w:r>
          </w:p>
        </w:tc>
        <w:tc>
          <w:tcPr>
            <w:tcW w:w="1372" w:type="dxa"/>
            <w:gridSpan w:val="2"/>
          </w:tcPr>
          <w:p w14:paraId="08A14968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2E89BE26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4676B336" w14:textId="77777777" w:rsidTr="0033789F">
        <w:trPr>
          <w:gridBefore w:val="1"/>
          <w:wBefore w:w="108" w:type="dxa"/>
          <w:trHeight w:val="20"/>
        </w:trPr>
        <w:tc>
          <w:tcPr>
            <w:tcW w:w="383" w:type="dxa"/>
          </w:tcPr>
          <w:p w14:paraId="2D694A34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3B507772" w14:textId="77777777" w:rsidR="009D1BB7" w:rsidRDefault="009D1BB7" w:rsidP="009C3021">
            <w:pPr>
              <w:pStyle w:val="Listenabsatz"/>
              <w:spacing w:before="0"/>
              <w:ind w:left="357"/>
              <w:rPr>
                <w:sz w:val="20"/>
                <w:szCs w:val="32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19031FFE" w14:textId="77777777" w:rsidR="009D1BB7" w:rsidRPr="00087D80" w:rsidRDefault="001B0528" w:rsidP="009C3021">
            <w:pPr>
              <w:pStyle w:val="Listenabsatz"/>
              <w:spacing w:before="0"/>
              <w:ind w:left="34"/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EUR</w:t>
            </w:r>
          </w:p>
        </w:tc>
        <w:tc>
          <w:tcPr>
            <w:tcW w:w="1270" w:type="dxa"/>
            <w:vAlign w:val="center"/>
          </w:tcPr>
          <w:p w14:paraId="27EF0301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372" w:type="dxa"/>
            <w:gridSpan w:val="2"/>
          </w:tcPr>
          <w:p w14:paraId="17530BE4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67FBEB17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3B0DED48" w14:textId="77777777" w:rsidTr="0033789F">
        <w:trPr>
          <w:gridBefore w:val="1"/>
          <w:wBefore w:w="108" w:type="dxa"/>
        </w:trPr>
        <w:tc>
          <w:tcPr>
            <w:tcW w:w="383" w:type="dxa"/>
          </w:tcPr>
          <w:p w14:paraId="52C600FF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11212370" w14:textId="77777777" w:rsidR="009D1BB7" w:rsidRDefault="009D1BB7" w:rsidP="009C3021">
            <w:pPr>
              <w:pStyle w:val="Listenabsatz"/>
              <w:spacing w:before="0"/>
              <w:ind w:left="357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Stichtagskurs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3F592946" w14:textId="77777777" w:rsidR="009D1BB7" w:rsidRDefault="009D1BB7" w:rsidP="009C3021">
            <w:pPr>
              <w:pStyle w:val="Listenabsatz"/>
              <w:spacing w:before="0"/>
              <w:ind w:left="34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97.000,000</w:t>
            </w:r>
          </w:p>
        </w:tc>
        <w:tc>
          <w:tcPr>
            <w:tcW w:w="1270" w:type="dxa"/>
            <w:vAlign w:val="center"/>
          </w:tcPr>
          <w:p w14:paraId="5A913500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372" w:type="dxa"/>
            <w:gridSpan w:val="2"/>
          </w:tcPr>
          <w:p w14:paraId="0FAB2149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3328B0A8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1FEDC88C" w14:textId="77777777" w:rsidTr="0033789F">
        <w:trPr>
          <w:gridBefore w:val="1"/>
          <w:wBefore w:w="108" w:type="dxa"/>
        </w:trPr>
        <w:tc>
          <w:tcPr>
            <w:tcW w:w="383" w:type="dxa"/>
          </w:tcPr>
          <w:p w14:paraId="2054AB3D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6B3A12F5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Anschaffungsnebenkosten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2DF62C01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191,00</w:t>
            </w:r>
          </w:p>
        </w:tc>
        <w:tc>
          <w:tcPr>
            <w:tcW w:w="1270" w:type="dxa"/>
            <w:vAlign w:val="center"/>
          </w:tcPr>
          <w:p w14:paraId="5802E486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372" w:type="dxa"/>
            <w:gridSpan w:val="2"/>
          </w:tcPr>
          <w:p w14:paraId="0205D16F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34404041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54253A77" w14:textId="77777777" w:rsidTr="0033789F">
        <w:trPr>
          <w:gridBefore w:val="1"/>
          <w:wBefore w:w="108" w:type="dxa"/>
        </w:trPr>
        <w:tc>
          <w:tcPr>
            <w:tcW w:w="383" w:type="dxa"/>
          </w:tcPr>
          <w:p w14:paraId="00335F8E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4DE58302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Wertansatz 31.12.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78DFB4F2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70" w:type="dxa"/>
            <w:vAlign w:val="center"/>
          </w:tcPr>
          <w:p w14:paraId="392DB29B" w14:textId="77777777" w:rsidR="009D1BB7" w:rsidRDefault="009D1BB7" w:rsidP="009C3021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97.191,00</w:t>
            </w:r>
          </w:p>
        </w:tc>
        <w:tc>
          <w:tcPr>
            <w:tcW w:w="1372" w:type="dxa"/>
            <w:gridSpan w:val="2"/>
          </w:tcPr>
          <w:p w14:paraId="2929C68B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42B27AFE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7EB23279" w14:textId="77777777" w:rsidTr="0033789F">
        <w:trPr>
          <w:gridBefore w:val="1"/>
          <w:wBefore w:w="108" w:type="dxa"/>
        </w:trPr>
        <w:tc>
          <w:tcPr>
            <w:tcW w:w="383" w:type="dxa"/>
          </w:tcPr>
          <w:p w14:paraId="3340B90E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55080F0C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Buchwert</w:t>
            </w:r>
          </w:p>
        </w:tc>
        <w:tc>
          <w:tcPr>
            <w:tcW w:w="1372" w:type="dxa"/>
            <w:vAlign w:val="center"/>
          </w:tcPr>
          <w:p w14:paraId="31362BB5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06378B42" w14:textId="77777777" w:rsidR="009D1BB7" w:rsidRDefault="009D1BB7" w:rsidP="009C3021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99.564,00</w:t>
            </w:r>
          </w:p>
        </w:tc>
        <w:tc>
          <w:tcPr>
            <w:tcW w:w="1372" w:type="dxa"/>
            <w:gridSpan w:val="2"/>
          </w:tcPr>
          <w:p w14:paraId="1BE627EA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6795F3AD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783B88FE" w14:textId="77777777" w:rsidTr="0033789F">
        <w:trPr>
          <w:gridBefore w:val="1"/>
          <w:wBefore w:w="108" w:type="dxa"/>
        </w:trPr>
        <w:tc>
          <w:tcPr>
            <w:tcW w:w="383" w:type="dxa"/>
          </w:tcPr>
          <w:p w14:paraId="15474B1D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6B195473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Abschreibung</w:t>
            </w:r>
          </w:p>
        </w:tc>
        <w:tc>
          <w:tcPr>
            <w:tcW w:w="1372" w:type="dxa"/>
            <w:vAlign w:val="center"/>
          </w:tcPr>
          <w:p w14:paraId="45C9B377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F6C773" w14:textId="77777777" w:rsidR="009D1BB7" w:rsidRDefault="009D1BB7" w:rsidP="009C3021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-2.373,00</w:t>
            </w:r>
          </w:p>
        </w:tc>
        <w:tc>
          <w:tcPr>
            <w:tcW w:w="1372" w:type="dxa"/>
            <w:gridSpan w:val="2"/>
          </w:tcPr>
          <w:p w14:paraId="474E8435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2A32C1A4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99715C" w14:paraId="5BC81121" w14:textId="77777777" w:rsidTr="0033789F">
        <w:trPr>
          <w:gridBefore w:val="1"/>
          <w:wBefore w:w="108" w:type="dxa"/>
        </w:trPr>
        <w:tc>
          <w:tcPr>
            <w:tcW w:w="383" w:type="dxa"/>
            <w:shd w:val="clear" w:color="auto" w:fill="auto"/>
          </w:tcPr>
          <w:p w14:paraId="1F035F01" w14:textId="77777777" w:rsidR="009D1BB7" w:rsidRPr="0099715C" w:rsidRDefault="009D1BB7" w:rsidP="009C3021">
            <w:pPr>
              <w:spacing w:before="0"/>
              <w:rPr>
                <w:sz w:val="2"/>
                <w:szCs w:val="32"/>
              </w:rPr>
            </w:pPr>
          </w:p>
        </w:tc>
        <w:tc>
          <w:tcPr>
            <w:tcW w:w="468" w:type="dxa"/>
            <w:shd w:val="clear" w:color="auto" w:fill="auto"/>
          </w:tcPr>
          <w:p w14:paraId="5F605E09" w14:textId="77777777" w:rsidR="009D1BB7" w:rsidRPr="0099715C" w:rsidRDefault="009D1BB7" w:rsidP="009C3021">
            <w:pPr>
              <w:spacing w:before="0"/>
              <w:rPr>
                <w:sz w:val="2"/>
                <w:szCs w:val="32"/>
              </w:rPr>
            </w:pPr>
          </w:p>
        </w:tc>
        <w:tc>
          <w:tcPr>
            <w:tcW w:w="5477" w:type="dxa"/>
            <w:gridSpan w:val="3"/>
            <w:shd w:val="clear" w:color="auto" w:fill="auto"/>
          </w:tcPr>
          <w:p w14:paraId="0F0473B6" w14:textId="77777777" w:rsidR="009D1BB7" w:rsidRPr="0099715C" w:rsidRDefault="009D1BB7" w:rsidP="009C3021">
            <w:pPr>
              <w:spacing w:before="0"/>
              <w:rPr>
                <w:sz w:val="2"/>
                <w:szCs w:val="32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14:paraId="38D7CAEF" w14:textId="77777777" w:rsidR="009D1BB7" w:rsidRPr="0099715C" w:rsidRDefault="009D1BB7" w:rsidP="009C3021">
            <w:pPr>
              <w:spacing w:before="0"/>
              <w:jc w:val="right"/>
              <w:rPr>
                <w:sz w:val="2"/>
                <w:szCs w:val="32"/>
              </w:rPr>
            </w:pPr>
          </w:p>
        </w:tc>
        <w:tc>
          <w:tcPr>
            <w:tcW w:w="1264" w:type="dxa"/>
            <w:shd w:val="clear" w:color="auto" w:fill="auto"/>
          </w:tcPr>
          <w:p w14:paraId="4991070B" w14:textId="77777777" w:rsidR="009D1BB7" w:rsidRPr="0099715C" w:rsidRDefault="009D1BB7" w:rsidP="009C3021">
            <w:pPr>
              <w:spacing w:before="0"/>
              <w:jc w:val="right"/>
              <w:rPr>
                <w:sz w:val="2"/>
                <w:szCs w:val="32"/>
              </w:rPr>
            </w:pPr>
          </w:p>
        </w:tc>
      </w:tr>
      <w:tr w:rsidR="009D1BB7" w:rsidRPr="00C84245" w14:paraId="202BDC3C" w14:textId="77777777" w:rsidTr="0033789F">
        <w:trPr>
          <w:gridBefore w:val="1"/>
          <w:wBefore w:w="108" w:type="dxa"/>
        </w:trPr>
        <w:tc>
          <w:tcPr>
            <w:tcW w:w="383" w:type="dxa"/>
          </w:tcPr>
          <w:p w14:paraId="2545FA8D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468" w:type="dxa"/>
            <w:shd w:val="clear" w:color="auto" w:fill="auto"/>
          </w:tcPr>
          <w:p w14:paraId="08A9CBB7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5477" w:type="dxa"/>
            <w:gridSpan w:val="3"/>
            <w:shd w:val="clear" w:color="auto" w:fill="D9D9D9" w:themeFill="background1" w:themeFillShade="D9"/>
          </w:tcPr>
          <w:p w14:paraId="74F8F2CF" w14:textId="77777777" w:rsidR="009D1BB7" w:rsidRDefault="009D1BB7" w:rsidP="00F67C1C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Abschreibungen auf </w:t>
            </w:r>
            <w:proofErr w:type="spellStart"/>
            <w:r>
              <w:rPr>
                <w:sz w:val="20"/>
                <w:szCs w:val="32"/>
              </w:rPr>
              <w:t>FinAV</w:t>
            </w:r>
            <w:proofErr w:type="spellEnd"/>
            <w:r>
              <w:rPr>
                <w:sz w:val="20"/>
                <w:szCs w:val="32"/>
              </w:rPr>
              <w:t xml:space="preserve"> und WP d. UV</w:t>
            </w:r>
          </w:p>
          <w:p w14:paraId="0D87EC68" w14:textId="77777777" w:rsidR="009D1BB7" w:rsidRPr="00306EA5" w:rsidRDefault="009D1BB7" w:rsidP="009C3021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Wertpapiere des UV</w:t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</w:tcPr>
          <w:p w14:paraId="32851957" w14:textId="77777777" w:rsidR="009D1BB7" w:rsidRPr="00C84245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2.373,00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3729E3FD" w14:textId="77777777" w:rsidR="009D1BB7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</w:p>
          <w:p w14:paraId="5D1C4264" w14:textId="77777777" w:rsidR="009D1BB7" w:rsidRPr="00C84245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2.373,00</w:t>
            </w:r>
          </w:p>
        </w:tc>
      </w:tr>
      <w:tr w:rsidR="0033789F" w:rsidRPr="00C84245" w14:paraId="4358349F" w14:textId="77777777" w:rsidTr="0033789F">
        <w:tc>
          <w:tcPr>
            <w:tcW w:w="491" w:type="dxa"/>
            <w:gridSpan w:val="2"/>
            <w:shd w:val="clear" w:color="auto" w:fill="auto"/>
          </w:tcPr>
          <w:p w14:paraId="4DAC9E79" w14:textId="77777777" w:rsidR="0033789F" w:rsidRDefault="0033789F" w:rsidP="00325440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5945" w:type="dxa"/>
            <w:gridSpan w:val="4"/>
            <w:shd w:val="clear" w:color="auto" w:fill="auto"/>
          </w:tcPr>
          <w:p w14:paraId="72485608" w14:textId="77777777" w:rsidR="0033789F" w:rsidRPr="00306EA5" w:rsidRDefault="0033789F" w:rsidP="00F67C1C">
            <w:pPr>
              <w:pStyle w:val="Listenabsatz"/>
              <w:spacing w:before="0"/>
              <w:ind w:left="393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Buchung der Depotgebühren, die auf dem Bankkonto belastet wurden</w:t>
            </w:r>
          </w:p>
        </w:tc>
        <w:tc>
          <w:tcPr>
            <w:tcW w:w="1297" w:type="dxa"/>
            <w:shd w:val="clear" w:color="auto" w:fill="auto"/>
          </w:tcPr>
          <w:p w14:paraId="5C195516" w14:textId="77777777" w:rsidR="0033789F" w:rsidRDefault="0033789F" w:rsidP="00325440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52E20149" w14:textId="77777777" w:rsidR="0033789F" w:rsidRDefault="0033789F" w:rsidP="00325440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</w:tr>
      <w:tr w:rsidR="0033789F" w:rsidRPr="00C84245" w14:paraId="54E80780" w14:textId="77777777" w:rsidTr="0033789F">
        <w:tc>
          <w:tcPr>
            <w:tcW w:w="491" w:type="dxa"/>
            <w:gridSpan w:val="2"/>
            <w:shd w:val="clear" w:color="auto" w:fill="auto"/>
          </w:tcPr>
          <w:p w14:paraId="29E78F34" w14:textId="77777777" w:rsidR="0033789F" w:rsidRDefault="0033789F" w:rsidP="00325440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468" w:type="dxa"/>
            <w:shd w:val="clear" w:color="auto" w:fill="auto"/>
          </w:tcPr>
          <w:p w14:paraId="336D96C2" w14:textId="77777777" w:rsidR="0033789F" w:rsidRPr="00306EA5" w:rsidRDefault="0033789F" w:rsidP="00325440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5477" w:type="dxa"/>
            <w:gridSpan w:val="3"/>
            <w:shd w:val="clear" w:color="auto" w:fill="D9D9D9" w:themeFill="background1" w:themeFillShade="D9"/>
          </w:tcPr>
          <w:p w14:paraId="0E3D544A" w14:textId="77777777" w:rsidR="0033789F" w:rsidRDefault="0033789F" w:rsidP="00325440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Depotgebühren (= sonstiger betrieblicher Aufwand)</w:t>
            </w:r>
          </w:p>
          <w:p w14:paraId="61D75D1E" w14:textId="77777777" w:rsidR="0033789F" w:rsidRPr="00306EA5" w:rsidRDefault="0033789F" w:rsidP="00325440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Bank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1E1C379E" w14:textId="77777777" w:rsidR="0033789F" w:rsidRDefault="0033789F" w:rsidP="00325440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970,00</w:t>
            </w:r>
          </w:p>
        </w:tc>
        <w:tc>
          <w:tcPr>
            <w:tcW w:w="1339" w:type="dxa"/>
            <w:gridSpan w:val="2"/>
            <w:shd w:val="clear" w:color="auto" w:fill="D9D9D9" w:themeFill="background1" w:themeFillShade="D9"/>
          </w:tcPr>
          <w:p w14:paraId="3B8E7B92" w14:textId="77777777" w:rsidR="0033789F" w:rsidRDefault="0033789F" w:rsidP="00325440">
            <w:pPr>
              <w:spacing w:before="0"/>
              <w:jc w:val="right"/>
              <w:rPr>
                <w:sz w:val="20"/>
                <w:szCs w:val="32"/>
              </w:rPr>
            </w:pPr>
          </w:p>
          <w:p w14:paraId="64275B57" w14:textId="77777777" w:rsidR="0033789F" w:rsidRDefault="0033789F" w:rsidP="00325440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970,00</w:t>
            </w:r>
          </w:p>
        </w:tc>
      </w:tr>
    </w:tbl>
    <w:p w14:paraId="64748CBE" w14:textId="77777777" w:rsidR="00294ADD" w:rsidRDefault="00294ADD"/>
    <w:p w14:paraId="66484DA8" w14:textId="77777777" w:rsidR="00294ADD" w:rsidRDefault="00294ADD" w:rsidP="00294ADD">
      <w:pPr>
        <w:pStyle w:val="Standardeinzug"/>
      </w:pPr>
      <w:r>
        <w:br w:type="page"/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1"/>
        <w:gridCol w:w="468"/>
        <w:gridCol w:w="2835"/>
        <w:gridCol w:w="1372"/>
        <w:gridCol w:w="1270"/>
        <w:gridCol w:w="1297"/>
        <w:gridCol w:w="75"/>
        <w:gridCol w:w="1264"/>
      </w:tblGrid>
      <w:tr w:rsidR="009D1BB7" w:rsidRPr="00306EA5" w14:paraId="527740C8" w14:textId="77777777" w:rsidTr="007A2233">
        <w:tc>
          <w:tcPr>
            <w:tcW w:w="6436" w:type="dxa"/>
            <w:gridSpan w:val="5"/>
          </w:tcPr>
          <w:p w14:paraId="7ED810CD" w14:textId="77777777" w:rsidR="009D1BB7" w:rsidRPr="00FB2F9E" w:rsidRDefault="009D1BB7" w:rsidP="009C3021">
            <w:pPr>
              <w:spacing w:before="240"/>
              <w:rPr>
                <w:b/>
                <w:sz w:val="20"/>
              </w:rPr>
            </w:pPr>
            <w:r w:rsidRPr="00FB2F9E">
              <w:rPr>
                <w:b/>
                <w:sz w:val="20"/>
              </w:rPr>
              <w:lastRenderedPageBreak/>
              <w:t>4. Folgejahr</w:t>
            </w:r>
          </w:p>
        </w:tc>
        <w:tc>
          <w:tcPr>
            <w:tcW w:w="1372" w:type="dxa"/>
            <w:gridSpan w:val="2"/>
          </w:tcPr>
          <w:p w14:paraId="42098275" w14:textId="77777777" w:rsidR="009D1BB7" w:rsidRPr="00FB2F9E" w:rsidRDefault="009D1BB7" w:rsidP="009C3021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1264" w:type="dxa"/>
          </w:tcPr>
          <w:p w14:paraId="01DE9142" w14:textId="77777777" w:rsidR="009D1BB7" w:rsidRPr="00FB2F9E" w:rsidRDefault="009D1BB7" w:rsidP="009C3021">
            <w:pPr>
              <w:spacing w:before="240"/>
              <w:rPr>
                <w:b/>
                <w:sz w:val="20"/>
              </w:rPr>
            </w:pPr>
          </w:p>
        </w:tc>
      </w:tr>
      <w:tr w:rsidR="009D1BB7" w:rsidRPr="00C84245" w14:paraId="1265A0C2" w14:textId="77777777" w:rsidTr="007A2233">
        <w:tc>
          <w:tcPr>
            <w:tcW w:w="491" w:type="dxa"/>
          </w:tcPr>
          <w:p w14:paraId="43FD0E27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7317" w:type="dxa"/>
            <w:gridSpan w:val="6"/>
          </w:tcPr>
          <w:p w14:paraId="5E14C250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Bewertung zum höheren Stichtags-Kurs – max. Anschaffungskosten</w:t>
            </w:r>
          </w:p>
        </w:tc>
        <w:tc>
          <w:tcPr>
            <w:tcW w:w="1264" w:type="dxa"/>
          </w:tcPr>
          <w:p w14:paraId="5D6F503A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5B5A7985" w14:textId="77777777" w:rsidTr="007A2233">
        <w:tc>
          <w:tcPr>
            <w:tcW w:w="491" w:type="dxa"/>
          </w:tcPr>
          <w:p w14:paraId="5FD4E43A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0544764A" w14:textId="77777777" w:rsidR="009D1BB7" w:rsidRDefault="009D1BB7" w:rsidP="009C3021">
            <w:pPr>
              <w:pStyle w:val="Listenabsatz"/>
              <w:spacing w:before="0"/>
              <w:ind w:left="357"/>
              <w:jc w:val="center"/>
              <w:rPr>
                <w:sz w:val="20"/>
                <w:szCs w:val="32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2E7AB9F8" w14:textId="77777777" w:rsidR="009D1BB7" w:rsidRPr="001B0528" w:rsidRDefault="001B0528" w:rsidP="009C3021">
            <w:pPr>
              <w:pStyle w:val="Listenabsatz"/>
              <w:spacing w:before="0"/>
              <w:ind w:left="34"/>
              <w:jc w:val="center"/>
              <w:rPr>
                <w:b/>
                <w:sz w:val="20"/>
                <w:szCs w:val="32"/>
              </w:rPr>
            </w:pPr>
            <w:r w:rsidRPr="001B0528">
              <w:rPr>
                <w:b/>
                <w:sz w:val="20"/>
                <w:szCs w:val="32"/>
              </w:rPr>
              <w:t>EUR</w:t>
            </w:r>
          </w:p>
        </w:tc>
        <w:tc>
          <w:tcPr>
            <w:tcW w:w="1270" w:type="dxa"/>
            <w:vAlign w:val="center"/>
          </w:tcPr>
          <w:p w14:paraId="353D24B4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372" w:type="dxa"/>
            <w:gridSpan w:val="2"/>
          </w:tcPr>
          <w:p w14:paraId="05B5DD6B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2CFC050C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1E8AA235" w14:textId="77777777" w:rsidTr="007A2233">
        <w:tc>
          <w:tcPr>
            <w:tcW w:w="491" w:type="dxa"/>
          </w:tcPr>
          <w:p w14:paraId="38F4CD31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22709D88" w14:textId="77777777" w:rsidR="009D1BB7" w:rsidRDefault="009D1BB7" w:rsidP="009C3021">
            <w:pPr>
              <w:pStyle w:val="Listenabsatz"/>
              <w:spacing w:before="0"/>
              <w:ind w:left="357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Stichtagskurs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55581DE2" w14:textId="77777777" w:rsidR="009D1BB7" w:rsidRDefault="009D1BB7" w:rsidP="009C3021">
            <w:pPr>
              <w:pStyle w:val="Listenabsatz"/>
              <w:spacing w:before="0"/>
              <w:ind w:left="34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101.500,000</w:t>
            </w:r>
          </w:p>
        </w:tc>
        <w:tc>
          <w:tcPr>
            <w:tcW w:w="1270" w:type="dxa"/>
            <w:vAlign w:val="center"/>
          </w:tcPr>
          <w:p w14:paraId="307F38C6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372" w:type="dxa"/>
            <w:gridSpan w:val="2"/>
          </w:tcPr>
          <w:p w14:paraId="1BB1DD52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11846104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30B4CB04" w14:textId="77777777" w:rsidTr="007A2233">
        <w:tc>
          <w:tcPr>
            <w:tcW w:w="491" w:type="dxa"/>
          </w:tcPr>
          <w:p w14:paraId="477D973B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381F9351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Anschaffungsnebenkosten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2E635EF2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196,00</w:t>
            </w:r>
          </w:p>
        </w:tc>
        <w:tc>
          <w:tcPr>
            <w:tcW w:w="1270" w:type="dxa"/>
            <w:vAlign w:val="center"/>
          </w:tcPr>
          <w:p w14:paraId="353E3F8F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372" w:type="dxa"/>
            <w:gridSpan w:val="2"/>
          </w:tcPr>
          <w:p w14:paraId="30191C07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4E551288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6BD9CFA7" w14:textId="77777777" w:rsidTr="007A2233">
        <w:tc>
          <w:tcPr>
            <w:tcW w:w="491" w:type="dxa"/>
          </w:tcPr>
          <w:p w14:paraId="22DD299A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1991C7EC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Wertansatz 31.12.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08AF6D73" w14:textId="77777777" w:rsidR="009D1BB7" w:rsidRDefault="009D1BB7" w:rsidP="009C3021">
            <w:pPr>
              <w:pStyle w:val="Listenabsatz"/>
              <w:spacing w:before="0"/>
              <w:ind w:left="34" w:hanging="34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101.696,00</w:t>
            </w:r>
          </w:p>
        </w:tc>
        <w:tc>
          <w:tcPr>
            <w:tcW w:w="1270" w:type="dxa"/>
            <w:vAlign w:val="center"/>
          </w:tcPr>
          <w:p w14:paraId="4D06778B" w14:textId="77777777" w:rsidR="009D1BB7" w:rsidRDefault="009D1BB7" w:rsidP="009C3021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</w:p>
        </w:tc>
        <w:tc>
          <w:tcPr>
            <w:tcW w:w="1372" w:type="dxa"/>
            <w:gridSpan w:val="2"/>
          </w:tcPr>
          <w:p w14:paraId="0C24F421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00B6474C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6D0897B7" w14:textId="77777777" w:rsidTr="007A2233">
        <w:tc>
          <w:tcPr>
            <w:tcW w:w="491" w:type="dxa"/>
          </w:tcPr>
          <w:p w14:paraId="1E00177B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04919896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Maximalwert</w:t>
            </w:r>
          </w:p>
        </w:tc>
        <w:tc>
          <w:tcPr>
            <w:tcW w:w="1372" w:type="dxa"/>
            <w:vAlign w:val="center"/>
          </w:tcPr>
          <w:p w14:paraId="6097703B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70" w:type="dxa"/>
            <w:vAlign w:val="center"/>
          </w:tcPr>
          <w:p w14:paraId="2CB97B0D" w14:textId="77777777" w:rsidR="009D1BB7" w:rsidRDefault="009D1BB7" w:rsidP="009C3021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99.564,00</w:t>
            </w:r>
          </w:p>
        </w:tc>
        <w:tc>
          <w:tcPr>
            <w:tcW w:w="1372" w:type="dxa"/>
            <w:gridSpan w:val="2"/>
          </w:tcPr>
          <w:p w14:paraId="62B25F9D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700AE538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739856EF" w14:textId="77777777" w:rsidTr="007A2233">
        <w:tc>
          <w:tcPr>
            <w:tcW w:w="491" w:type="dxa"/>
          </w:tcPr>
          <w:p w14:paraId="7DB149C7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156852B4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Buchwert</w:t>
            </w:r>
          </w:p>
        </w:tc>
        <w:tc>
          <w:tcPr>
            <w:tcW w:w="1372" w:type="dxa"/>
            <w:vAlign w:val="center"/>
          </w:tcPr>
          <w:p w14:paraId="5E397D29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5E836975" w14:textId="77777777" w:rsidR="009D1BB7" w:rsidRDefault="009D1BB7" w:rsidP="009C3021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97.191,00</w:t>
            </w:r>
          </w:p>
        </w:tc>
        <w:tc>
          <w:tcPr>
            <w:tcW w:w="1372" w:type="dxa"/>
            <w:gridSpan w:val="2"/>
          </w:tcPr>
          <w:p w14:paraId="727185FE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082E4EF9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C84245" w14:paraId="5C5039CA" w14:textId="77777777" w:rsidTr="007A2233">
        <w:tc>
          <w:tcPr>
            <w:tcW w:w="491" w:type="dxa"/>
          </w:tcPr>
          <w:p w14:paraId="364BFCAC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3303" w:type="dxa"/>
            <w:gridSpan w:val="2"/>
          </w:tcPr>
          <w:p w14:paraId="1C29110D" w14:textId="77777777" w:rsidR="009D1BB7" w:rsidRDefault="009D1BB7" w:rsidP="009C3021">
            <w:pPr>
              <w:pStyle w:val="Listenabsatz"/>
              <w:spacing w:before="0"/>
              <w:ind w:left="36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Zuschreibung</w:t>
            </w:r>
          </w:p>
        </w:tc>
        <w:tc>
          <w:tcPr>
            <w:tcW w:w="1372" w:type="dxa"/>
            <w:vAlign w:val="center"/>
          </w:tcPr>
          <w:p w14:paraId="6E7FECE5" w14:textId="77777777" w:rsidR="009D1BB7" w:rsidRDefault="009D1BB7" w:rsidP="009C3021">
            <w:pPr>
              <w:pStyle w:val="Listenabsatz"/>
              <w:spacing w:before="0"/>
              <w:ind w:left="360"/>
              <w:jc w:val="right"/>
              <w:rPr>
                <w:sz w:val="20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B010D7" w14:textId="77777777" w:rsidR="009D1BB7" w:rsidRDefault="009D1BB7" w:rsidP="009C3021">
            <w:pPr>
              <w:pStyle w:val="Listenabsatz"/>
              <w:spacing w:before="0"/>
              <w:ind w:left="79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2.373,00</w:t>
            </w:r>
          </w:p>
        </w:tc>
        <w:tc>
          <w:tcPr>
            <w:tcW w:w="1372" w:type="dxa"/>
            <w:gridSpan w:val="2"/>
          </w:tcPr>
          <w:p w14:paraId="4982E77D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1264" w:type="dxa"/>
          </w:tcPr>
          <w:p w14:paraId="3DF78904" w14:textId="77777777" w:rsidR="009D1BB7" w:rsidRPr="00C84245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</w:tr>
      <w:tr w:rsidR="009D1BB7" w:rsidRPr="0099715C" w14:paraId="7DFE5A9A" w14:textId="77777777" w:rsidTr="007A2233">
        <w:tc>
          <w:tcPr>
            <w:tcW w:w="491" w:type="dxa"/>
            <w:shd w:val="clear" w:color="auto" w:fill="auto"/>
          </w:tcPr>
          <w:p w14:paraId="0CC5E456" w14:textId="77777777" w:rsidR="009D1BB7" w:rsidRPr="0099715C" w:rsidRDefault="009D1BB7" w:rsidP="009C3021">
            <w:pPr>
              <w:spacing w:before="0"/>
              <w:rPr>
                <w:sz w:val="2"/>
                <w:szCs w:val="32"/>
              </w:rPr>
            </w:pPr>
          </w:p>
        </w:tc>
        <w:tc>
          <w:tcPr>
            <w:tcW w:w="468" w:type="dxa"/>
            <w:shd w:val="clear" w:color="auto" w:fill="auto"/>
          </w:tcPr>
          <w:p w14:paraId="1ED56493" w14:textId="77777777" w:rsidR="009D1BB7" w:rsidRPr="0099715C" w:rsidRDefault="009D1BB7" w:rsidP="009C3021">
            <w:pPr>
              <w:spacing w:before="0"/>
              <w:rPr>
                <w:sz w:val="2"/>
                <w:szCs w:val="32"/>
              </w:rPr>
            </w:pPr>
          </w:p>
        </w:tc>
        <w:tc>
          <w:tcPr>
            <w:tcW w:w="5477" w:type="dxa"/>
            <w:gridSpan w:val="3"/>
            <w:shd w:val="clear" w:color="auto" w:fill="auto"/>
          </w:tcPr>
          <w:p w14:paraId="7B80311E" w14:textId="77777777" w:rsidR="009D1BB7" w:rsidRPr="0099715C" w:rsidRDefault="009D1BB7" w:rsidP="009C3021">
            <w:pPr>
              <w:spacing w:before="0"/>
              <w:rPr>
                <w:sz w:val="2"/>
                <w:szCs w:val="32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14:paraId="7FE9444E" w14:textId="77777777" w:rsidR="009D1BB7" w:rsidRPr="0099715C" w:rsidRDefault="009D1BB7" w:rsidP="009C3021">
            <w:pPr>
              <w:spacing w:before="0"/>
              <w:jc w:val="right"/>
              <w:rPr>
                <w:sz w:val="2"/>
                <w:szCs w:val="32"/>
              </w:rPr>
            </w:pPr>
          </w:p>
        </w:tc>
        <w:tc>
          <w:tcPr>
            <w:tcW w:w="1264" w:type="dxa"/>
            <w:shd w:val="clear" w:color="auto" w:fill="auto"/>
          </w:tcPr>
          <w:p w14:paraId="32EE60A5" w14:textId="77777777" w:rsidR="009D1BB7" w:rsidRPr="0099715C" w:rsidRDefault="009D1BB7" w:rsidP="009C3021">
            <w:pPr>
              <w:spacing w:before="0"/>
              <w:jc w:val="right"/>
              <w:rPr>
                <w:sz w:val="2"/>
                <w:szCs w:val="32"/>
              </w:rPr>
            </w:pPr>
          </w:p>
        </w:tc>
      </w:tr>
      <w:tr w:rsidR="009D1BB7" w:rsidRPr="00C84245" w14:paraId="51863971" w14:textId="77777777" w:rsidTr="007A2233">
        <w:tc>
          <w:tcPr>
            <w:tcW w:w="491" w:type="dxa"/>
          </w:tcPr>
          <w:p w14:paraId="21E6BCC9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468" w:type="dxa"/>
            <w:shd w:val="clear" w:color="auto" w:fill="auto"/>
          </w:tcPr>
          <w:p w14:paraId="2BE521CB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5477" w:type="dxa"/>
            <w:gridSpan w:val="3"/>
            <w:shd w:val="clear" w:color="auto" w:fill="D9D9D9" w:themeFill="background1" w:themeFillShade="D9"/>
          </w:tcPr>
          <w:p w14:paraId="104E3A1F" w14:textId="77777777" w:rsidR="009D1BB7" w:rsidRDefault="009D1BB7" w:rsidP="009C3021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Wertpapiere des UV</w:t>
            </w:r>
          </w:p>
          <w:p w14:paraId="241874C8" w14:textId="77777777" w:rsidR="009D1BB7" w:rsidRPr="00306EA5" w:rsidRDefault="009D1BB7" w:rsidP="009C3021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Sonstige betriebliche Erträge</w:t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</w:tcPr>
          <w:p w14:paraId="5944D500" w14:textId="77777777" w:rsidR="009D1BB7" w:rsidRPr="00C84245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2.373,00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40AC519E" w14:textId="77777777" w:rsidR="009D1BB7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</w:p>
          <w:p w14:paraId="2DC3F477" w14:textId="77777777" w:rsidR="009D1BB7" w:rsidRPr="00C84245" w:rsidRDefault="009D1BB7" w:rsidP="009C3021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2.373,00</w:t>
            </w:r>
          </w:p>
        </w:tc>
      </w:tr>
      <w:tr w:rsidR="00F67C1C" w:rsidRPr="00C84245" w14:paraId="4B56B2AA" w14:textId="77777777" w:rsidTr="00325440">
        <w:tc>
          <w:tcPr>
            <w:tcW w:w="491" w:type="dxa"/>
            <w:shd w:val="clear" w:color="auto" w:fill="auto"/>
          </w:tcPr>
          <w:p w14:paraId="25569771" w14:textId="77777777" w:rsidR="00F67C1C" w:rsidRDefault="00F67C1C" w:rsidP="00325440">
            <w:pPr>
              <w:spacing w:before="0"/>
              <w:contextualSpacing/>
              <w:rPr>
                <w:sz w:val="20"/>
                <w:szCs w:val="32"/>
              </w:rPr>
            </w:pPr>
          </w:p>
        </w:tc>
        <w:tc>
          <w:tcPr>
            <w:tcW w:w="5945" w:type="dxa"/>
            <w:gridSpan w:val="4"/>
            <w:shd w:val="clear" w:color="auto" w:fill="auto"/>
          </w:tcPr>
          <w:p w14:paraId="05FC9967" w14:textId="77777777" w:rsidR="00F67C1C" w:rsidRPr="00306EA5" w:rsidRDefault="00F67C1C" w:rsidP="00325440">
            <w:pPr>
              <w:pStyle w:val="Listenabsatz"/>
              <w:spacing w:before="0"/>
              <w:ind w:left="393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Buchung der Depotgebühren, die auf dem Bankkonto belastet wurden</w:t>
            </w:r>
          </w:p>
        </w:tc>
        <w:tc>
          <w:tcPr>
            <w:tcW w:w="1297" w:type="dxa"/>
            <w:shd w:val="clear" w:color="auto" w:fill="auto"/>
          </w:tcPr>
          <w:p w14:paraId="4695C59B" w14:textId="77777777" w:rsidR="00F67C1C" w:rsidRDefault="00F67C1C" w:rsidP="00325440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14:paraId="7ACAA631" w14:textId="77777777" w:rsidR="00F67C1C" w:rsidRDefault="00F67C1C" w:rsidP="00325440">
            <w:pPr>
              <w:spacing w:before="0"/>
              <w:contextualSpacing/>
              <w:jc w:val="right"/>
              <w:rPr>
                <w:sz w:val="20"/>
                <w:szCs w:val="32"/>
              </w:rPr>
            </w:pPr>
          </w:p>
        </w:tc>
      </w:tr>
      <w:tr w:rsidR="00F67C1C" w:rsidRPr="00C84245" w14:paraId="5646B6E3" w14:textId="77777777" w:rsidTr="00325440">
        <w:tc>
          <w:tcPr>
            <w:tcW w:w="491" w:type="dxa"/>
            <w:shd w:val="clear" w:color="auto" w:fill="auto"/>
          </w:tcPr>
          <w:p w14:paraId="5811102E" w14:textId="77777777" w:rsidR="00F67C1C" w:rsidRDefault="00F67C1C" w:rsidP="00325440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468" w:type="dxa"/>
            <w:shd w:val="clear" w:color="auto" w:fill="auto"/>
          </w:tcPr>
          <w:p w14:paraId="21A6882F" w14:textId="77777777" w:rsidR="00F67C1C" w:rsidRPr="00306EA5" w:rsidRDefault="00F67C1C" w:rsidP="00325440">
            <w:pPr>
              <w:spacing w:before="0"/>
              <w:rPr>
                <w:sz w:val="20"/>
                <w:szCs w:val="32"/>
              </w:rPr>
            </w:pPr>
          </w:p>
        </w:tc>
        <w:tc>
          <w:tcPr>
            <w:tcW w:w="5477" w:type="dxa"/>
            <w:gridSpan w:val="3"/>
            <w:shd w:val="clear" w:color="auto" w:fill="D9D9D9" w:themeFill="background1" w:themeFillShade="D9"/>
          </w:tcPr>
          <w:p w14:paraId="0CC333E4" w14:textId="77777777" w:rsidR="00F67C1C" w:rsidRDefault="00F67C1C" w:rsidP="00325440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Depotgebühren (= sonstiger betrieblicher Aufwand)</w:t>
            </w:r>
          </w:p>
          <w:p w14:paraId="37AA69E0" w14:textId="77777777" w:rsidR="00F67C1C" w:rsidRPr="00306EA5" w:rsidRDefault="00F67C1C" w:rsidP="00325440">
            <w:pPr>
              <w:spacing w:before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Bank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1FAC8B1F" w14:textId="77777777" w:rsidR="00F67C1C" w:rsidRDefault="00F67C1C" w:rsidP="00325440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970,00</w:t>
            </w:r>
          </w:p>
        </w:tc>
        <w:tc>
          <w:tcPr>
            <w:tcW w:w="1339" w:type="dxa"/>
            <w:gridSpan w:val="2"/>
            <w:shd w:val="clear" w:color="auto" w:fill="D9D9D9" w:themeFill="background1" w:themeFillShade="D9"/>
          </w:tcPr>
          <w:p w14:paraId="3961E872" w14:textId="77777777" w:rsidR="00F67C1C" w:rsidRDefault="00F67C1C" w:rsidP="00325440">
            <w:pPr>
              <w:spacing w:before="0"/>
              <w:jc w:val="right"/>
              <w:rPr>
                <w:sz w:val="20"/>
                <w:szCs w:val="32"/>
              </w:rPr>
            </w:pPr>
          </w:p>
          <w:p w14:paraId="7C1F427D" w14:textId="77777777" w:rsidR="00F67C1C" w:rsidRDefault="00F67C1C" w:rsidP="00325440">
            <w:pPr>
              <w:spacing w:before="0"/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970,00</w:t>
            </w:r>
          </w:p>
        </w:tc>
      </w:tr>
    </w:tbl>
    <w:p w14:paraId="71E2F781" w14:textId="77777777" w:rsidR="00F67C1C" w:rsidRDefault="00F67C1C" w:rsidP="00F67C1C"/>
    <w:p w14:paraId="2B3E1649" w14:textId="77777777" w:rsidR="005E0577" w:rsidRPr="00F67C1C" w:rsidRDefault="005E0577" w:rsidP="00F67C1C">
      <w:pPr>
        <w:pStyle w:val="Standardeinzug"/>
        <w:ind w:left="0"/>
      </w:pPr>
    </w:p>
    <w:sectPr w:rsidR="005E0577" w:rsidRPr="00F67C1C" w:rsidSect="001910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843" w:left="1134" w:header="1134" w:footer="1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514DC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5CDB2F56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D4C7" w14:textId="77777777" w:rsidR="0019100F" w:rsidRDefault="001910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19100F" w:rsidRPr="0009625D" w14:paraId="4B7AD3E8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6A5D2186" w14:textId="77777777" w:rsidR="0019100F" w:rsidRPr="005F3383" w:rsidRDefault="0019100F" w:rsidP="0019100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1707057328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1DBF3EA" w14:textId="77777777" w:rsidR="0019100F" w:rsidRPr="005F3383" w:rsidRDefault="0019100F" w:rsidP="0019100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3E291081" w14:textId="77777777" w:rsidR="0019100F" w:rsidRDefault="0019100F" w:rsidP="0019100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3385263" wp14:editId="62BD7DA0">
                <wp:extent cx="2283571" cy="324000"/>
                <wp:effectExtent l="0" t="0" r="2540" b="0"/>
                <wp:docPr id="20" name="Grafi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486AFD0E" w14:textId="77777777" w:rsidR="0019100F" w:rsidRPr="0009625D" w:rsidRDefault="0019100F" w:rsidP="0019100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4/6</w:t>
          </w:r>
        </w:p>
      </w:tc>
    </w:tr>
  </w:tbl>
  <w:p w14:paraId="4220529C" w14:textId="77777777" w:rsidR="007506E6" w:rsidRPr="0019100F" w:rsidRDefault="007506E6" w:rsidP="0019100F">
    <w:pPr>
      <w:pStyle w:val="Fuzeile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17936" w:rsidRPr="0009625D" w14:paraId="712CFB2D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5CF6844B" w14:textId="77777777" w:rsidR="00717936" w:rsidRPr="005F3383" w:rsidRDefault="00717936" w:rsidP="00717936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83E2BC0" w14:textId="77777777" w:rsidR="00717936" w:rsidRPr="005F3383" w:rsidRDefault="00717936" w:rsidP="00717936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04216448" w14:textId="77777777" w:rsidR="00717936" w:rsidRDefault="00717936" w:rsidP="00717936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A893EEA" wp14:editId="1E3F5E0B">
                <wp:extent cx="2283571" cy="324000"/>
                <wp:effectExtent l="0" t="0" r="2540" b="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1010D7A1" w14:textId="77777777" w:rsidR="00717936" w:rsidRPr="0009625D" w:rsidRDefault="00717936" w:rsidP="00717936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4/6</w:t>
          </w:r>
        </w:p>
      </w:tc>
    </w:tr>
  </w:tbl>
  <w:p w14:paraId="65ACD652" w14:textId="77777777" w:rsidR="007506E6" w:rsidRPr="00717936" w:rsidRDefault="007506E6" w:rsidP="00717936">
    <w:pPr>
      <w:pStyle w:val="Fuzeile"/>
      <w:ind w:firstLine="357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5D488" w14:textId="77777777" w:rsidR="009773FE" w:rsidRDefault="009773FE" w:rsidP="00EE217B">
      <w:pPr>
        <w:pStyle w:val="Fuzeile"/>
      </w:pPr>
    </w:p>
    <w:p w14:paraId="38073F9F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3F97C9CB" w14:textId="77777777" w:rsidR="009773FE" w:rsidRDefault="009773FE" w:rsidP="00711AB6">
      <w:pPr>
        <w:spacing w:before="0"/>
        <w:jc w:val="center"/>
      </w:pPr>
    </w:p>
    <w:p w14:paraId="3D2540D8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5078" w14:textId="77777777" w:rsidR="0019100F" w:rsidRDefault="001910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489FC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62988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95ADF"/>
    <w:multiLevelType w:val="hybridMultilevel"/>
    <w:tmpl w:val="C114956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14"/>
  </w:num>
  <w:num w:numId="15">
    <w:abstractNumId w:val="12"/>
  </w:num>
  <w:num w:numId="16">
    <w:abstractNumId w:val="11"/>
  </w:num>
  <w:num w:numId="17">
    <w:abstractNumId w:val="13"/>
  </w:num>
  <w:num w:numId="1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42C5A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0E2CC5"/>
    <w:rsid w:val="000E53D5"/>
    <w:rsid w:val="00111AC6"/>
    <w:rsid w:val="001205E2"/>
    <w:rsid w:val="00143F11"/>
    <w:rsid w:val="00165A53"/>
    <w:rsid w:val="00180880"/>
    <w:rsid w:val="00184E10"/>
    <w:rsid w:val="0019100F"/>
    <w:rsid w:val="0019585B"/>
    <w:rsid w:val="001A1B58"/>
    <w:rsid w:val="001B052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74A36"/>
    <w:rsid w:val="00283F41"/>
    <w:rsid w:val="00284FA6"/>
    <w:rsid w:val="00285560"/>
    <w:rsid w:val="00285C0D"/>
    <w:rsid w:val="00290924"/>
    <w:rsid w:val="00294ADD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3789F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03F4"/>
    <w:rsid w:val="003A6FEB"/>
    <w:rsid w:val="003B420D"/>
    <w:rsid w:val="003D2DD2"/>
    <w:rsid w:val="003E348F"/>
    <w:rsid w:val="003E5835"/>
    <w:rsid w:val="003F1B18"/>
    <w:rsid w:val="004012DF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75058"/>
    <w:rsid w:val="00583AA1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1B9C"/>
    <w:rsid w:val="006E24F6"/>
    <w:rsid w:val="006E7126"/>
    <w:rsid w:val="007026D1"/>
    <w:rsid w:val="00711AB6"/>
    <w:rsid w:val="00716DD5"/>
    <w:rsid w:val="00717936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77A5"/>
    <w:rsid w:val="0078728B"/>
    <w:rsid w:val="00790130"/>
    <w:rsid w:val="00796513"/>
    <w:rsid w:val="007A060E"/>
    <w:rsid w:val="007A2233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30E9F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9236A"/>
    <w:rsid w:val="009A6E64"/>
    <w:rsid w:val="009C1E3E"/>
    <w:rsid w:val="009C2FF2"/>
    <w:rsid w:val="009C6EFB"/>
    <w:rsid w:val="009D1BB7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B12136"/>
    <w:rsid w:val="00B13741"/>
    <w:rsid w:val="00B15817"/>
    <w:rsid w:val="00B1680D"/>
    <w:rsid w:val="00B2286E"/>
    <w:rsid w:val="00B22993"/>
    <w:rsid w:val="00B261B2"/>
    <w:rsid w:val="00B50770"/>
    <w:rsid w:val="00B6345C"/>
    <w:rsid w:val="00B7014A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3E88"/>
    <w:rsid w:val="00BD62C0"/>
    <w:rsid w:val="00BE368B"/>
    <w:rsid w:val="00BF0354"/>
    <w:rsid w:val="00BF2B89"/>
    <w:rsid w:val="00BF7EB9"/>
    <w:rsid w:val="00C10F24"/>
    <w:rsid w:val="00C24E59"/>
    <w:rsid w:val="00C30D7D"/>
    <w:rsid w:val="00C406F7"/>
    <w:rsid w:val="00C43D74"/>
    <w:rsid w:val="00C470A2"/>
    <w:rsid w:val="00C61048"/>
    <w:rsid w:val="00C8522D"/>
    <w:rsid w:val="00C91AC1"/>
    <w:rsid w:val="00C940C7"/>
    <w:rsid w:val="00CA5FDE"/>
    <w:rsid w:val="00CA64ED"/>
    <w:rsid w:val="00CA6FFC"/>
    <w:rsid w:val="00CB24C7"/>
    <w:rsid w:val="00CC19EF"/>
    <w:rsid w:val="00CD1A9A"/>
    <w:rsid w:val="00CD4117"/>
    <w:rsid w:val="00CE2D84"/>
    <w:rsid w:val="00CE73C2"/>
    <w:rsid w:val="00CE7AEB"/>
    <w:rsid w:val="00D13823"/>
    <w:rsid w:val="00D13BD1"/>
    <w:rsid w:val="00D45365"/>
    <w:rsid w:val="00D45AE4"/>
    <w:rsid w:val="00D61222"/>
    <w:rsid w:val="00D65E04"/>
    <w:rsid w:val="00DA47D0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0405E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2ACF"/>
    <w:rsid w:val="00EA74B3"/>
    <w:rsid w:val="00EB3142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C1C"/>
    <w:rsid w:val="00F67FF5"/>
    <w:rsid w:val="00F86F3C"/>
    <w:rsid w:val="00F87375"/>
    <w:rsid w:val="00F920AB"/>
    <w:rsid w:val="00FA1E51"/>
    <w:rsid w:val="00FB19BE"/>
    <w:rsid w:val="00FB2F9E"/>
    <w:rsid w:val="00FB74D4"/>
    <w:rsid w:val="00FD0600"/>
    <w:rsid w:val="00FD6CCC"/>
    <w:rsid w:val="00FE5374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7754347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8BFEF18-A88B-4824-A3BA-CD018977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3</Pages>
  <Words>312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25</cp:revision>
  <cp:lastPrinted>2025-10-08T08:25:00Z</cp:lastPrinted>
  <dcterms:created xsi:type="dcterms:W3CDTF">2023-03-27T11:24:00Z</dcterms:created>
  <dcterms:modified xsi:type="dcterms:W3CDTF">2025-10-08T08:25:00Z</dcterms:modified>
</cp:coreProperties>
</file>