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209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20979"/>
      </w:tblGrid>
      <w:tr w:rsidR="002305AB" w:rsidRPr="002305AB" w:rsidTr="00EE0117">
        <w:tc>
          <w:tcPr>
            <w:tcW w:w="20979" w:type="dxa"/>
            <w:shd w:val="clear" w:color="auto" w:fill="CCECFF"/>
            <w:tcMar>
              <w:top w:w="113" w:type="dxa"/>
              <w:bottom w:w="113" w:type="dxa"/>
            </w:tcMar>
          </w:tcPr>
          <w:p w:rsidR="007A3E0C" w:rsidRPr="0061020A" w:rsidRDefault="00930130" w:rsidP="00D07E88">
            <w:pPr>
              <w:pStyle w:val="berschrift1"/>
              <w:numPr>
                <w:ilvl w:val="0"/>
                <w:numId w:val="0"/>
              </w:numPr>
              <w:ind w:left="709" w:hanging="709"/>
              <w:rPr>
                <w:rFonts w:ascii="Century Gothic" w:hAnsi="Century Gothic"/>
                <w:color w:val="00B0F0"/>
                <w:sz w:val="28"/>
              </w:rPr>
            </w:pPr>
            <w:r w:rsidRPr="0061020A">
              <w:rPr>
                <w:noProof/>
                <w:color w:val="00B0F0"/>
                <w:sz w:val="28"/>
              </w:rPr>
              <mc:AlternateContent>
                <mc:Choice Requires="wps">
                  <w:drawing>
                    <wp:anchor distT="0" distB="0" distL="114300" distR="114300" simplePos="0" relativeHeight="251658240" behindDoc="0" locked="0" layoutInCell="1" allowOverlap="1" wp14:anchorId="2313A144" wp14:editId="431E7BA1">
                      <wp:simplePos x="0" y="0"/>
                      <wp:positionH relativeFrom="column">
                        <wp:posOffset>13454344</wp:posOffset>
                      </wp:positionH>
                      <wp:positionV relativeFrom="paragraph">
                        <wp:posOffset>-562203</wp:posOffset>
                      </wp:positionV>
                      <wp:extent cx="453264" cy="1403985"/>
                      <wp:effectExtent l="381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3264" cy="1403985"/>
                              </a:xfrm>
                              <a:prstGeom prst="rect">
                                <a:avLst/>
                              </a:prstGeom>
                              <a:noFill/>
                              <a:ln w="9525">
                                <a:noFill/>
                                <a:miter lim="800000"/>
                                <a:headEnd/>
                                <a:tailEnd/>
                              </a:ln>
                            </wps:spPr>
                            <wps:txbx>
                              <w:txbxContent>
                                <w:p w:rsidR="0076077C" w:rsidRPr="00217B0C" w:rsidRDefault="0076077C">
                                  <w:pPr>
                                    <w:rPr>
                                      <w:color w:val="00B0F0"/>
                                      <w:sz w:val="10"/>
                                    </w:rPr>
                                  </w:pPr>
                                  <w:r w:rsidRPr="00217B0C">
                                    <w:rPr>
                                      <w:color w:val="00B0F0"/>
                                      <w:sz w:val="10"/>
                                      <w:shd w:val="clear" w:color="auto" w:fill="00B0F0"/>
                                    </w:rPr>
                                    <w:t>0</w:t>
                                  </w:r>
                                  <w:r w:rsidR="00150E36" w:rsidRPr="00217B0C">
                                    <w:rPr>
                                      <w:color w:val="00B0F0"/>
                                      <w:sz w:val="10"/>
                                      <w:shd w:val="clear" w:color="auto" w:fill="00B0F0"/>
                                    </w:rPr>
                                    <w:t>8</w:t>
                                  </w:r>
                                  <w:r w:rsidRPr="00217B0C">
                                    <w:rPr>
                                      <w:color w:val="00B0F0"/>
                                      <w:sz w:val="10"/>
                                      <w:shd w:val="clear" w:color="auto" w:fill="00B0F0"/>
                                    </w:rPr>
                                    <w:t>/20</w:t>
                                  </w:r>
                                  <w:r w:rsidR="00174BA7" w:rsidRPr="00217B0C">
                                    <w:rPr>
                                      <w:color w:val="00B0F0"/>
                                      <w:sz w:val="10"/>
                                      <w:shd w:val="clear" w:color="auto" w:fill="00B0F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3A144" id="_x0000_t202" coordsize="21600,21600" o:spt="202" path="m,l,21600r21600,l21600,xe">
                      <v:stroke joinstyle="miter"/>
                      <v:path gradientshapeok="t" o:connecttype="rect"/>
                    </v:shapetype>
                    <v:shape id="Textfeld 2" o:spid="_x0000_s1026" type="#_x0000_t202" style="position:absolute;left:0;text-align:left;margin-left:1059.4pt;margin-top:-44.25pt;width:35.7pt;height:110.55pt;rotation:-90;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" filled="f" stroked="f">
                      <v:textbox style="mso-fit-shape-to-text:t">
                        <w:txbxContent>
                          <w:p w:rsidR="0076077C" w:rsidRPr="00217B0C" w:rsidRDefault="0076077C">
                            <w:pPr>
                              <w:rPr>
                                <w:color w:val="00B0F0"/>
                                <w:sz w:val="10"/>
                              </w:rPr>
                            </w:pPr>
                            <w:r w:rsidRPr="00217B0C">
                              <w:rPr>
                                <w:color w:val="00B0F0"/>
                                <w:sz w:val="10"/>
                                <w:shd w:val="clear" w:color="auto" w:fill="00B0F0"/>
                              </w:rPr>
                              <w:t>0</w:t>
                            </w:r>
                            <w:r w:rsidR="00150E36" w:rsidRPr="00217B0C">
                              <w:rPr>
                                <w:color w:val="00B0F0"/>
                                <w:sz w:val="10"/>
                                <w:shd w:val="clear" w:color="auto" w:fill="00B0F0"/>
                              </w:rPr>
                              <w:t>8</w:t>
                            </w:r>
                            <w:r w:rsidRPr="00217B0C">
                              <w:rPr>
                                <w:color w:val="00B0F0"/>
                                <w:sz w:val="10"/>
                                <w:shd w:val="clear" w:color="auto" w:fill="00B0F0"/>
                              </w:rPr>
                              <w:t>/20</w:t>
                            </w:r>
                            <w:r w:rsidR="00174BA7" w:rsidRPr="00217B0C">
                              <w:rPr>
                                <w:color w:val="00B0F0"/>
                                <w:sz w:val="10"/>
                                <w:shd w:val="clear" w:color="auto" w:fill="00B0F0"/>
                              </w:rPr>
                              <w:t>21</w:t>
                            </w:r>
                          </w:p>
                        </w:txbxContent>
                      </v:textbox>
                    </v:shape>
                  </w:pict>
                </mc:Fallback>
              </mc:AlternateContent>
            </w:r>
            <w:bookmarkStart w:id="0" w:name="_GoBack"/>
            <w:bookmarkEnd w:id="0"/>
            <w:r w:rsidR="00F54741" w:rsidRPr="0061020A">
              <w:rPr>
                <w:rFonts w:ascii="Century Gothic" w:hAnsi="Century Gothic"/>
                <w:color w:val="00B0F0"/>
                <w:sz w:val="28"/>
              </w:rPr>
              <w:t>Überblick</w:t>
            </w:r>
            <w:r w:rsidR="00D07E88" w:rsidRPr="0061020A">
              <w:rPr>
                <w:rFonts w:ascii="Century Gothic" w:hAnsi="Century Gothic"/>
                <w:color w:val="00B0F0"/>
                <w:sz w:val="28"/>
              </w:rPr>
              <w:t>:</w:t>
            </w:r>
            <w:r w:rsidR="00F54741" w:rsidRPr="0061020A">
              <w:rPr>
                <w:rFonts w:ascii="Century Gothic" w:hAnsi="Century Gothic"/>
                <w:color w:val="00B0F0"/>
                <w:sz w:val="28"/>
              </w:rPr>
              <w:t xml:space="preserve"> </w:t>
            </w:r>
            <w:r w:rsidR="00D07E88" w:rsidRPr="0061020A">
              <w:rPr>
                <w:rFonts w:ascii="Century Gothic" w:hAnsi="Century Gothic"/>
                <w:color w:val="00B0F0"/>
                <w:sz w:val="28"/>
              </w:rPr>
              <w:t>K</w:t>
            </w:r>
            <w:r w:rsidR="00F54741" w:rsidRPr="0061020A">
              <w:rPr>
                <w:rFonts w:ascii="Century Gothic" w:hAnsi="Century Gothic"/>
                <w:color w:val="00B0F0"/>
                <w:sz w:val="28"/>
              </w:rPr>
              <w:t>ritische Grundhaltung</w:t>
            </w:r>
            <w:r w:rsidR="00D07E88" w:rsidRPr="0061020A">
              <w:rPr>
                <w:rFonts w:ascii="Century Gothic" w:hAnsi="Century Gothic"/>
                <w:color w:val="00B0F0"/>
                <w:sz w:val="28"/>
              </w:rPr>
              <w:t xml:space="preserve"> bei der Abschlussprüfung </w:t>
            </w:r>
            <w:r w:rsidR="00174BA7" w:rsidRPr="0061020A">
              <w:rPr>
                <w:rFonts w:ascii="Century Gothic" w:hAnsi="Century Gothic"/>
                <w:color w:val="FF0000"/>
                <w:sz w:val="28"/>
              </w:rPr>
              <w:t>insbesondere bei Unternehmen in der Krise</w:t>
            </w:r>
            <w:r w:rsidR="00680829" w:rsidRPr="0061020A">
              <w:rPr>
                <w:rFonts w:ascii="Century Gothic" w:hAnsi="Century Gothic"/>
                <w:color w:val="FF0000"/>
                <w:sz w:val="28"/>
              </w:rPr>
              <w:t xml:space="preserve"> </w:t>
            </w:r>
            <w:r w:rsidR="00680829" w:rsidRPr="0061020A">
              <w:rPr>
                <w:rFonts w:ascii="Century Gothic" w:hAnsi="Century Gothic"/>
                <w:color w:val="00B0F0"/>
                <w:sz w:val="28"/>
              </w:rPr>
              <w:t>(Phasen 1-5)</w:t>
            </w:r>
          </w:p>
        </w:tc>
      </w:tr>
    </w:tbl>
    <w:p w:rsidR="00D07E88" w:rsidRPr="00150E36" w:rsidRDefault="00D07E88" w:rsidP="00D07E88">
      <w:pPr>
        <w:pStyle w:val="Aufzhlungszeichen"/>
        <w:numPr>
          <w:ilvl w:val="0"/>
          <w:numId w:val="34"/>
        </w:numPr>
        <w:spacing w:before="120" w:after="120"/>
        <w:ind w:left="425" w:hanging="425"/>
        <w:rPr>
          <w:rStyle w:val="HervorhebungBLAU"/>
        </w:rPr>
      </w:pPr>
      <w:r w:rsidRPr="00150E36">
        <w:rPr>
          <w:rStyle w:val="HervorhebungBLAU"/>
        </w:rPr>
        <w:t>Rechtliche Grundlagen</w:t>
      </w:r>
    </w:p>
    <w:p w:rsidR="00235797" w:rsidRPr="00150E36" w:rsidRDefault="00235797" w:rsidP="00235797">
      <w:pPr>
        <w:pStyle w:val="Aufzhlungszeichen"/>
        <w:numPr>
          <w:ilvl w:val="0"/>
          <w:numId w:val="0"/>
        </w:numPr>
        <w:rPr>
          <w:sz w:val="20"/>
        </w:rPr>
      </w:pPr>
      <w:r w:rsidRPr="00150E36">
        <w:rPr>
          <w:sz w:val="20"/>
        </w:rPr>
        <w:t>Am 17.06.2016 ist das Abschlussprüferaufsichtsreformgesetz (</w:t>
      </w:r>
      <w:proofErr w:type="spellStart"/>
      <w:r w:rsidRPr="00150E36">
        <w:rPr>
          <w:rStyle w:val="HervorhebenSCHWARZ"/>
        </w:rPr>
        <w:t>APAReG</w:t>
      </w:r>
      <w:proofErr w:type="spellEnd"/>
      <w:r w:rsidRPr="00150E36">
        <w:rPr>
          <w:sz w:val="20"/>
        </w:rPr>
        <w:t xml:space="preserve">) in Kraft getreten und damit einhergehend wurden die </w:t>
      </w:r>
      <w:r w:rsidRPr="00150E36">
        <w:rPr>
          <w:rStyle w:val="HervorhebenSCHWARZ"/>
        </w:rPr>
        <w:t>Berufspflichten</w:t>
      </w:r>
      <w:r w:rsidRPr="00150E36">
        <w:rPr>
          <w:sz w:val="20"/>
        </w:rPr>
        <w:t xml:space="preserve"> des Abschlussprüfers </w:t>
      </w:r>
      <w:r w:rsidRPr="00150E36">
        <w:rPr>
          <w:rStyle w:val="HervorhebenSCHWARZ"/>
        </w:rPr>
        <w:t>gesetzlich erweitert</w:t>
      </w:r>
      <w:r w:rsidRPr="00150E36">
        <w:rPr>
          <w:sz w:val="20"/>
        </w:rPr>
        <w:t>:</w:t>
      </w:r>
    </w:p>
    <w:p w:rsidR="00235797" w:rsidRPr="00150E36" w:rsidRDefault="00235797" w:rsidP="00D07E88">
      <w:pPr>
        <w:pStyle w:val="berschrift3"/>
        <w:numPr>
          <w:ilvl w:val="0"/>
          <w:numId w:val="0"/>
        </w:numPr>
        <w:tabs>
          <w:tab w:val="clear" w:pos="720"/>
        </w:tabs>
        <w:spacing w:before="120"/>
        <w:rPr>
          <w:rFonts w:ascii="Century Gothic" w:hAnsi="Century Gothic"/>
          <w:color w:val="auto"/>
          <w:sz w:val="20"/>
        </w:rPr>
      </w:pPr>
      <w:bookmarkStart w:id="1" w:name="_Toc522174231"/>
      <w:r w:rsidRPr="00150E36">
        <w:rPr>
          <w:rStyle w:val="HervorhebungROT"/>
          <w:b/>
        </w:rPr>
        <w:t>§ 43 Abs. 4 WPO</w:t>
      </w:r>
      <w:bookmarkEnd w:id="1"/>
      <w:r w:rsidR="00150E36" w:rsidRPr="00150E36">
        <w:rPr>
          <w:rStyle w:val="HervorhebungROT"/>
          <w:b/>
        </w:rPr>
        <w:t xml:space="preserve"> n.F. (seit 01.07.2021 – FISG)</w:t>
      </w:r>
      <w:r w:rsidRPr="00150E36">
        <w:rPr>
          <w:rStyle w:val="HervorhebungROT"/>
          <w:b/>
        </w:rPr>
        <w:t>:</w:t>
      </w:r>
      <w:r w:rsidRPr="00150E36">
        <w:rPr>
          <w:rFonts w:ascii="Century Gothic" w:hAnsi="Century Gothic"/>
          <w:color w:val="auto"/>
        </w:rPr>
        <w:t xml:space="preserve"> </w:t>
      </w:r>
      <w:r w:rsidRPr="00150E36">
        <w:rPr>
          <w:rFonts w:ascii="Century Gothic" w:hAnsi="Century Gothic"/>
          <w:color w:val="auto"/>
        </w:rPr>
        <w:br/>
        <w:t>„</w:t>
      </w:r>
      <w:r w:rsidRPr="00150E36">
        <w:rPr>
          <w:rFonts w:ascii="Century Gothic" w:hAnsi="Century Gothic"/>
          <w:i/>
          <w:color w:val="auto"/>
          <w:sz w:val="20"/>
        </w:rPr>
        <w:t xml:space="preserve">Berufsangehörige haben während der </w:t>
      </w:r>
      <w:r w:rsidRPr="00150E36">
        <w:rPr>
          <w:rStyle w:val="HervorhebenSCHWARZ"/>
          <w:i/>
        </w:rPr>
        <w:t>gesamten Prüfung</w:t>
      </w:r>
      <w:r w:rsidRPr="00150E36">
        <w:rPr>
          <w:rFonts w:ascii="Century Gothic" w:hAnsi="Century Gothic"/>
          <w:i/>
          <w:color w:val="auto"/>
          <w:sz w:val="20"/>
        </w:rPr>
        <w:t xml:space="preserve"> eine </w:t>
      </w:r>
      <w:r w:rsidRPr="00150E36">
        <w:rPr>
          <w:rStyle w:val="HervorhebungROT"/>
          <w:b/>
          <w:i/>
          <w:color w:val="auto"/>
          <w:sz w:val="20"/>
        </w:rPr>
        <w:t>kritische Grundhaltung</w:t>
      </w:r>
      <w:r w:rsidRPr="00150E36">
        <w:rPr>
          <w:rStyle w:val="HervorhebungBLAU"/>
          <w:i/>
          <w:color w:val="auto"/>
          <w:sz w:val="20"/>
        </w:rPr>
        <w:t xml:space="preserve"> </w:t>
      </w:r>
      <w:r w:rsidRPr="00150E36">
        <w:rPr>
          <w:rFonts w:ascii="Century Gothic" w:hAnsi="Century Gothic"/>
          <w:i/>
          <w:color w:val="auto"/>
          <w:sz w:val="20"/>
        </w:rPr>
        <w:t xml:space="preserve">zu wahren. Dazu gehört es, </w:t>
      </w:r>
      <w:r w:rsidRPr="00150E36">
        <w:rPr>
          <w:rStyle w:val="HervorhebenSCHWARZ"/>
          <w:b/>
          <w:i/>
        </w:rPr>
        <w:t>Angaben</w:t>
      </w:r>
      <w:r w:rsidRPr="00150E36">
        <w:rPr>
          <w:rFonts w:ascii="Century Gothic" w:hAnsi="Century Gothic"/>
          <w:b w:val="0"/>
          <w:i/>
          <w:color w:val="auto"/>
          <w:sz w:val="20"/>
        </w:rPr>
        <w:t xml:space="preserve"> </w:t>
      </w:r>
      <w:r w:rsidRPr="00150E36">
        <w:rPr>
          <w:rFonts w:ascii="Century Gothic" w:hAnsi="Century Gothic"/>
          <w:i/>
          <w:color w:val="auto"/>
          <w:sz w:val="20"/>
        </w:rPr>
        <w:t xml:space="preserve">zu </w:t>
      </w:r>
      <w:r w:rsidRPr="00150E36">
        <w:rPr>
          <w:rStyle w:val="HervorhebenSCHWARZ"/>
          <w:b/>
          <w:i/>
        </w:rPr>
        <w:t>hinterfragen</w:t>
      </w:r>
      <w:r w:rsidRPr="00150E36">
        <w:rPr>
          <w:rFonts w:ascii="Century Gothic" w:hAnsi="Century Gothic"/>
          <w:i/>
          <w:color w:val="auto"/>
          <w:sz w:val="20"/>
        </w:rPr>
        <w:t xml:space="preserve">, auf </w:t>
      </w:r>
      <w:r w:rsidRPr="00150E36">
        <w:rPr>
          <w:rStyle w:val="HervorhebenSCHWARZ"/>
          <w:b/>
          <w:i/>
        </w:rPr>
        <w:t>Gegebenheiten</w:t>
      </w:r>
      <w:r w:rsidRPr="00150E36">
        <w:rPr>
          <w:rFonts w:ascii="Century Gothic" w:hAnsi="Century Gothic"/>
          <w:b w:val="0"/>
          <w:i/>
          <w:color w:val="auto"/>
          <w:sz w:val="20"/>
        </w:rPr>
        <w:t xml:space="preserve"> zu </w:t>
      </w:r>
      <w:r w:rsidRPr="00150E36">
        <w:rPr>
          <w:rStyle w:val="HervorhebenSCHWARZ"/>
          <w:b/>
          <w:i/>
        </w:rPr>
        <w:t>achten</w:t>
      </w:r>
      <w:r w:rsidRPr="00150E36">
        <w:rPr>
          <w:rFonts w:ascii="Century Gothic" w:hAnsi="Century Gothic"/>
          <w:i/>
          <w:color w:val="auto"/>
          <w:sz w:val="20"/>
        </w:rPr>
        <w:t xml:space="preserve">, </w:t>
      </w:r>
      <w:r w:rsidRPr="00150E36">
        <w:rPr>
          <w:rFonts w:ascii="Century Gothic" w:hAnsi="Century Gothic"/>
          <w:b w:val="0"/>
          <w:i/>
          <w:color w:val="auto"/>
          <w:sz w:val="20"/>
        </w:rPr>
        <w:t xml:space="preserve">die auf eine </w:t>
      </w:r>
      <w:r w:rsidRPr="00150E36">
        <w:rPr>
          <w:rStyle w:val="HervorhebungBLAU"/>
          <w:b/>
          <w:i/>
          <w:color w:val="auto"/>
          <w:sz w:val="20"/>
        </w:rPr>
        <w:t>falsche Darstellung</w:t>
      </w:r>
      <w:r w:rsidRPr="00150E36">
        <w:rPr>
          <w:rFonts w:ascii="Century Gothic" w:hAnsi="Century Gothic"/>
          <w:b w:val="0"/>
          <w:i/>
          <w:color w:val="auto"/>
          <w:sz w:val="20"/>
        </w:rPr>
        <w:t xml:space="preserve"> hindeuten könnten</w:t>
      </w:r>
      <w:r w:rsidRPr="00150E36">
        <w:rPr>
          <w:rFonts w:ascii="Century Gothic" w:hAnsi="Century Gothic"/>
          <w:i/>
          <w:color w:val="auto"/>
          <w:sz w:val="20"/>
        </w:rPr>
        <w:t xml:space="preserve">, und die </w:t>
      </w:r>
      <w:r w:rsidRPr="00150E36">
        <w:rPr>
          <w:rStyle w:val="HervorhebungROT"/>
          <w:b/>
          <w:i/>
          <w:color w:val="auto"/>
          <w:sz w:val="20"/>
        </w:rPr>
        <w:t>Prüfungsnachweise kritisch zu beurteilen</w:t>
      </w:r>
      <w:r w:rsidRPr="00150E36">
        <w:rPr>
          <w:rFonts w:ascii="Century Gothic" w:hAnsi="Century Gothic"/>
          <w:color w:val="auto"/>
          <w:sz w:val="20"/>
        </w:rPr>
        <w:t>.“</w:t>
      </w:r>
    </w:p>
    <w:p w:rsidR="00150E36" w:rsidRPr="00150E36" w:rsidRDefault="00304066" w:rsidP="00E51628">
      <w:pPr>
        <w:pStyle w:val="berschrift3"/>
        <w:numPr>
          <w:ilvl w:val="0"/>
          <w:numId w:val="0"/>
        </w:numPr>
        <w:tabs>
          <w:tab w:val="clear" w:pos="720"/>
        </w:tabs>
        <w:spacing w:before="0"/>
        <w:rPr>
          <w:rFonts w:ascii="Century Gothic" w:hAnsi="Century Gothic"/>
          <w:i/>
          <w:color w:val="FF0000"/>
          <w:sz w:val="20"/>
        </w:rPr>
      </w:pPr>
      <w:r>
        <w:rPr>
          <w:rFonts w:ascii="Century Gothic" w:hAnsi="Century Gothic"/>
          <w:i/>
          <w:noProof/>
          <w:color w:val="FF0000"/>
          <w:sz w:val="20"/>
        </w:rPr>
        <mc:AlternateContent>
          <mc:Choice Requires="wps">
            <w:drawing>
              <wp:anchor distT="0" distB="0" distL="114300" distR="114300" simplePos="0" relativeHeight="251659264" behindDoc="0" locked="0" layoutInCell="1" allowOverlap="1">
                <wp:simplePos x="0" y="0"/>
                <wp:positionH relativeFrom="column">
                  <wp:posOffset>11089472</wp:posOffset>
                </wp:positionH>
                <wp:positionV relativeFrom="paragraph">
                  <wp:posOffset>346590</wp:posOffset>
                </wp:positionV>
                <wp:extent cx="1560830" cy="517525"/>
                <wp:effectExtent l="781050" t="0" r="20320" b="15875"/>
                <wp:wrapNone/>
                <wp:docPr id="1" name="Sprechblase: rechteckig mit abgerundeten Ecken 1"/>
                <wp:cNvGraphicFramePr/>
                <a:graphic xmlns:a="http://schemas.openxmlformats.org/drawingml/2006/main">
                  <a:graphicData uri="http://schemas.microsoft.com/office/word/2010/wordprocessingShape">
                    <wps:wsp>
                      <wps:cNvSpPr/>
                      <wps:spPr>
                        <a:xfrm>
                          <a:off x="0" y="0"/>
                          <a:ext cx="1560830" cy="517525"/>
                        </a:xfrm>
                        <a:prstGeom prst="wedgeRoundRectCallout">
                          <a:avLst>
                            <a:gd name="adj1" fmla="val -99950"/>
                            <a:gd name="adj2" fmla="val -49180"/>
                            <a:gd name="adj3" fmla="val 16667"/>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4066" w:rsidRPr="00304066" w:rsidRDefault="00304066" w:rsidP="00304066">
                            <w:pPr>
                              <w:spacing w:before="0"/>
                              <w:jc w:val="center"/>
                              <w:rPr>
                                <w:b/>
                                <w:color w:val="FFFFFF" w:themeColor="background1"/>
                              </w:rPr>
                            </w:pPr>
                            <w:r w:rsidRPr="00304066">
                              <w:rPr>
                                <w:b/>
                                <w:color w:val="FFFFFF" w:themeColor="background1"/>
                              </w:rPr>
                              <w:t>NEU ab 01.07.2021 „FISG“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 o:spid="_x0000_s1027" type="#_x0000_t62" style="position:absolute;margin-left:873.2pt;margin-top:27.3pt;width:122.9pt;height:4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" adj="-10789,177" fillcolor="red" strokecolor="red" strokeweight="2pt">
                <v:textbox>
                  <w:txbxContent>
                    <w:p w:rsidR="00304066" w:rsidRPr="00304066" w:rsidRDefault="00304066" w:rsidP="00304066">
                      <w:pPr>
                        <w:spacing w:before="0"/>
                        <w:jc w:val="center"/>
                        <w:rPr>
                          <w:b/>
                          <w:color w:val="FFFFFF" w:themeColor="background1"/>
                        </w:rPr>
                      </w:pPr>
                      <w:r w:rsidRPr="00304066">
                        <w:rPr>
                          <w:b/>
                          <w:color w:val="FFFFFF" w:themeColor="background1"/>
                        </w:rPr>
                        <w:t>NEU ab 01.07.2021 „FISG“</w:t>
                      </w:r>
                    </w:p>
                  </w:txbxContent>
                </v:textbox>
              </v:shape>
            </w:pict>
          </mc:Fallback>
        </mc:AlternateContent>
      </w:r>
      <w:r>
        <w:rPr>
          <w:rFonts w:ascii="Century Gothic" w:hAnsi="Century Gothic"/>
          <w:i/>
          <w:color w:val="FF0000"/>
          <w:sz w:val="20"/>
        </w:rPr>
        <w:t>„</w:t>
      </w:r>
      <w:r w:rsidR="00150E36" w:rsidRPr="00150E36">
        <w:rPr>
          <w:rFonts w:ascii="Century Gothic" w:hAnsi="Century Gothic"/>
          <w:i/>
          <w:color w:val="FF0000"/>
          <w:sz w:val="20"/>
        </w:rPr>
        <w:t xml:space="preserve">Ihre kritische Grundhaltung </w:t>
      </w:r>
      <w:r w:rsidR="00B36043">
        <w:rPr>
          <w:rFonts w:ascii="Century Gothic" w:hAnsi="Century Gothic"/>
          <w:i/>
          <w:color w:val="FF0000"/>
          <w:sz w:val="20"/>
        </w:rPr>
        <w:t xml:space="preserve">haben </w:t>
      </w:r>
      <w:r w:rsidR="00150E36" w:rsidRPr="00150E36">
        <w:rPr>
          <w:rFonts w:ascii="Century Gothic" w:hAnsi="Century Gothic"/>
          <w:i/>
          <w:color w:val="FF0000"/>
          <w:sz w:val="20"/>
        </w:rPr>
        <w:t>Berufsangehörige insbesondere bei der Beurteilung der Schätzungen des Unternehmens in Bezug auf Zeitwertangaben, Wertminderungen von Vermögensgegenständen, Rückstellungen und künftige Cashflows, die für die Beurteilung der Fähigkeit des Unternehmens zur Fortführung der Unternehmenstätigkeit von Bedeutung sind, beizubehalten.</w:t>
      </w:r>
      <w:r>
        <w:rPr>
          <w:rFonts w:ascii="Century Gothic" w:hAnsi="Century Gothic"/>
          <w:i/>
          <w:color w:val="FF0000"/>
          <w:sz w:val="20"/>
        </w:rPr>
        <w:t>“</w:t>
      </w:r>
    </w:p>
    <w:p w:rsidR="00235797" w:rsidRPr="00150E36" w:rsidRDefault="00235797" w:rsidP="00D07E88">
      <w:pPr>
        <w:pStyle w:val="berschrift3"/>
        <w:numPr>
          <w:ilvl w:val="0"/>
          <w:numId w:val="0"/>
        </w:numPr>
        <w:tabs>
          <w:tab w:val="clear" w:pos="720"/>
        </w:tabs>
        <w:spacing w:before="120"/>
        <w:rPr>
          <w:rStyle w:val="HervorhebungROT"/>
          <w:b/>
        </w:rPr>
      </w:pPr>
      <w:bookmarkStart w:id="2" w:name="_Toc522174232"/>
      <w:r w:rsidRPr="00150E36">
        <w:rPr>
          <w:rStyle w:val="HervorhebungROT"/>
          <w:b/>
        </w:rPr>
        <w:t>§ 37 BS WP/vBP</w:t>
      </w:r>
      <w:bookmarkEnd w:id="2"/>
      <w:r w:rsidR="00DE45B1" w:rsidRPr="00150E36">
        <w:rPr>
          <w:rStyle w:val="HervorhebungROT"/>
          <w:b/>
        </w:rPr>
        <w:t>:</w:t>
      </w:r>
    </w:p>
    <w:p w:rsidR="00235797" w:rsidRPr="00150E36" w:rsidRDefault="00235797" w:rsidP="00304066">
      <w:pPr>
        <w:pStyle w:val="Zitat"/>
        <w:numPr>
          <w:ilvl w:val="0"/>
          <w:numId w:val="31"/>
        </w:numPr>
        <w:ind w:left="426" w:hanging="426"/>
      </w:pPr>
      <w:r w:rsidRPr="00150E36">
        <w:t xml:space="preserve">WP/vBP haben </w:t>
      </w:r>
      <w:r w:rsidRPr="00150E36">
        <w:rPr>
          <w:rStyle w:val="HervorhebenSCHWARZ"/>
        </w:rPr>
        <w:t>Prüfungen</w:t>
      </w:r>
      <w:r w:rsidRPr="00150E36">
        <w:t xml:space="preserve"> mit einer </w:t>
      </w:r>
      <w:r w:rsidRPr="00150E36">
        <w:rPr>
          <w:rStyle w:val="HervorhebungROT"/>
          <w:color w:val="auto"/>
        </w:rPr>
        <w:t>kritischen Grundhaltung</w:t>
      </w:r>
      <w:r w:rsidRPr="00150E36">
        <w:t xml:space="preserve"> zu </w:t>
      </w:r>
      <w:r w:rsidRPr="00150E36">
        <w:rPr>
          <w:rStyle w:val="HervorhebenSCHWARZ"/>
          <w:color w:val="00B0F0"/>
        </w:rPr>
        <w:t>planen</w:t>
      </w:r>
      <w:r w:rsidRPr="00150E36">
        <w:rPr>
          <w:color w:val="00B0F0"/>
        </w:rPr>
        <w:t xml:space="preserve"> </w:t>
      </w:r>
      <w:r w:rsidRPr="00150E36">
        <w:t xml:space="preserve">und </w:t>
      </w:r>
      <w:r w:rsidRPr="00150E36">
        <w:rPr>
          <w:rStyle w:val="HervorhebenSCHWARZ"/>
          <w:color w:val="00B0F0"/>
        </w:rPr>
        <w:t>durchzuführen</w:t>
      </w:r>
    </w:p>
    <w:p w:rsidR="00235797" w:rsidRPr="00150E36" w:rsidRDefault="00235797" w:rsidP="00304066">
      <w:pPr>
        <w:pStyle w:val="Zitat"/>
        <w:numPr>
          <w:ilvl w:val="0"/>
          <w:numId w:val="31"/>
        </w:numPr>
        <w:ind w:left="426" w:hanging="426"/>
        <w:rPr>
          <w:rStyle w:val="HervorhebungROT"/>
          <w:b w:val="0"/>
          <w:color w:val="auto"/>
          <w:sz w:val="20"/>
        </w:rPr>
      </w:pPr>
      <w:r w:rsidRPr="00150E36">
        <w:t xml:space="preserve">Glaubwürdigkeit, Angemessenheit und Verlässlichkeit der erlangten </w:t>
      </w:r>
      <w:r w:rsidRPr="00150E36">
        <w:rPr>
          <w:rStyle w:val="HervorhebenSCHWARZ"/>
        </w:rPr>
        <w:t>Prüfungsnachweise</w:t>
      </w:r>
      <w:r w:rsidRPr="00150E36">
        <w:t xml:space="preserve"> sind während der gesamten Prüfung </w:t>
      </w:r>
      <w:r w:rsidRPr="00150E36">
        <w:rPr>
          <w:rStyle w:val="HervorhebungROT"/>
          <w:color w:val="00B0F0"/>
        </w:rPr>
        <w:t>kritisch zu hinterfragen</w:t>
      </w:r>
    </w:p>
    <w:p w:rsidR="00235797" w:rsidRPr="00150E36" w:rsidRDefault="00235797" w:rsidP="00304066">
      <w:pPr>
        <w:pStyle w:val="Zitat"/>
        <w:numPr>
          <w:ilvl w:val="0"/>
          <w:numId w:val="31"/>
        </w:numPr>
        <w:ind w:left="426" w:hanging="426"/>
      </w:pPr>
      <w:r w:rsidRPr="00150E36">
        <w:t xml:space="preserve">WP/vBP müssen </w:t>
      </w:r>
      <w:r w:rsidRPr="00150E36">
        <w:rPr>
          <w:rStyle w:val="HervorhebenSCHWARZ"/>
        </w:rPr>
        <w:t>ungeachtet ihrer bisherigen Erfahrungen</w:t>
      </w:r>
      <w:r w:rsidRPr="00150E36">
        <w:t xml:space="preserve"> mit der Aufrichtigkeit und der Integrität des Managements des geprüften Unternehmens </w:t>
      </w:r>
      <w:r w:rsidRPr="00150E36">
        <w:rPr>
          <w:rStyle w:val="HervorhebenSCHWARZ"/>
        </w:rPr>
        <w:t>davon ausgehen</w:t>
      </w:r>
      <w:r w:rsidRPr="00150E36">
        <w:t xml:space="preserve">, dass Umstände wie </w:t>
      </w:r>
    </w:p>
    <w:p w:rsidR="00235797" w:rsidRPr="00150E36" w:rsidRDefault="00235797" w:rsidP="00304066">
      <w:pPr>
        <w:pStyle w:val="Zitat"/>
        <w:numPr>
          <w:ilvl w:val="1"/>
          <w:numId w:val="35"/>
        </w:numPr>
        <w:ind w:left="709" w:hanging="283"/>
        <w:rPr>
          <w:rStyle w:val="HervorhebungROT"/>
          <w:color w:val="00B0F0"/>
          <w:sz w:val="20"/>
        </w:rPr>
      </w:pPr>
      <w:r w:rsidRPr="00150E36">
        <w:rPr>
          <w:rStyle w:val="HervorhebungROT"/>
          <w:color w:val="00B0F0"/>
          <w:sz w:val="20"/>
        </w:rPr>
        <w:t>Fehler</w:t>
      </w:r>
    </w:p>
    <w:p w:rsidR="00235797" w:rsidRPr="00150E36" w:rsidRDefault="00235797" w:rsidP="00304066">
      <w:pPr>
        <w:pStyle w:val="Zitat"/>
        <w:numPr>
          <w:ilvl w:val="1"/>
          <w:numId w:val="35"/>
        </w:numPr>
        <w:ind w:left="709" w:hanging="283"/>
        <w:rPr>
          <w:rStyle w:val="HervorhebungROT"/>
          <w:color w:val="00B0F0"/>
          <w:sz w:val="20"/>
        </w:rPr>
      </w:pPr>
      <w:r w:rsidRPr="00150E36">
        <w:rPr>
          <w:rStyle w:val="HervorhebungROT"/>
          <w:color w:val="00B0F0"/>
          <w:sz w:val="20"/>
        </w:rPr>
        <w:t>Täuschungen,</w:t>
      </w:r>
    </w:p>
    <w:p w:rsidR="00235797" w:rsidRPr="00150E36" w:rsidRDefault="00235797" w:rsidP="00304066">
      <w:pPr>
        <w:pStyle w:val="Zitat"/>
        <w:numPr>
          <w:ilvl w:val="1"/>
          <w:numId w:val="35"/>
        </w:numPr>
        <w:ind w:left="709" w:hanging="283"/>
        <w:rPr>
          <w:rStyle w:val="HervorhebungROT"/>
          <w:b w:val="0"/>
          <w:color w:val="auto"/>
          <w:sz w:val="20"/>
        </w:rPr>
      </w:pPr>
      <w:r w:rsidRPr="00150E36">
        <w:rPr>
          <w:rStyle w:val="HervorhebungROT"/>
          <w:color w:val="00B0F0"/>
          <w:sz w:val="20"/>
        </w:rPr>
        <w:t>Vermögensschädigungen</w:t>
      </w:r>
      <w:r w:rsidRPr="00150E36">
        <w:rPr>
          <w:rStyle w:val="HervorhebungROT"/>
          <w:b w:val="0"/>
          <w:color w:val="00B0F0"/>
          <w:sz w:val="20"/>
        </w:rPr>
        <w:t xml:space="preserve"> </w:t>
      </w:r>
      <w:r w:rsidRPr="00150E36">
        <w:rPr>
          <w:rStyle w:val="HervorhebungROT"/>
          <w:b w:val="0"/>
          <w:color w:val="auto"/>
          <w:sz w:val="20"/>
        </w:rPr>
        <w:t>oder</w:t>
      </w:r>
    </w:p>
    <w:p w:rsidR="00235797" w:rsidRPr="00150E36" w:rsidRDefault="00235797" w:rsidP="00304066">
      <w:pPr>
        <w:pStyle w:val="Zitat"/>
        <w:numPr>
          <w:ilvl w:val="1"/>
          <w:numId w:val="35"/>
        </w:numPr>
        <w:ind w:left="709" w:hanging="283"/>
        <w:rPr>
          <w:color w:val="00B0F0"/>
        </w:rPr>
      </w:pPr>
      <w:r w:rsidRPr="00150E36">
        <w:rPr>
          <w:rStyle w:val="HervorhebungROT"/>
          <w:color w:val="00B0F0"/>
          <w:sz w:val="20"/>
        </w:rPr>
        <w:t>sonstige Gesetzesverstöße</w:t>
      </w:r>
    </w:p>
    <w:p w:rsidR="00B91EC6" w:rsidRPr="00150E36" w:rsidRDefault="00235797" w:rsidP="00304066">
      <w:pPr>
        <w:pStyle w:val="Zitat"/>
        <w:ind w:left="426"/>
      </w:pPr>
      <w:r w:rsidRPr="00150E36">
        <w:rPr>
          <w:rStyle w:val="HervorhebenSCHWARZ"/>
          <w:color w:val="00B0F0"/>
        </w:rPr>
        <w:t>existieren können</w:t>
      </w:r>
      <w:r w:rsidRPr="00150E36">
        <w:t xml:space="preserve">, aufgrund derer der Prüfungsgegenstand </w:t>
      </w:r>
      <w:r w:rsidRPr="00150E36">
        <w:rPr>
          <w:rStyle w:val="HervorhebungROT"/>
          <w:color w:val="auto"/>
        </w:rPr>
        <w:t>wesentliche falsche Aussagen</w:t>
      </w:r>
      <w:r w:rsidRPr="00150E36">
        <w:rPr>
          <w:rStyle w:val="HervorhebungBLAU"/>
          <w:color w:val="auto"/>
        </w:rPr>
        <w:t xml:space="preserve"> </w:t>
      </w:r>
      <w:r w:rsidRPr="00150E36">
        <w:t>enthält.</w:t>
      </w:r>
    </w:p>
    <w:p w:rsidR="009F4342" w:rsidRPr="00150E36" w:rsidRDefault="009F4342" w:rsidP="00E51628">
      <w:pPr>
        <w:pStyle w:val="Aufzhlungszeichen"/>
        <w:numPr>
          <w:ilvl w:val="0"/>
          <w:numId w:val="34"/>
        </w:numPr>
        <w:spacing w:before="120" w:after="120"/>
        <w:ind w:left="425" w:hanging="425"/>
        <w:rPr>
          <w:rStyle w:val="HervorhebungBLAU"/>
        </w:rPr>
      </w:pPr>
      <w:proofErr w:type="spellStart"/>
      <w:r w:rsidRPr="00150E36">
        <w:rPr>
          <w:rStyle w:val="HervorhebungBLAU"/>
        </w:rPr>
        <w:t>To</w:t>
      </w:r>
      <w:proofErr w:type="spellEnd"/>
      <w:r w:rsidRPr="00150E36">
        <w:rPr>
          <w:rStyle w:val="HervorhebungBLAU"/>
        </w:rPr>
        <w:t xml:space="preserve"> </w:t>
      </w:r>
      <w:proofErr w:type="spellStart"/>
      <w:r w:rsidRPr="00150E36">
        <w:rPr>
          <w:rStyle w:val="HervorhebungBLAU"/>
        </w:rPr>
        <w:t>Do’s</w:t>
      </w:r>
      <w:proofErr w:type="spellEnd"/>
      <w:r w:rsidRPr="00150E36">
        <w:rPr>
          <w:rStyle w:val="HervorhebungBLAU"/>
        </w:rPr>
        <w:t xml:space="preserve"> in den jeweiligen Phasen der Auftragsabwicklung</w:t>
      </w:r>
    </w:p>
    <w:tbl>
      <w:tblPr>
        <w:tblStyle w:val="Tabellenraster"/>
        <w:tblW w:w="0" w:type="auto"/>
        <w:tblInd w:w="108" w:type="dxa"/>
        <w:tblCellMar>
          <w:top w:w="85" w:type="dxa"/>
          <w:bottom w:w="85" w:type="dxa"/>
        </w:tblCellMar>
        <w:tblLook w:val="04A0" w:firstRow="1" w:lastRow="0" w:firstColumn="1" w:lastColumn="0" w:noHBand="0" w:noVBand="1"/>
      </w:tblPr>
      <w:tblGrid>
        <w:gridCol w:w="3969"/>
        <w:gridCol w:w="284"/>
        <w:gridCol w:w="3969"/>
        <w:gridCol w:w="283"/>
        <w:gridCol w:w="3969"/>
        <w:gridCol w:w="284"/>
        <w:gridCol w:w="3969"/>
        <w:gridCol w:w="283"/>
        <w:gridCol w:w="3969"/>
      </w:tblGrid>
      <w:tr w:rsidR="006225D2" w:rsidRPr="00150E36" w:rsidTr="006225D2">
        <w:tc>
          <w:tcPr>
            <w:tcW w:w="3969" w:type="dxa"/>
            <w:tcBorders>
              <w:right w:val="single" w:sz="4" w:space="0" w:color="auto"/>
            </w:tcBorders>
            <w:shd w:val="clear" w:color="auto" w:fill="F2F2F2" w:themeFill="background1" w:themeFillShade="F2"/>
            <w:vAlign w:val="center"/>
          </w:tcPr>
          <w:p w:rsidR="00D07E88" w:rsidRPr="00150E36" w:rsidRDefault="00D07E88" w:rsidP="00D07E88">
            <w:pPr>
              <w:spacing w:before="0"/>
              <w:contextualSpacing/>
              <w:jc w:val="center"/>
              <w:rPr>
                <w:b/>
                <w:color w:val="00B0F0"/>
                <w:sz w:val="20"/>
              </w:rPr>
            </w:pPr>
            <w:r w:rsidRPr="00150E36">
              <w:rPr>
                <w:b/>
                <w:color w:val="00B0F0"/>
                <w:sz w:val="20"/>
              </w:rPr>
              <w:t>Phase 1: Auftragsannahme</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contextualSpacing/>
              <w:jc w:val="center"/>
              <w:rPr>
                <w:b/>
                <w:color w:val="00B0F0"/>
                <w:sz w:val="2"/>
                <w:szCs w:val="2"/>
              </w:rPr>
            </w:pPr>
          </w:p>
        </w:tc>
        <w:tc>
          <w:tcPr>
            <w:tcW w:w="3969" w:type="dxa"/>
            <w:tcBorders>
              <w:left w:val="single" w:sz="4" w:space="0" w:color="auto"/>
              <w:right w:val="single" w:sz="4" w:space="0" w:color="auto"/>
            </w:tcBorders>
            <w:shd w:val="clear" w:color="auto" w:fill="F2F2F2" w:themeFill="background1" w:themeFillShade="F2"/>
            <w:vAlign w:val="center"/>
          </w:tcPr>
          <w:p w:rsidR="00D07E88" w:rsidRPr="00150E36" w:rsidRDefault="00D07E88" w:rsidP="00D07E88">
            <w:pPr>
              <w:spacing w:before="0"/>
              <w:contextualSpacing/>
              <w:jc w:val="center"/>
              <w:rPr>
                <w:b/>
                <w:color w:val="00B0F0"/>
                <w:sz w:val="20"/>
              </w:rPr>
            </w:pPr>
            <w:r w:rsidRPr="00150E36">
              <w:rPr>
                <w:b/>
                <w:color w:val="00B0F0"/>
                <w:sz w:val="20"/>
              </w:rPr>
              <w:t>Phase 2: Auftragsplanung</w:t>
            </w:r>
          </w:p>
        </w:tc>
        <w:tc>
          <w:tcPr>
            <w:tcW w:w="283" w:type="dxa"/>
            <w:tcBorders>
              <w:top w:val="nil"/>
              <w:left w:val="single" w:sz="4" w:space="0" w:color="auto"/>
              <w:bottom w:val="nil"/>
              <w:right w:val="single" w:sz="4" w:space="0" w:color="auto"/>
            </w:tcBorders>
            <w:shd w:val="clear" w:color="auto" w:fill="auto"/>
          </w:tcPr>
          <w:p w:rsidR="00D07E88" w:rsidRPr="00150E36" w:rsidRDefault="00D07E88" w:rsidP="00D07E88">
            <w:pPr>
              <w:spacing w:before="0"/>
              <w:contextualSpacing/>
              <w:jc w:val="center"/>
              <w:rPr>
                <w:b/>
                <w:color w:val="00B0F0"/>
                <w:sz w:val="2"/>
                <w:szCs w:val="2"/>
              </w:rPr>
            </w:pPr>
          </w:p>
        </w:tc>
        <w:tc>
          <w:tcPr>
            <w:tcW w:w="3969" w:type="dxa"/>
            <w:tcBorders>
              <w:left w:val="single" w:sz="4" w:space="0" w:color="auto"/>
              <w:right w:val="single" w:sz="4" w:space="0" w:color="auto"/>
            </w:tcBorders>
            <w:shd w:val="clear" w:color="auto" w:fill="F2F2F2" w:themeFill="background1" w:themeFillShade="F2"/>
            <w:vAlign w:val="center"/>
          </w:tcPr>
          <w:p w:rsidR="00D07E88" w:rsidRPr="00150E36" w:rsidRDefault="00D07E88" w:rsidP="00D07E88">
            <w:pPr>
              <w:spacing w:before="0"/>
              <w:contextualSpacing/>
              <w:jc w:val="center"/>
              <w:rPr>
                <w:b/>
                <w:color w:val="00B0F0"/>
                <w:sz w:val="20"/>
              </w:rPr>
            </w:pPr>
            <w:r w:rsidRPr="00150E36">
              <w:rPr>
                <w:b/>
                <w:color w:val="00B0F0"/>
                <w:sz w:val="20"/>
              </w:rPr>
              <w:t>Phase 3: Auftragsdurchführung</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contextualSpacing/>
              <w:jc w:val="center"/>
              <w:rPr>
                <w:b/>
                <w:color w:val="00B0F0"/>
                <w:sz w:val="2"/>
                <w:szCs w:val="2"/>
              </w:rPr>
            </w:pPr>
          </w:p>
        </w:tc>
        <w:tc>
          <w:tcPr>
            <w:tcW w:w="3969" w:type="dxa"/>
            <w:tcBorders>
              <w:left w:val="single" w:sz="4" w:space="0" w:color="auto"/>
              <w:right w:val="single" w:sz="4" w:space="0" w:color="auto"/>
            </w:tcBorders>
            <w:shd w:val="clear" w:color="auto" w:fill="F2F2F2" w:themeFill="background1" w:themeFillShade="F2"/>
            <w:vAlign w:val="center"/>
          </w:tcPr>
          <w:p w:rsidR="00D07E88" w:rsidRPr="00150E36" w:rsidRDefault="00D07E88" w:rsidP="00D07E88">
            <w:pPr>
              <w:spacing w:before="0"/>
              <w:contextualSpacing/>
              <w:jc w:val="center"/>
              <w:rPr>
                <w:b/>
                <w:color w:val="00B0F0"/>
                <w:sz w:val="20"/>
              </w:rPr>
            </w:pPr>
            <w:r w:rsidRPr="00150E36">
              <w:rPr>
                <w:b/>
                <w:color w:val="00B0F0"/>
                <w:sz w:val="20"/>
              </w:rPr>
              <w:t>Phase 4: Auftragsdokumentation</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contextualSpacing/>
              <w:jc w:val="center"/>
              <w:rPr>
                <w:b/>
                <w:color w:val="00B0F0"/>
                <w:sz w:val="2"/>
                <w:szCs w:val="2"/>
              </w:rPr>
            </w:pPr>
          </w:p>
        </w:tc>
        <w:tc>
          <w:tcPr>
            <w:tcW w:w="3969" w:type="dxa"/>
            <w:tcBorders>
              <w:left w:val="single" w:sz="4" w:space="0" w:color="auto"/>
            </w:tcBorders>
            <w:shd w:val="clear" w:color="auto" w:fill="F2F2F2" w:themeFill="background1" w:themeFillShade="F2"/>
            <w:vAlign w:val="center"/>
          </w:tcPr>
          <w:p w:rsidR="00D07E88" w:rsidRPr="00150E36" w:rsidRDefault="00D07E88" w:rsidP="00D07E88">
            <w:pPr>
              <w:spacing w:before="0"/>
              <w:contextualSpacing/>
              <w:jc w:val="center"/>
              <w:rPr>
                <w:b/>
                <w:color w:val="00B0F0"/>
                <w:sz w:val="20"/>
              </w:rPr>
            </w:pPr>
            <w:r w:rsidRPr="00150E36">
              <w:rPr>
                <w:b/>
                <w:color w:val="00B0F0"/>
                <w:sz w:val="20"/>
              </w:rPr>
              <w:t>Phase 5: Qualitätssicherung</w:t>
            </w:r>
          </w:p>
        </w:tc>
      </w:tr>
      <w:tr w:rsidR="006225D2" w:rsidRPr="00150E36" w:rsidTr="006225D2">
        <w:tc>
          <w:tcPr>
            <w:tcW w:w="3969" w:type="dxa"/>
            <w:tcBorders>
              <w:right w:val="single" w:sz="4" w:space="0" w:color="auto"/>
            </w:tcBorders>
          </w:tcPr>
          <w:p w:rsidR="00D07E88" w:rsidRPr="00150E36" w:rsidRDefault="00D07E88" w:rsidP="00F54741">
            <w:pPr>
              <w:pStyle w:val="Listenabsatz"/>
              <w:numPr>
                <w:ilvl w:val="0"/>
                <w:numId w:val="17"/>
              </w:numPr>
              <w:spacing w:before="0"/>
              <w:rPr>
                <w:sz w:val="20"/>
              </w:rPr>
            </w:pPr>
            <w:r w:rsidRPr="00150E36">
              <w:rPr>
                <w:sz w:val="20"/>
              </w:rPr>
              <w:t xml:space="preserve">Vorherige </w:t>
            </w:r>
            <w:r w:rsidRPr="00150E36">
              <w:rPr>
                <w:b/>
                <w:color w:val="FF0000"/>
                <w:sz w:val="20"/>
              </w:rPr>
              <w:t>Risikoanalyse</w:t>
            </w:r>
            <w:r w:rsidRPr="00150E36">
              <w:rPr>
                <w:sz w:val="20"/>
              </w:rPr>
              <w:t xml:space="preserve"> im Hinblick auf</w:t>
            </w:r>
          </w:p>
          <w:p w:rsidR="00D07E88" w:rsidRPr="00150E36" w:rsidRDefault="00D07E88" w:rsidP="00F54741">
            <w:pPr>
              <w:pStyle w:val="Listenabsatz"/>
              <w:numPr>
                <w:ilvl w:val="0"/>
                <w:numId w:val="18"/>
              </w:numPr>
              <w:spacing w:before="0"/>
              <w:rPr>
                <w:b/>
                <w:sz w:val="20"/>
              </w:rPr>
            </w:pPr>
            <w:r w:rsidRPr="00150E36">
              <w:rPr>
                <w:b/>
                <w:sz w:val="20"/>
              </w:rPr>
              <w:t>Mandantenrisiko</w:t>
            </w:r>
          </w:p>
          <w:p w:rsidR="00D07E88" w:rsidRPr="00150E36" w:rsidRDefault="00D07E88" w:rsidP="00F54741">
            <w:pPr>
              <w:pStyle w:val="Listenabsatz"/>
              <w:numPr>
                <w:ilvl w:val="0"/>
                <w:numId w:val="18"/>
              </w:numPr>
              <w:spacing w:before="0"/>
              <w:rPr>
                <w:b/>
                <w:sz w:val="20"/>
              </w:rPr>
            </w:pPr>
            <w:r w:rsidRPr="00150E36">
              <w:rPr>
                <w:b/>
                <w:sz w:val="20"/>
              </w:rPr>
              <w:t>Auftragsrisiko</w:t>
            </w:r>
          </w:p>
          <w:p w:rsidR="00D07E88" w:rsidRPr="00150E36" w:rsidRDefault="00D07E88" w:rsidP="00235797">
            <w:pPr>
              <w:spacing w:before="0"/>
              <w:ind w:left="360"/>
              <w:rPr>
                <w:sz w:val="20"/>
              </w:rPr>
            </w:pPr>
            <w:r w:rsidRPr="00150E36">
              <w:rPr>
                <w:sz w:val="20"/>
              </w:rPr>
              <w:t>notwendig!</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pStyle w:val="Listenabsatz"/>
              <w:spacing w:before="0"/>
              <w:ind w:left="360"/>
              <w:rPr>
                <w:sz w:val="2"/>
                <w:szCs w:val="2"/>
              </w:rPr>
            </w:pPr>
          </w:p>
        </w:tc>
        <w:tc>
          <w:tcPr>
            <w:tcW w:w="3969" w:type="dxa"/>
            <w:tcBorders>
              <w:left w:val="single" w:sz="4" w:space="0" w:color="auto"/>
              <w:right w:val="single" w:sz="4" w:space="0" w:color="auto"/>
            </w:tcBorders>
          </w:tcPr>
          <w:p w:rsidR="00D07E88" w:rsidRPr="00150E36" w:rsidRDefault="00D07E88" w:rsidP="001E3D90">
            <w:pPr>
              <w:pStyle w:val="Listenabsatz"/>
              <w:numPr>
                <w:ilvl w:val="0"/>
                <w:numId w:val="25"/>
              </w:numPr>
              <w:spacing w:before="0"/>
              <w:jc w:val="left"/>
              <w:rPr>
                <w:sz w:val="20"/>
              </w:rPr>
            </w:pPr>
            <w:r w:rsidRPr="00150E36">
              <w:rPr>
                <w:sz w:val="20"/>
              </w:rPr>
              <w:t xml:space="preserve">Bereits während Prüfungsplanung ist ein </w:t>
            </w:r>
            <w:r w:rsidRPr="00150E36">
              <w:rPr>
                <w:b/>
                <w:sz w:val="20"/>
              </w:rPr>
              <w:t xml:space="preserve">Verständnis von </w:t>
            </w:r>
            <w:r w:rsidRPr="00150E36">
              <w:rPr>
                <w:b/>
                <w:color w:val="FF0000"/>
                <w:sz w:val="20"/>
              </w:rPr>
              <w:t>Persönlichkeit</w:t>
            </w:r>
            <w:r w:rsidRPr="00150E36">
              <w:rPr>
                <w:b/>
                <w:sz w:val="20"/>
              </w:rPr>
              <w:t xml:space="preserve"> und </w:t>
            </w:r>
            <w:r w:rsidRPr="00150E36">
              <w:rPr>
                <w:b/>
                <w:color w:val="FF0000"/>
                <w:sz w:val="20"/>
              </w:rPr>
              <w:t>Zuverlässigkeit</w:t>
            </w:r>
            <w:r w:rsidRPr="00150E36">
              <w:rPr>
                <w:b/>
                <w:sz w:val="20"/>
              </w:rPr>
              <w:t xml:space="preserve"> der gesetzlichen Vertreter und Mitarbeiter</w:t>
            </w:r>
            <w:r w:rsidRPr="00150E36">
              <w:rPr>
                <w:sz w:val="20"/>
              </w:rPr>
              <w:t xml:space="preserve"> zu erlangen</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right w:val="single" w:sz="4" w:space="0" w:color="auto"/>
            </w:tcBorders>
          </w:tcPr>
          <w:p w:rsidR="00D07E88" w:rsidRPr="00150E36" w:rsidRDefault="00D07E88" w:rsidP="009C27EB">
            <w:pPr>
              <w:pStyle w:val="Listenabsatz"/>
              <w:numPr>
                <w:ilvl w:val="0"/>
                <w:numId w:val="25"/>
              </w:numPr>
              <w:spacing w:before="0"/>
              <w:rPr>
                <w:sz w:val="20"/>
              </w:rPr>
            </w:pPr>
            <w:r w:rsidRPr="00150E36">
              <w:rPr>
                <w:b/>
                <w:color w:val="FF0000"/>
                <w:sz w:val="20"/>
              </w:rPr>
              <w:t xml:space="preserve">ISA </w:t>
            </w:r>
            <w:r w:rsidR="00C65D58">
              <w:rPr>
                <w:b/>
                <w:color w:val="FF0000"/>
                <w:sz w:val="20"/>
              </w:rPr>
              <w:t xml:space="preserve">[DE] </w:t>
            </w:r>
            <w:r w:rsidRPr="00150E36">
              <w:rPr>
                <w:b/>
                <w:color w:val="FF0000"/>
                <w:sz w:val="20"/>
              </w:rPr>
              <w:t>200</w:t>
            </w:r>
            <w:r w:rsidRPr="00150E36">
              <w:rPr>
                <w:sz w:val="20"/>
              </w:rPr>
              <w:t xml:space="preserve"> </w:t>
            </w:r>
            <w:r w:rsidRPr="00150E36">
              <w:rPr>
                <w:rStyle w:val="HervorhebenSCHWARZ"/>
                <w:color w:val="FF0000"/>
              </w:rPr>
              <w:t>verstärkt</w:t>
            </w:r>
            <w:r w:rsidRPr="00150E36">
              <w:rPr>
                <w:rStyle w:val="HervorhebenSCHWARZ"/>
              </w:rPr>
              <w:t xml:space="preserve"> </w:t>
            </w:r>
            <w:r w:rsidRPr="00150E36">
              <w:rPr>
                <w:sz w:val="20"/>
              </w:rPr>
              <w:t xml:space="preserve">Anforderungen an </w:t>
            </w:r>
            <w:r w:rsidRPr="00150E36">
              <w:rPr>
                <w:rStyle w:val="HervorhebungBLAU"/>
                <w:color w:val="FF0000"/>
                <w:sz w:val="20"/>
              </w:rPr>
              <w:t>kritische Grundhaltung</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right w:val="single" w:sz="4" w:space="0" w:color="auto"/>
            </w:tcBorders>
          </w:tcPr>
          <w:p w:rsidR="00D07E88" w:rsidRPr="00150E36" w:rsidRDefault="00D07E88" w:rsidP="00B91EC6">
            <w:pPr>
              <w:pStyle w:val="Listenabsatz"/>
              <w:numPr>
                <w:ilvl w:val="0"/>
                <w:numId w:val="25"/>
              </w:numPr>
              <w:spacing w:before="0"/>
              <w:rPr>
                <w:sz w:val="20"/>
              </w:rPr>
            </w:pPr>
            <w:r w:rsidRPr="00150E36">
              <w:rPr>
                <w:sz w:val="20"/>
              </w:rPr>
              <w:t xml:space="preserve">Dokumentation hat </w:t>
            </w:r>
            <w:r w:rsidRPr="00150E36">
              <w:rPr>
                <w:b/>
                <w:sz w:val="20"/>
              </w:rPr>
              <w:t>gem. I</w:t>
            </w:r>
            <w:r w:rsidR="00C65D58">
              <w:rPr>
                <w:b/>
                <w:sz w:val="20"/>
              </w:rPr>
              <w:t>SA [DE] 500</w:t>
            </w:r>
            <w:r w:rsidRPr="00150E36">
              <w:rPr>
                <w:b/>
                <w:sz w:val="20"/>
              </w:rPr>
              <w:t xml:space="preserve"> </w:t>
            </w:r>
            <w:r w:rsidRPr="00150E36">
              <w:rPr>
                <w:sz w:val="20"/>
              </w:rPr>
              <w:t>zu erfolgen</w:t>
            </w:r>
          </w:p>
          <w:p w:rsidR="00D07E88" w:rsidRPr="00150E36" w:rsidRDefault="00D07E88" w:rsidP="00B91EC6">
            <w:pPr>
              <w:pStyle w:val="Listenabsatz"/>
              <w:numPr>
                <w:ilvl w:val="0"/>
                <w:numId w:val="25"/>
              </w:numPr>
              <w:spacing w:before="0"/>
              <w:rPr>
                <w:sz w:val="20"/>
              </w:rPr>
            </w:pPr>
            <w:r w:rsidRPr="00150E36">
              <w:rPr>
                <w:b/>
                <w:sz w:val="20"/>
              </w:rPr>
              <w:t>Kritische Grundhaltung</w:t>
            </w:r>
            <w:r w:rsidRPr="00150E36">
              <w:rPr>
                <w:sz w:val="20"/>
              </w:rPr>
              <w:t xml:space="preserve"> ist hier nicht gesondert erwähnt</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tcBorders>
          </w:tcPr>
          <w:p w:rsidR="00D07E88" w:rsidRPr="00150E36" w:rsidRDefault="00D07E88" w:rsidP="00936D20">
            <w:pPr>
              <w:pStyle w:val="Listenabsatz"/>
              <w:numPr>
                <w:ilvl w:val="0"/>
                <w:numId w:val="25"/>
              </w:numPr>
              <w:spacing w:before="0"/>
              <w:rPr>
                <w:sz w:val="20"/>
              </w:rPr>
            </w:pPr>
            <w:r w:rsidRPr="00150E36">
              <w:rPr>
                <w:sz w:val="20"/>
              </w:rPr>
              <w:t xml:space="preserve">Die </w:t>
            </w:r>
            <w:r w:rsidRPr="00150E36">
              <w:rPr>
                <w:b/>
                <w:sz w:val="20"/>
              </w:rPr>
              <w:t>Normierung</w:t>
            </w:r>
            <w:r w:rsidRPr="00150E36">
              <w:rPr>
                <w:sz w:val="20"/>
              </w:rPr>
              <w:t xml:space="preserve"> der </w:t>
            </w:r>
            <w:r w:rsidRPr="00150E36">
              <w:rPr>
                <w:b/>
                <w:sz w:val="20"/>
              </w:rPr>
              <w:t>kritischen Grundhaltung als Berufspflicht</w:t>
            </w:r>
            <w:r w:rsidRPr="00150E36">
              <w:rPr>
                <w:sz w:val="20"/>
              </w:rPr>
              <w:t xml:space="preserve"> des WP nach § 43 Abs. 4 WPO dient der </w:t>
            </w:r>
            <w:r w:rsidRPr="00150E36">
              <w:rPr>
                <w:b/>
                <w:sz w:val="20"/>
              </w:rPr>
              <w:t>Erhaltung einer hohen Prüfungsqualität</w:t>
            </w:r>
            <w:r w:rsidRPr="00150E36">
              <w:rPr>
                <w:sz w:val="20"/>
              </w:rPr>
              <w:t xml:space="preserve"> </w:t>
            </w:r>
          </w:p>
        </w:tc>
      </w:tr>
      <w:tr w:rsidR="006225D2" w:rsidRPr="00150E36" w:rsidTr="006225D2">
        <w:tc>
          <w:tcPr>
            <w:tcW w:w="3969" w:type="dxa"/>
            <w:tcBorders>
              <w:right w:val="single" w:sz="4" w:space="0" w:color="auto"/>
            </w:tcBorders>
          </w:tcPr>
          <w:p w:rsidR="00D07E88" w:rsidRPr="00150E36" w:rsidRDefault="00D07E88" w:rsidP="00F54741">
            <w:pPr>
              <w:pStyle w:val="Listenabsatz"/>
              <w:numPr>
                <w:ilvl w:val="0"/>
                <w:numId w:val="17"/>
              </w:numPr>
              <w:spacing w:before="0"/>
              <w:rPr>
                <w:b/>
                <w:sz w:val="20"/>
              </w:rPr>
            </w:pPr>
            <w:r w:rsidRPr="00150E36">
              <w:rPr>
                <w:b/>
                <w:sz w:val="20"/>
              </w:rPr>
              <w:t>Kostenplanung</w:t>
            </w:r>
          </w:p>
          <w:p w:rsidR="00D07E88" w:rsidRPr="00150E36" w:rsidRDefault="00D07E88" w:rsidP="00570EF1">
            <w:pPr>
              <w:pStyle w:val="Listenabsatz"/>
              <w:numPr>
                <w:ilvl w:val="0"/>
                <w:numId w:val="19"/>
              </w:numPr>
              <w:spacing w:before="0"/>
              <w:jc w:val="left"/>
              <w:rPr>
                <w:sz w:val="20"/>
              </w:rPr>
            </w:pPr>
            <w:r w:rsidRPr="00150E36">
              <w:rPr>
                <w:sz w:val="20"/>
              </w:rPr>
              <w:t>Keine Vereinbarung von Pauschalhonoraren</w:t>
            </w:r>
          </w:p>
          <w:p w:rsidR="00D07E88" w:rsidRPr="00150E36" w:rsidRDefault="00D07E88" w:rsidP="00570EF1">
            <w:pPr>
              <w:pStyle w:val="Listenabsatz"/>
              <w:numPr>
                <w:ilvl w:val="0"/>
                <w:numId w:val="19"/>
              </w:numPr>
              <w:spacing w:before="0"/>
              <w:jc w:val="left"/>
              <w:rPr>
                <w:sz w:val="20"/>
              </w:rPr>
            </w:pPr>
            <w:r w:rsidRPr="00150E36">
              <w:rPr>
                <w:sz w:val="20"/>
              </w:rPr>
              <w:t>Honoraranpassung bei tatsächlichem Mehraufwand vereinbaren</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pStyle w:val="Listenabsatz"/>
              <w:spacing w:before="0"/>
              <w:ind w:left="360"/>
              <w:rPr>
                <w:sz w:val="2"/>
                <w:szCs w:val="2"/>
              </w:rPr>
            </w:pPr>
          </w:p>
        </w:tc>
        <w:tc>
          <w:tcPr>
            <w:tcW w:w="3969" w:type="dxa"/>
            <w:tcBorders>
              <w:left w:val="single" w:sz="4" w:space="0" w:color="auto"/>
              <w:right w:val="single" w:sz="4" w:space="0" w:color="auto"/>
            </w:tcBorders>
          </w:tcPr>
          <w:p w:rsidR="00D07E88" w:rsidRPr="00150E36" w:rsidRDefault="00D07E88" w:rsidP="00AD6CAE">
            <w:pPr>
              <w:pStyle w:val="Listenabsatz"/>
              <w:numPr>
                <w:ilvl w:val="0"/>
                <w:numId w:val="25"/>
              </w:numPr>
              <w:spacing w:before="0"/>
              <w:rPr>
                <w:sz w:val="20"/>
              </w:rPr>
            </w:pPr>
            <w:r w:rsidRPr="00150E36">
              <w:rPr>
                <w:sz w:val="20"/>
              </w:rPr>
              <w:t xml:space="preserve">Bestehende </w:t>
            </w:r>
            <w:r w:rsidRPr="00150E36">
              <w:rPr>
                <w:b/>
                <w:color w:val="FF0000"/>
                <w:sz w:val="20"/>
              </w:rPr>
              <w:t>Anreize</w:t>
            </w:r>
            <w:r w:rsidRPr="00150E36">
              <w:rPr>
                <w:b/>
                <w:sz w:val="20"/>
              </w:rPr>
              <w:t xml:space="preserve"> und </w:t>
            </w:r>
            <w:r w:rsidRPr="00150E36">
              <w:rPr>
                <w:b/>
                <w:color w:val="FF0000"/>
                <w:sz w:val="20"/>
              </w:rPr>
              <w:t>Motive</w:t>
            </w:r>
            <w:r w:rsidRPr="00150E36">
              <w:rPr>
                <w:sz w:val="20"/>
              </w:rPr>
              <w:t xml:space="preserve"> für Manipulationen </w:t>
            </w:r>
            <w:r w:rsidR="00CC2752" w:rsidRPr="00150E36">
              <w:rPr>
                <w:sz w:val="20"/>
              </w:rPr>
              <w:t xml:space="preserve">sind </w:t>
            </w:r>
            <w:r w:rsidRPr="00150E36">
              <w:rPr>
                <w:sz w:val="20"/>
              </w:rPr>
              <w:t>frühzeitig zu identifizieren</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right w:val="single" w:sz="4" w:space="0" w:color="auto"/>
            </w:tcBorders>
          </w:tcPr>
          <w:p w:rsidR="00D07E88" w:rsidRPr="00150E36" w:rsidRDefault="00D07E88" w:rsidP="009C27EB">
            <w:pPr>
              <w:pStyle w:val="Listenabsatz"/>
              <w:numPr>
                <w:ilvl w:val="0"/>
                <w:numId w:val="25"/>
              </w:numPr>
              <w:spacing w:before="0"/>
              <w:rPr>
                <w:sz w:val="20"/>
              </w:rPr>
            </w:pPr>
            <w:r w:rsidRPr="00150E36">
              <w:rPr>
                <w:sz w:val="20"/>
              </w:rPr>
              <w:t xml:space="preserve">Bei der Auftragsdurchführung sind Schlussfolgerungen zu Sachverhalten erst dann abschließend vorzunehmen, wenn die </w:t>
            </w:r>
            <w:r w:rsidRPr="00150E36">
              <w:rPr>
                <w:b/>
                <w:sz w:val="20"/>
              </w:rPr>
              <w:t xml:space="preserve">vorgelegten </w:t>
            </w:r>
            <w:r w:rsidRPr="00150E36">
              <w:rPr>
                <w:b/>
                <w:color w:val="FF0000"/>
                <w:sz w:val="20"/>
              </w:rPr>
              <w:t>Nachweise</w:t>
            </w:r>
            <w:r w:rsidRPr="00150E36">
              <w:rPr>
                <w:b/>
                <w:sz w:val="20"/>
              </w:rPr>
              <w:t xml:space="preserve"> inhaltlich und formal </w:t>
            </w:r>
            <w:r w:rsidRPr="00150E36">
              <w:rPr>
                <w:b/>
                <w:color w:val="FF0000"/>
                <w:sz w:val="20"/>
              </w:rPr>
              <w:t>angemessen</w:t>
            </w:r>
            <w:r w:rsidRPr="00150E36">
              <w:rPr>
                <w:b/>
                <w:sz w:val="20"/>
              </w:rPr>
              <w:t xml:space="preserve"> und </w:t>
            </w:r>
            <w:r w:rsidRPr="00150E36">
              <w:rPr>
                <w:b/>
                <w:color w:val="FF0000"/>
                <w:sz w:val="20"/>
              </w:rPr>
              <w:t>ausreichend</w:t>
            </w:r>
            <w:r w:rsidRPr="00150E36">
              <w:rPr>
                <w:b/>
                <w:sz w:val="20"/>
              </w:rPr>
              <w:t xml:space="preserve"> sind</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bottom w:val="single" w:sz="4" w:space="0" w:color="auto"/>
              <w:right w:val="single" w:sz="4" w:space="0" w:color="auto"/>
            </w:tcBorders>
          </w:tcPr>
          <w:p w:rsidR="00D07E88" w:rsidRPr="00150E36" w:rsidRDefault="00D07E88" w:rsidP="00525367">
            <w:pPr>
              <w:pStyle w:val="Listenabsatz"/>
              <w:numPr>
                <w:ilvl w:val="0"/>
                <w:numId w:val="25"/>
              </w:numPr>
              <w:spacing w:before="0"/>
              <w:rPr>
                <w:sz w:val="20"/>
              </w:rPr>
            </w:pPr>
            <w:r w:rsidRPr="00150E36">
              <w:rPr>
                <w:sz w:val="20"/>
              </w:rPr>
              <w:t xml:space="preserve">Informationen, die </w:t>
            </w:r>
            <w:r w:rsidRPr="00150E36">
              <w:rPr>
                <w:b/>
                <w:color w:val="FF0000"/>
                <w:sz w:val="20"/>
              </w:rPr>
              <w:t xml:space="preserve">widersprüchlich zur eigenen Beurteilung </w:t>
            </w:r>
            <w:r w:rsidRPr="00150E36">
              <w:rPr>
                <w:sz w:val="20"/>
              </w:rPr>
              <w:t xml:space="preserve">von bedeutsamen Sachverhalten sind, </w:t>
            </w:r>
            <w:r w:rsidRPr="00150E36">
              <w:rPr>
                <w:b/>
                <w:sz w:val="20"/>
              </w:rPr>
              <w:t>sind gesondert zu dokumentieren</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spacing w:before="0"/>
              <w:rPr>
                <w:sz w:val="2"/>
                <w:szCs w:val="2"/>
              </w:rPr>
            </w:pPr>
          </w:p>
        </w:tc>
        <w:tc>
          <w:tcPr>
            <w:tcW w:w="3969" w:type="dxa"/>
            <w:tcBorders>
              <w:left w:val="single" w:sz="4" w:space="0" w:color="auto"/>
              <w:bottom w:val="single" w:sz="4" w:space="0" w:color="auto"/>
            </w:tcBorders>
          </w:tcPr>
          <w:p w:rsidR="00D07E88" w:rsidRPr="00150E36" w:rsidRDefault="00D07E88" w:rsidP="001E3D90">
            <w:pPr>
              <w:pStyle w:val="Listenabsatz"/>
              <w:numPr>
                <w:ilvl w:val="0"/>
                <w:numId w:val="25"/>
              </w:numPr>
              <w:spacing w:before="0"/>
              <w:jc w:val="left"/>
              <w:rPr>
                <w:sz w:val="20"/>
              </w:rPr>
            </w:pPr>
            <w:r w:rsidRPr="00150E36">
              <w:rPr>
                <w:sz w:val="20"/>
              </w:rPr>
              <w:t xml:space="preserve">Die </w:t>
            </w:r>
            <w:r w:rsidRPr="00150E36">
              <w:rPr>
                <w:b/>
                <w:sz w:val="20"/>
              </w:rPr>
              <w:t>Ausgestaltung</w:t>
            </w:r>
            <w:r w:rsidRPr="00150E36">
              <w:rPr>
                <w:sz w:val="20"/>
              </w:rPr>
              <w:t xml:space="preserve"> der </w:t>
            </w:r>
            <w:r w:rsidRPr="00150E36">
              <w:rPr>
                <w:b/>
                <w:sz w:val="20"/>
              </w:rPr>
              <w:t>kritischen Grundhaltung</w:t>
            </w:r>
            <w:r w:rsidRPr="00150E36">
              <w:rPr>
                <w:sz w:val="20"/>
              </w:rPr>
              <w:t xml:space="preserve"> ist </w:t>
            </w:r>
            <w:r w:rsidRPr="00150E36">
              <w:rPr>
                <w:b/>
                <w:sz w:val="20"/>
              </w:rPr>
              <w:t>kanzleiintern für das/im Qualitätssicherungssystem</w:t>
            </w:r>
            <w:r w:rsidRPr="00150E36">
              <w:rPr>
                <w:sz w:val="20"/>
              </w:rPr>
              <w:t xml:space="preserve"> zu regeln</w:t>
            </w:r>
          </w:p>
        </w:tc>
      </w:tr>
      <w:tr w:rsidR="00696C1C" w:rsidRPr="00150E36" w:rsidTr="00B9728F">
        <w:tc>
          <w:tcPr>
            <w:tcW w:w="3969" w:type="dxa"/>
            <w:tcBorders>
              <w:bottom w:val="single" w:sz="4" w:space="0" w:color="auto"/>
              <w:right w:val="single" w:sz="4" w:space="0" w:color="auto"/>
            </w:tcBorders>
          </w:tcPr>
          <w:p w:rsidR="00D07E88" w:rsidRPr="00150E36" w:rsidRDefault="00D07E88" w:rsidP="00F54741">
            <w:pPr>
              <w:pStyle w:val="Listenabsatz"/>
              <w:numPr>
                <w:ilvl w:val="0"/>
                <w:numId w:val="20"/>
              </w:numPr>
              <w:spacing w:before="0"/>
              <w:rPr>
                <w:b/>
                <w:sz w:val="20"/>
              </w:rPr>
            </w:pPr>
            <w:r w:rsidRPr="00150E36">
              <w:rPr>
                <w:b/>
                <w:sz w:val="20"/>
              </w:rPr>
              <w:t>Jahresabschlussprüfung</w:t>
            </w:r>
          </w:p>
          <w:p w:rsidR="00D07E88" w:rsidRPr="00150E36" w:rsidRDefault="00D07E88" w:rsidP="00F54741">
            <w:pPr>
              <w:pStyle w:val="Listenabsatz"/>
              <w:numPr>
                <w:ilvl w:val="0"/>
                <w:numId w:val="21"/>
              </w:numPr>
              <w:spacing w:before="0"/>
              <w:rPr>
                <w:sz w:val="20"/>
              </w:rPr>
            </w:pPr>
            <w:r w:rsidRPr="00150E36">
              <w:rPr>
                <w:sz w:val="20"/>
              </w:rPr>
              <w:t>§ 317 Abs. 1 S. 3 HGB: tatsächliches Bild der VFE-Lage (§ 264 Abs. 2 HGB)</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pStyle w:val="Listenabsatz"/>
              <w:ind w:left="360"/>
              <w:rPr>
                <w:sz w:val="2"/>
                <w:szCs w:val="2"/>
              </w:rPr>
            </w:pPr>
          </w:p>
        </w:tc>
        <w:tc>
          <w:tcPr>
            <w:tcW w:w="3969" w:type="dxa"/>
            <w:tcBorders>
              <w:left w:val="single" w:sz="4" w:space="0" w:color="auto"/>
              <w:bottom w:val="single" w:sz="4" w:space="0" w:color="auto"/>
              <w:right w:val="single" w:sz="4" w:space="0" w:color="auto"/>
            </w:tcBorders>
          </w:tcPr>
          <w:p w:rsidR="00D07E88" w:rsidRPr="00150E36" w:rsidRDefault="00D07E88" w:rsidP="00761C32">
            <w:pPr>
              <w:pStyle w:val="Listenabsatz"/>
              <w:numPr>
                <w:ilvl w:val="0"/>
                <w:numId w:val="25"/>
              </w:numPr>
              <w:rPr>
                <w:sz w:val="20"/>
              </w:rPr>
            </w:pPr>
            <w:r w:rsidRPr="00150E36">
              <w:rPr>
                <w:sz w:val="20"/>
              </w:rPr>
              <w:t xml:space="preserve">Gelegenheiten </w:t>
            </w:r>
            <w:r w:rsidRPr="00150E36">
              <w:rPr>
                <w:b/>
                <w:sz w:val="20"/>
              </w:rPr>
              <w:t>Anreize</w:t>
            </w:r>
            <w:r w:rsidRPr="00150E36">
              <w:rPr>
                <w:sz w:val="20"/>
              </w:rPr>
              <w:t xml:space="preserve"> zu nutzen sowie das </w:t>
            </w:r>
            <w:r w:rsidRPr="00150E36">
              <w:rPr>
                <w:b/>
                <w:color w:val="FF0000"/>
                <w:sz w:val="20"/>
              </w:rPr>
              <w:t>IKS</w:t>
            </w:r>
            <w:r w:rsidRPr="00150E36">
              <w:rPr>
                <w:b/>
                <w:sz w:val="20"/>
              </w:rPr>
              <w:t>, bezogen auf diese Anreize sind zu identifizieren</w:t>
            </w:r>
          </w:p>
          <w:p w:rsidR="00D07E88" w:rsidRPr="00150E36" w:rsidRDefault="00D07E88" w:rsidP="00761C32">
            <w:pPr>
              <w:pStyle w:val="Listenabsatz"/>
              <w:spacing w:before="0"/>
              <w:ind w:left="360"/>
              <w:rPr>
                <w:sz w:val="20"/>
              </w:rPr>
            </w:pP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2F709B">
            <w:pPr>
              <w:spacing w:before="0"/>
              <w:contextualSpacing/>
              <w:rPr>
                <w:sz w:val="2"/>
                <w:szCs w:val="2"/>
              </w:rPr>
            </w:pPr>
          </w:p>
        </w:tc>
        <w:tc>
          <w:tcPr>
            <w:tcW w:w="3969" w:type="dxa"/>
            <w:tcBorders>
              <w:left w:val="single" w:sz="4" w:space="0" w:color="auto"/>
              <w:bottom w:val="single" w:sz="4" w:space="0" w:color="auto"/>
              <w:right w:val="single" w:sz="4" w:space="0" w:color="auto"/>
            </w:tcBorders>
          </w:tcPr>
          <w:p w:rsidR="00D07E88" w:rsidRPr="00150E36" w:rsidRDefault="00D07E88" w:rsidP="00CC2752">
            <w:pPr>
              <w:tabs>
                <w:tab w:val="left" w:pos="318"/>
              </w:tabs>
              <w:spacing w:before="0"/>
              <w:ind w:left="318" w:hanging="318"/>
              <w:contextualSpacing/>
              <w:rPr>
                <w:sz w:val="20"/>
              </w:rPr>
            </w:pPr>
            <w:r w:rsidRPr="00150E36">
              <w:rPr>
                <w:sz w:val="20"/>
              </w:rPr>
              <w:t>•</w:t>
            </w:r>
            <w:r w:rsidRPr="00150E36">
              <w:rPr>
                <w:sz w:val="20"/>
              </w:rPr>
              <w:tab/>
              <w:t xml:space="preserve">Bei Anzeichen von </w:t>
            </w:r>
            <w:r w:rsidRPr="00150E36">
              <w:rPr>
                <w:b/>
                <w:sz w:val="20"/>
              </w:rPr>
              <w:t>vorliegen</w:t>
            </w:r>
            <w:r w:rsidR="00CC2752" w:rsidRPr="00150E36">
              <w:rPr>
                <w:b/>
                <w:sz w:val="20"/>
              </w:rPr>
              <w:t xml:space="preserve">den </w:t>
            </w:r>
            <w:r w:rsidRPr="00150E36">
              <w:rPr>
                <w:b/>
                <w:sz w:val="20"/>
              </w:rPr>
              <w:t>dolosen Handlungen</w:t>
            </w:r>
            <w:r w:rsidRPr="00150E36">
              <w:rPr>
                <w:sz w:val="20"/>
              </w:rPr>
              <w:t xml:space="preserve"> ist </w:t>
            </w:r>
            <w:r w:rsidR="00CC2752" w:rsidRPr="00150E36">
              <w:rPr>
                <w:sz w:val="20"/>
              </w:rPr>
              <w:t xml:space="preserve">ggf. eine </w:t>
            </w:r>
            <w:r w:rsidRPr="00150E36">
              <w:rPr>
                <w:b/>
                <w:sz w:val="20"/>
              </w:rPr>
              <w:t>Anpassung der Prüfungshandlungen erforderlich</w:t>
            </w:r>
          </w:p>
        </w:tc>
        <w:tc>
          <w:tcPr>
            <w:tcW w:w="284" w:type="dxa"/>
            <w:tcBorders>
              <w:top w:val="nil"/>
              <w:left w:val="single" w:sz="4" w:space="0" w:color="auto"/>
              <w:bottom w:val="nil"/>
              <w:right w:val="single" w:sz="4" w:space="0" w:color="auto"/>
            </w:tcBorders>
            <w:shd w:val="clear" w:color="auto" w:fill="FFFFFF" w:themeFill="background1"/>
          </w:tcPr>
          <w:p w:rsidR="00D07E88" w:rsidRPr="00150E36" w:rsidRDefault="006225D2" w:rsidP="00D07E88">
            <w:pPr>
              <w:spacing w:before="0"/>
              <w:rPr>
                <w:b/>
                <w:sz w:val="2"/>
                <w:szCs w:val="2"/>
              </w:rPr>
            </w:pPr>
            <w:r w:rsidRPr="00150E36">
              <w:rPr>
                <w:b/>
                <w:sz w:val="2"/>
                <w:szCs w:val="2"/>
              </w:rPr>
              <w:t xml:space="preserve"> </w:t>
            </w:r>
          </w:p>
        </w:tc>
        <w:tc>
          <w:tcPr>
            <w:tcW w:w="3969" w:type="dxa"/>
            <w:vMerge w:val="restart"/>
            <w:tcBorders>
              <w:left w:val="single" w:sz="4" w:space="0" w:color="auto"/>
              <w:right w:val="single" w:sz="4" w:space="0" w:color="auto"/>
            </w:tcBorders>
          </w:tcPr>
          <w:p w:rsidR="00D07E88" w:rsidRPr="00150E36" w:rsidRDefault="00D07E88" w:rsidP="00B91EC6">
            <w:pPr>
              <w:pStyle w:val="Listenabsatz"/>
              <w:numPr>
                <w:ilvl w:val="0"/>
                <w:numId w:val="25"/>
              </w:numPr>
              <w:spacing w:before="0"/>
              <w:rPr>
                <w:b/>
                <w:sz w:val="20"/>
              </w:rPr>
            </w:pPr>
            <w:r w:rsidRPr="00150E36">
              <w:rPr>
                <w:b/>
                <w:sz w:val="20"/>
              </w:rPr>
              <w:t>Beispielhafte Dokumentationen der kritischen Grundhaltung:</w:t>
            </w:r>
          </w:p>
          <w:p w:rsidR="00D07E88" w:rsidRPr="00150E36" w:rsidRDefault="00D07E88" w:rsidP="00B91EC6">
            <w:pPr>
              <w:pStyle w:val="Listenabsatz"/>
              <w:numPr>
                <w:ilvl w:val="0"/>
                <w:numId w:val="28"/>
              </w:numPr>
              <w:spacing w:before="0"/>
              <w:rPr>
                <w:sz w:val="20"/>
              </w:rPr>
            </w:pPr>
            <w:r w:rsidRPr="00150E36">
              <w:rPr>
                <w:b/>
                <w:color w:val="FF0000"/>
                <w:sz w:val="20"/>
              </w:rPr>
              <w:t>Prüfungshandlungen</w:t>
            </w:r>
            <w:r w:rsidRPr="00150E36">
              <w:rPr>
                <w:sz w:val="20"/>
              </w:rPr>
              <w:t xml:space="preserve"> sind im Hinblick auf Aussagen und/ oder Annahmen der Geschäftsführung zu </w:t>
            </w:r>
            <w:r w:rsidRPr="00150E36">
              <w:rPr>
                <w:b/>
                <w:color w:val="FF0000"/>
                <w:sz w:val="20"/>
              </w:rPr>
              <w:t>plausibilisieren</w:t>
            </w:r>
            <w:r w:rsidRPr="00150E36">
              <w:rPr>
                <w:sz w:val="20"/>
              </w:rPr>
              <w:t xml:space="preserve"> und/oder zu </w:t>
            </w:r>
            <w:r w:rsidRPr="00150E36">
              <w:rPr>
                <w:b/>
                <w:color w:val="FF0000"/>
                <w:sz w:val="20"/>
              </w:rPr>
              <w:t>bestätigen</w:t>
            </w:r>
          </w:p>
          <w:p w:rsidR="00D07E88" w:rsidRPr="00150E36" w:rsidRDefault="00D07E88" w:rsidP="00525367">
            <w:pPr>
              <w:pStyle w:val="Listenabsatz"/>
              <w:numPr>
                <w:ilvl w:val="0"/>
                <w:numId w:val="28"/>
              </w:numPr>
              <w:spacing w:before="0"/>
              <w:rPr>
                <w:sz w:val="20"/>
              </w:rPr>
            </w:pPr>
            <w:r w:rsidRPr="00150E36">
              <w:rPr>
                <w:b/>
                <w:color w:val="FF0000"/>
                <w:sz w:val="20"/>
              </w:rPr>
              <w:t>Prüfungshandlungen</w:t>
            </w:r>
            <w:r w:rsidRPr="00150E36">
              <w:rPr>
                <w:sz w:val="20"/>
              </w:rPr>
              <w:t xml:space="preserve"> sind insbesondere zu/bei </w:t>
            </w:r>
            <w:r w:rsidRPr="00150E36">
              <w:rPr>
                <w:b/>
                <w:color w:val="FF0000"/>
                <w:sz w:val="20"/>
              </w:rPr>
              <w:t>ungewöhnlichen</w:t>
            </w:r>
            <w:r w:rsidRPr="00150E36">
              <w:rPr>
                <w:sz w:val="20"/>
              </w:rPr>
              <w:t xml:space="preserve"> oder nicht erwarteten Geschäftsvorfällen zu dokumentieren</w:t>
            </w:r>
          </w:p>
        </w:tc>
        <w:tc>
          <w:tcPr>
            <w:tcW w:w="283" w:type="dxa"/>
            <w:tcBorders>
              <w:top w:val="nil"/>
              <w:left w:val="single" w:sz="4" w:space="0" w:color="auto"/>
              <w:bottom w:val="nil"/>
              <w:right w:val="single" w:sz="4" w:space="0" w:color="auto"/>
            </w:tcBorders>
            <w:shd w:val="clear" w:color="auto" w:fill="FFFFFF" w:themeFill="background1"/>
          </w:tcPr>
          <w:p w:rsidR="00D07E88" w:rsidRPr="00150E36" w:rsidRDefault="00D07E88" w:rsidP="00D07E88">
            <w:pPr>
              <w:pStyle w:val="Listenabsatz"/>
              <w:spacing w:before="0"/>
              <w:ind w:left="360"/>
              <w:rPr>
                <w:sz w:val="2"/>
                <w:szCs w:val="2"/>
              </w:rPr>
            </w:pPr>
          </w:p>
        </w:tc>
        <w:tc>
          <w:tcPr>
            <w:tcW w:w="3969" w:type="dxa"/>
            <w:tcBorders>
              <w:left w:val="single" w:sz="4" w:space="0" w:color="auto"/>
              <w:bottom w:val="nil"/>
            </w:tcBorders>
          </w:tcPr>
          <w:p w:rsidR="00D07E88" w:rsidRPr="00150E36" w:rsidRDefault="00D07E88" w:rsidP="001E3D90">
            <w:pPr>
              <w:pStyle w:val="Listenabsatz"/>
              <w:numPr>
                <w:ilvl w:val="0"/>
                <w:numId w:val="25"/>
              </w:numPr>
              <w:spacing w:before="0"/>
              <w:jc w:val="left"/>
              <w:rPr>
                <w:sz w:val="20"/>
              </w:rPr>
            </w:pPr>
            <w:r w:rsidRPr="00150E36">
              <w:rPr>
                <w:sz w:val="20"/>
              </w:rPr>
              <w:t xml:space="preserve">Im Rahmen der Praxisnachschau/Qualitätskontrolle werden die Regelungen auf </w:t>
            </w:r>
            <w:r w:rsidRPr="00150E36">
              <w:rPr>
                <w:b/>
                <w:sz w:val="20"/>
              </w:rPr>
              <w:t>Angemessenheit und Wirksamkeit beurteilt</w:t>
            </w:r>
          </w:p>
        </w:tc>
      </w:tr>
      <w:tr w:rsidR="00696C1C" w:rsidRPr="00150E36" w:rsidTr="00B9728F">
        <w:tc>
          <w:tcPr>
            <w:tcW w:w="3969" w:type="dxa"/>
            <w:tcBorders>
              <w:bottom w:val="single" w:sz="4" w:space="0" w:color="auto"/>
              <w:right w:val="single" w:sz="4" w:space="0" w:color="auto"/>
            </w:tcBorders>
          </w:tcPr>
          <w:p w:rsidR="00D07E88" w:rsidRPr="00150E36" w:rsidRDefault="00D07E88" w:rsidP="00761C32">
            <w:pPr>
              <w:pStyle w:val="Listenabsatz"/>
              <w:numPr>
                <w:ilvl w:val="0"/>
                <w:numId w:val="20"/>
              </w:numPr>
              <w:spacing w:before="0"/>
              <w:rPr>
                <w:b/>
                <w:sz w:val="20"/>
              </w:rPr>
            </w:pPr>
            <w:r w:rsidRPr="00150E36">
              <w:rPr>
                <w:b/>
                <w:sz w:val="20"/>
              </w:rPr>
              <w:t>Abgrenzung Unterschlagungsprüfung:</w:t>
            </w:r>
          </w:p>
          <w:p w:rsidR="00D07E88" w:rsidRPr="00150E36" w:rsidRDefault="00D07E88" w:rsidP="00570EF1">
            <w:pPr>
              <w:pStyle w:val="Listenabsatz"/>
              <w:numPr>
                <w:ilvl w:val="0"/>
                <w:numId w:val="27"/>
              </w:numPr>
              <w:spacing w:before="0"/>
              <w:jc w:val="left"/>
              <w:rPr>
                <w:sz w:val="20"/>
              </w:rPr>
            </w:pPr>
            <w:r w:rsidRPr="00150E36">
              <w:rPr>
                <w:sz w:val="20"/>
              </w:rPr>
              <w:t>besonderes Misstrauen</w:t>
            </w:r>
          </w:p>
          <w:p w:rsidR="00D07E88" w:rsidRPr="00150E36" w:rsidRDefault="00D07E88" w:rsidP="00570EF1">
            <w:pPr>
              <w:pStyle w:val="Listenabsatz"/>
              <w:numPr>
                <w:ilvl w:val="0"/>
                <w:numId w:val="27"/>
              </w:numPr>
              <w:spacing w:before="0"/>
              <w:jc w:val="left"/>
              <w:rPr>
                <w:sz w:val="20"/>
              </w:rPr>
            </w:pPr>
            <w:r w:rsidRPr="00150E36">
              <w:rPr>
                <w:sz w:val="20"/>
              </w:rPr>
              <w:t>soll gezielte Vermögensschädigungen aufdecken</w:t>
            </w:r>
          </w:p>
          <w:p w:rsidR="00D07E88" w:rsidRPr="00150E36" w:rsidRDefault="00D07E88" w:rsidP="00570EF1">
            <w:pPr>
              <w:pStyle w:val="Listenabsatz"/>
              <w:numPr>
                <w:ilvl w:val="0"/>
                <w:numId w:val="27"/>
              </w:numPr>
              <w:spacing w:before="0"/>
              <w:jc w:val="left"/>
              <w:rPr>
                <w:sz w:val="20"/>
              </w:rPr>
            </w:pPr>
            <w:r w:rsidRPr="00150E36">
              <w:rPr>
                <w:sz w:val="20"/>
              </w:rPr>
              <w:t>Geschäftsvorfälle häufig vollständig zu prüfen</w:t>
            </w:r>
          </w:p>
          <w:p w:rsidR="00D07E88" w:rsidRPr="00150E36" w:rsidRDefault="00D07E88" w:rsidP="00570EF1">
            <w:pPr>
              <w:pStyle w:val="Listenabsatz"/>
              <w:numPr>
                <w:ilvl w:val="0"/>
                <w:numId w:val="27"/>
              </w:numPr>
              <w:spacing w:before="0"/>
              <w:jc w:val="left"/>
              <w:rPr>
                <w:sz w:val="20"/>
              </w:rPr>
            </w:pPr>
            <w:r w:rsidRPr="00150E36">
              <w:rPr>
                <w:sz w:val="20"/>
              </w:rPr>
              <w:t>„detektivische Beurteilung“ der Unterlagen notwendig</w:t>
            </w:r>
          </w:p>
        </w:tc>
        <w:tc>
          <w:tcPr>
            <w:tcW w:w="284" w:type="dxa"/>
            <w:tcBorders>
              <w:top w:val="nil"/>
              <w:left w:val="single" w:sz="4" w:space="0" w:color="auto"/>
              <w:bottom w:val="single" w:sz="4" w:space="0" w:color="auto"/>
              <w:right w:val="single" w:sz="4" w:space="0" w:color="auto"/>
            </w:tcBorders>
            <w:shd w:val="clear" w:color="auto" w:fill="FFFFFF" w:themeFill="background1"/>
          </w:tcPr>
          <w:p w:rsidR="00D07E88" w:rsidRPr="00150E36" w:rsidRDefault="00D07E88" w:rsidP="00D07E88">
            <w:pPr>
              <w:pStyle w:val="Listenabsatz"/>
              <w:spacing w:before="0"/>
              <w:ind w:left="375"/>
              <w:rPr>
                <w:b/>
                <w:sz w:val="2"/>
                <w:szCs w:val="2"/>
              </w:rPr>
            </w:pPr>
          </w:p>
        </w:tc>
        <w:tc>
          <w:tcPr>
            <w:tcW w:w="3969" w:type="dxa"/>
            <w:tcBorders>
              <w:left w:val="single" w:sz="4" w:space="0" w:color="auto"/>
              <w:bottom w:val="single" w:sz="4" w:space="0" w:color="auto"/>
              <w:right w:val="single" w:sz="4" w:space="0" w:color="auto"/>
            </w:tcBorders>
          </w:tcPr>
          <w:p w:rsidR="00D07E88" w:rsidRPr="00150E36" w:rsidRDefault="00D07E88" w:rsidP="009B3B3C">
            <w:pPr>
              <w:pStyle w:val="Listenabsatz"/>
              <w:numPr>
                <w:ilvl w:val="0"/>
                <w:numId w:val="22"/>
              </w:numPr>
              <w:spacing w:before="0"/>
              <w:ind w:left="375" w:hanging="375"/>
              <w:rPr>
                <w:b/>
                <w:sz w:val="20"/>
              </w:rPr>
            </w:pPr>
            <w:r w:rsidRPr="00150E36">
              <w:rPr>
                <w:b/>
                <w:sz w:val="20"/>
              </w:rPr>
              <w:t>Besonders wichtig bei:</w:t>
            </w:r>
          </w:p>
          <w:p w:rsidR="00D07E88" w:rsidRPr="00150E36" w:rsidRDefault="00D07E88" w:rsidP="009B3B3C">
            <w:pPr>
              <w:pStyle w:val="Listenabsatz"/>
              <w:numPr>
                <w:ilvl w:val="0"/>
                <w:numId w:val="26"/>
              </w:numPr>
              <w:spacing w:before="0"/>
              <w:rPr>
                <w:sz w:val="20"/>
              </w:rPr>
            </w:pPr>
            <w:r w:rsidRPr="00150E36">
              <w:rPr>
                <w:sz w:val="20"/>
              </w:rPr>
              <w:t>Erstprüfungen</w:t>
            </w:r>
          </w:p>
          <w:p w:rsidR="00D07E88" w:rsidRPr="00150E36" w:rsidRDefault="00D07E88" w:rsidP="009B3B3C">
            <w:pPr>
              <w:pStyle w:val="Listenabsatz"/>
              <w:numPr>
                <w:ilvl w:val="0"/>
                <w:numId w:val="26"/>
              </w:numPr>
              <w:spacing w:before="0"/>
              <w:rPr>
                <w:sz w:val="20"/>
              </w:rPr>
            </w:pPr>
            <w:r w:rsidRPr="00150E36">
              <w:rPr>
                <w:sz w:val="20"/>
              </w:rPr>
              <w:t>Transaktionen mit Nahestehenden Pers./Untern.</w:t>
            </w:r>
          </w:p>
          <w:p w:rsidR="00D07E88" w:rsidRPr="00150E36" w:rsidRDefault="00D07E88" w:rsidP="009B3B3C">
            <w:pPr>
              <w:pStyle w:val="Listenabsatz"/>
              <w:numPr>
                <w:ilvl w:val="0"/>
                <w:numId w:val="26"/>
              </w:numPr>
              <w:spacing w:before="0"/>
              <w:rPr>
                <w:sz w:val="20"/>
              </w:rPr>
            </w:pPr>
            <w:r w:rsidRPr="00150E36">
              <w:rPr>
                <w:sz w:val="20"/>
              </w:rPr>
              <w:t>einseitige Ermessensausübung</w:t>
            </w:r>
          </w:p>
          <w:p w:rsidR="00D07E88" w:rsidRPr="00150E36" w:rsidRDefault="00D07E88" w:rsidP="009B3B3C">
            <w:pPr>
              <w:pStyle w:val="Listenabsatz"/>
              <w:numPr>
                <w:ilvl w:val="0"/>
                <w:numId w:val="26"/>
              </w:numPr>
              <w:spacing w:before="0"/>
              <w:rPr>
                <w:sz w:val="20"/>
              </w:rPr>
            </w:pPr>
            <w:r w:rsidRPr="00150E36">
              <w:rPr>
                <w:sz w:val="20"/>
              </w:rPr>
              <w:t>dominierendes Management</w:t>
            </w:r>
          </w:p>
          <w:p w:rsidR="00D07E88" w:rsidRPr="00150E36" w:rsidRDefault="00D07E88" w:rsidP="00761C32">
            <w:pPr>
              <w:pStyle w:val="Listenabsatz"/>
              <w:numPr>
                <w:ilvl w:val="0"/>
                <w:numId w:val="26"/>
              </w:numPr>
              <w:spacing w:before="0"/>
              <w:rPr>
                <w:sz w:val="20"/>
              </w:rPr>
            </w:pPr>
            <w:r w:rsidRPr="00150E36">
              <w:rPr>
                <w:sz w:val="20"/>
              </w:rPr>
              <w:t>Management, das den Aufgaben des Abschlussprüfers ablehnend gegenübersteht</w:t>
            </w:r>
          </w:p>
        </w:tc>
        <w:tc>
          <w:tcPr>
            <w:tcW w:w="283" w:type="dxa"/>
            <w:tcBorders>
              <w:top w:val="nil"/>
              <w:left w:val="single" w:sz="4" w:space="0" w:color="auto"/>
              <w:bottom w:val="single" w:sz="4" w:space="0" w:color="auto"/>
              <w:right w:val="single" w:sz="4" w:space="0" w:color="auto"/>
            </w:tcBorders>
            <w:shd w:val="clear" w:color="auto" w:fill="FFFFFF" w:themeFill="background1"/>
          </w:tcPr>
          <w:p w:rsidR="00D07E88" w:rsidRPr="00150E36" w:rsidRDefault="00D07E88" w:rsidP="00D07E88">
            <w:pPr>
              <w:spacing w:before="0"/>
              <w:rPr>
                <w:b/>
                <w:sz w:val="2"/>
                <w:szCs w:val="2"/>
              </w:rPr>
            </w:pPr>
          </w:p>
        </w:tc>
        <w:tc>
          <w:tcPr>
            <w:tcW w:w="3969" w:type="dxa"/>
            <w:tcBorders>
              <w:left w:val="single" w:sz="4" w:space="0" w:color="auto"/>
              <w:bottom w:val="single" w:sz="4" w:space="0" w:color="auto"/>
              <w:right w:val="single" w:sz="4" w:space="0" w:color="auto"/>
            </w:tcBorders>
          </w:tcPr>
          <w:p w:rsidR="00D07E88" w:rsidRPr="00150E36" w:rsidRDefault="00D07E88" w:rsidP="00AD6CAE">
            <w:pPr>
              <w:pStyle w:val="Listenabsatz"/>
              <w:numPr>
                <w:ilvl w:val="0"/>
                <w:numId w:val="22"/>
              </w:numPr>
              <w:spacing w:before="0"/>
              <w:ind w:left="375" w:hanging="375"/>
              <w:rPr>
                <w:b/>
                <w:sz w:val="20"/>
              </w:rPr>
            </w:pPr>
            <w:r w:rsidRPr="00150E36">
              <w:rPr>
                <w:b/>
                <w:sz w:val="20"/>
              </w:rPr>
              <w:t>Besonders wichtig bei:</w:t>
            </w:r>
          </w:p>
          <w:p w:rsidR="00D07E88" w:rsidRPr="00150E36" w:rsidRDefault="00D07E88" w:rsidP="00AD6CAE">
            <w:pPr>
              <w:pStyle w:val="Listenabsatz"/>
              <w:numPr>
                <w:ilvl w:val="0"/>
                <w:numId w:val="26"/>
              </w:numPr>
              <w:spacing w:before="0"/>
              <w:rPr>
                <w:sz w:val="20"/>
              </w:rPr>
            </w:pPr>
            <w:r w:rsidRPr="00150E36">
              <w:rPr>
                <w:sz w:val="20"/>
              </w:rPr>
              <w:t>Schätzung Zeitwertangaben</w:t>
            </w:r>
          </w:p>
          <w:p w:rsidR="00D07E88" w:rsidRPr="00150E36" w:rsidRDefault="00D07E88" w:rsidP="00AD6CAE">
            <w:pPr>
              <w:pStyle w:val="Listenabsatz"/>
              <w:numPr>
                <w:ilvl w:val="0"/>
                <w:numId w:val="26"/>
              </w:numPr>
              <w:spacing w:before="0"/>
              <w:rPr>
                <w:sz w:val="20"/>
              </w:rPr>
            </w:pPr>
            <w:r w:rsidRPr="00150E36">
              <w:rPr>
                <w:sz w:val="20"/>
              </w:rPr>
              <w:t>Beurteilung Wertminderungsbedarf von Vermögenswerten</w:t>
            </w:r>
          </w:p>
          <w:p w:rsidR="00D07E88" w:rsidRPr="00150E36" w:rsidRDefault="00D07E88" w:rsidP="00AD6CAE">
            <w:pPr>
              <w:pStyle w:val="Listenabsatz"/>
              <w:numPr>
                <w:ilvl w:val="0"/>
                <w:numId w:val="26"/>
              </w:numPr>
              <w:spacing w:before="0"/>
              <w:rPr>
                <w:sz w:val="20"/>
              </w:rPr>
            </w:pPr>
            <w:r w:rsidRPr="00150E36">
              <w:rPr>
                <w:sz w:val="20"/>
              </w:rPr>
              <w:t>Beurteilung Ansatz und Bewertung von Rückstellungen</w:t>
            </w:r>
          </w:p>
          <w:p w:rsidR="00D07E88" w:rsidRPr="00150E36" w:rsidRDefault="00D07E88" w:rsidP="00AD6CAE">
            <w:pPr>
              <w:pStyle w:val="Listenabsatz"/>
              <w:numPr>
                <w:ilvl w:val="0"/>
                <w:numId w:val="26"/>
              </w:numPr>
              <w:spacing w:before="0"/>
              <w:rPr>
                <w:sz w:val="20"/>
              </w:rPr>
            </w:pPr>
            <w:r w:rsidRPr="00150E36">
              <w:rPr>
                <w:sz w:val="20"/>
              </w:rPr>
              <w:t xml:space="preserve">Erwartete Cashflows für Beurteilung </w:t>
            </w:r>
            <w:proofErr w:type="spellStart"/>
            <w:r w:rsidRPr="00150E36">
              <w:rPr>
                <w:sz w:val="20"/>
              </w:rPr>
              <w:t>Going-Concern</w:t>
            </w:r>
            <w:proofErr w:type="spellEnd"/>
          </w:p>
          <w:p w:rsidR="00D07E88" w:rsidRPr="00150E36" w:rsidRDefault="00D07E88" w:rsidP="00F54741">
            <w:pPr>
              <w:spacing w:before="0"/>
              <w:contextualSpacing/>
              <w:rPr>
                <w:sz w:val="20"/>
              </w:rPr>
            </w:pPr>
          </w:p>
        </w:tc>
        <w:tc>
          <w:tcPr>
            <w:tcW w:w="284" w:type="dxa"/>
            <w:tcBorders>
              <w:top w:val="nil"/>
              <w:left w:val="single" w:sz="4" w:space="0" w:color="auto"/>
              <w:bottom w:val="single" w:sz="4" w:space="0" w:color="auto"/>
              <w:right w:val="single" w:sz="4" w:space="0" w:color="auto"/>
            </w:tcBorders>
            <w:shd w:val="clear" w:color="auto" w:fill="FFFFFF" w:themeFill="background1"/>
          </w:tcPr>
          <w:p w:rsidR="00D07E88" w:rsidRPr="00150E36" w:rsidRDefault="00D07E88" w:rsidP="00F54741">
            <w:pPr>
              <w:spacing w:before="0"/>
              <w:contextualSpacing/>
              <w:rPr>
                <w:sz w:val="2"/>
                <w:szCs w:val="2"/>
              </w:rPr>
            </w:pPr>
          </w:p>
        </w:tc>
        <w:tc>
          <w:tcPr>
            <w:tcW w:w="3969" w:type="dxa"/>
            <w:vMerge/>
            <w:tcBorders>
              <w:left w:val="single" w:sz="4" w:space="0" w:color="auto"/>
              <w:bottom w:val="single" w:sz="4" w:space="0" w:color="auto"/>
              <w:right w:val="single" w:sz="4" w:space="0" w:color="auto"/>
            </w:tcBorders>
          </w:tcPr>
          <w:p w:rsidR="00D07E88" w:rsidRPr="00150E36" w:rsidRDefault="00D07E88" w:rsidP="00F54741">
            <w:pPr>
              <w:spacing w:before="0"/>
              <w:contextualSpacing/>
              <w:rPr>
                <w:sz w:val="20"/>
              </w:rPr>
            </w:pPr>
          </w:p>
        </w:tc>
        <w:tc>
          <w:tcPr>
            <w:tcW w:w="283" w:type="dxa"/>
            <w:tcBorders>
              <w:top w:val="nil"/>
              <w:left w:val="single" w:sz="4" w:space="0" w:color="auto"/>
              <w:bottom w:val="single" w:sz="4" w:space="0" w:color="auto"/>
              <w:right w:val="single" w:sz="4" w:space="0" w:color="auto"/>
            </w:tcBorders>
            <w:shd w:val="clear" w:color="auto" w:fill="FFFFFF" w:themeFill="background1"/>
          </w:tcPr>
          <w:p w:rsidR="00D07E88" w:rsidRPr="00150E36" w:rsidRDefault="00D07E88" w:rsidP="00696C1C">
            <w:pPr>
              <w:pStyle w:val="Aufzhlungszeichen"/>
              <w:numPr>
                <w:ilvl w:val="0"/>
                <w:numId w:val="34"/>
              </w:numPr>
              <w:spacing w:before="120" w:after="120"/>
              <w:ind w:left="425" w:hanging="425"/>
              <w:rPr>
                <w:sz w:val="2"/>
                <w:szCs w:val="2"/>
              </w:rPr>
            </w:pPr>
          </w:p>
        </w:tc>
        <w:tc>
          <w:tcPr>
            <w:tcW w:w="3969" w:type="dxa"/>
            <w:tcBorders>
              <w:top w:val="nil"/>
              <w:left w:val="single" w:sz="4" w:space="0" w:color="auto"/>
              <w:bottom w:val="single" w:sz="4" w:space="0" w:color="auto"/>
            </w:tcBorders>
          </w:tcPr>
          <w:p w:rsidR="00D07E88" w:rsidRPr="00150E36" w:rsidRDefault="00D07E88" w:rsidP="00936D20">
            <w:pPr>
              <w:spacing w:before="0"/>
              <w:contextualSpacing/>
              <w:rPr>
                <w:sz w:val="20"/>
              </w:rPr>
            </w:pPr>
          </w:p>
        </w:tc>
      </w:tr>
      <w:tr w:rsidR="006225D2" w:rsidRPr="00150E36" w:rsidTr="006225D2">
        <w:tc>
          <w:tcPr>
            <w:tcW w:w="20979" w:type="dxa"/>
            <w:gridSpan w:val="9"/>
            <w:tcBorders>
              <w:top w:val="nil"/>
            </w:tcBorders>
            <w:shd w:val="clear" w:color="auto" w:fill="FFFFFF" w:themeFill="background1"/>
          </w:tcPr>
          <w:p w:rsidR="006225D2" w:rsidRPr="00150E36" w:rsidRDefault="006225D2" w:rsidP="00B9728F">
            <w:pPr>
              <w:spacing w:before="0"/>
              <w:contextualSpacing/>
              <w:rPr>
                <w:b/>
                <w:color w:val="FF0000"/>
                <w:sz w:val="20"/>
              </w:rPr>
            </w:pPr>
            <w:r w:rsidRPr="00150E36">
              <w:rPr>
                <w:b/>
                <w:color w:val="FF0000"/>
                <w:sz w:val="20"/>
              </w:rPr>
              <w:t>Fazit:</w:t>
            </w:r>
          </w:p>
          <w:p w:rsidR="006225D2" w:rsidRPr="00150E36" w:rsidRDefault="006225D2" w:rsidP="00B9728F">
            <w:pPr>
              <w:spacing w:before="0"/>
              <w:contextualSpacing/>
              <w:rPr>
                <w:sz w:val="20"/>
              </w:rPr>
            </w:pPr>
            <w:r w:rsidRPr="00150E36">
              <w:rPr>
                <w:sz w:val="20"/>
              </w:rPr>
              <w:t xml:space="preserve">Die Kodifizierung der kritischen Grundhaltung bei einer Prüfung als Berufspflicht des Wirtschaftsprüfers ist lediglich </w:t>
            </w:r>
            <w:r w:rsidRPr="00150E36">
              <w:rPr>
                <w:b/>
                <w:sz w:val="20"/>
              </w:rPr>
              <w:t>eine gesetzliche Klarstellung der bereits seit Jahren bestehenden Sorgfaltspflicht</w:t>
            </w:r>
            <w:r w:rsidRPr="00150E36">
              <w:rPr>
                <w:sz w:val="20"/>
              </w:rPr>
              <w:t>.</w:t>
            </w:r>
          </w:p>
        </w:tc>
      </w:tr>
    </w:tbl>
    <w:p w:rsidR="00EA66E7" w:rsidRPr="00150E36" w:rsidRDefault="00EA66E7" w:rsidP="00F54741">
      <w:pPr>
        <w:spacing w:before="0"/>
        <w:contextualSpacing/>
        <w:rPr>
          <w:sz w:val="2"/>
        </w:rPr>
      </w:pPr>
    </w:p>
    <w:sectPr w:rsidR="00EA66E7" w:rsidRPr="00150E36" w:rsidSect="00953403">
      <w:headerReference w:type="even" r:id="rId9"/>
      <w:headerReference w:type="default" r:id="rId10"/>
      <w:footerReference w:type="even" r:id="rId11"/>
      <w:footerReference w:type="default" r:id="rId12"/>
      <w:headerReference w:type="first" r:id="rId13"/>
      <w:footerReference w:type="first" r:id="rId14"/>
      <w:type w:val="continuous"/>
      <w:pgSz w:w="23814" w:h="16839" w:orient="landscape" w:code="8"/>
      <w:pgMar w:top="1100" w:right="170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4EE" w:rsidRDefault="001574EE">
      <w:pPr>
        <w:spacing w:before="0"/>
      </w:pPr>
      <w:r>
        <w:separator/>
      </w:r>
    </w:p>
  </w:endnote>
  <w:endnote w:type="continuationSeparator" w:id="0">
    <w:p w:rsidR="001574EE" w:rsidRDefault="001574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135" w:rsidRDefault="002571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96" w:rsidRPr="00E368C3" w:rsidRDefault="00CE0534" w:rsidP="00CE0534">
    <w:pPr>
      <w:tabs>
        <w:tab w:val="center" w:pos="4536"/>
        <w:tab w:val="right" w:pos="9072"/>
      </w:tabs>
      <w:spacing w:before="520" w:after="120"/>
      <w:ind w:firstLine="357"/>
      <w:jc w:val="left"/>
      <w:rPr>
        <w:rFonts w:eastAsiaTheme="minorHAnsi"/>
        <w:sz w:val="20"/>
        <w:lang w:eastAsia="en-US"/>
      </w:rPr>
    </w:pPr>
    <w:r>
      <w:rPr>
        <w:sz w:val="20"/>
      </w:rPr>
      <w:tab/>
    </w:r>
    <w:r>
      <w:rPr>
        <w:sz w:val="20"/>
      </w:rPr>
      <w:tab/>
    </w:r>
    <w:r>
      <w:rPr>
        <w:sz w:val="20"/>
      </w:rPr>
      <w:tab/>
    </w:r>
    <w:r>
      <w:rPr>
        <w:noProof/>
      </w:rPr>
      <w:drawing>
        <wp:inline distT="0" distB="0" distL="0" distR="0" wp14:anchorId="34551A3D" wp14:editId="3FDC685B">
          <wp:extent cx="2296633" cy="357618"/>
          <wp:effectExtent l="0" t="0" r="889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esle_Audfit_Logo_C_4c_Blau.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633" cy="357618"/>
                  </a:xfrm>
                  <a:prstGeom prst="rect">
                    <a:avLst/>
                  </a:prstGeom>
                </pic:spPr>
              </pic:pic>
            </a:graphicData>
          </a:graphic>
        </wp:inline>
      </w:drawing>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1E1F96" w:rsidRPr="006C672A">
      <w:rPr>
        <w:sz w:val="20"/>
      </w:rPr>
      <w:t xml:space="preserve">Seite: </w:t>
    </w:r>
    <w:r w:rsidR="001E1F96" w:rsidRPr="006C672A">
      <w:rPr>
        <w:rFonts w:eastAsiaTheme="minorHAnsi" w:cstheme="minorBidi"/>
        <w:sz w:val="20"/>
        <w:lang w:eastAsia="en-US"/>
      </w:rPr>
      <w:fldChar w:fldCharType="begin"/>
    </w:r>
    <w:r w:rsidR="001E1F96" w:rsidRPr="006C672A">
      <w:rPr>
        <w:rFonts w:eastAsiaTheme="minorHAnsi" w:cstheme="minorBidi"/>
        <w:sz w:val="20"/>
        <w:lang w:eastAsia="en-US"/>
      </w:rPr>
      <w:instrText>PAGE   \* MERGEFORMAT</w:instrText>
    </w:r>
    <w:r w:rsidR="001E1F96" w:rsidRPr="006C672A">
      <w:rPr>
        <w:rFonts w:eastAsiaTheme="minorHAnsi" w:cstheme="minorBidi"/>
        <w:sz w:val="20"/>
        <w:lang w:eastAsia="en-US"/>
      </w:rPr>
      <w:fldChar w:fldCharType="separate"/>
    </w:r>
    <w:r w:rsidR="00B129AB">
      <w:rPr>
        <w:rFonts w:eastAsiaTheme="minorHAnsi" w:cstheme="minorBidi"/>
        <w:noProof/>
        <w:sz w:val="20"/>
        <w:lang w:eastAsia="en-US"/>
      </w:rPr>
      <w:t>2</w:t>
    </w:r>
    <w:r w:rsidR="001E1F96" w:rsidRPr="006C672A">
      <w:rPr>
        <w:rFonts w:eastAsiaTheme="minorHAnsi" w:cstheme="minorBidi"/>
        <w:sz w:val="20"/>
        <w:lang w:eastAsia="en-US"/>
      </w:rPr>
      <w:fldChar w:fldCharType="end"/>
    </w:r>
    <w:r w:rsidR="001E1F96"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001E1F96" w:rsidRPr="006C672A">
          <w:rPr>
            <w:rFonts w:eastAsiaTheme="minorHAnsi" w:cstheme="minorBidi"/>
            <w:sz w:val="20"/>
            <w:lang w:eastAsia="en-US"/>
          </w:rPr>
          <w:t xml:space="preserve">von </w:t>
        </w:r>
        <w:r w:rsidR="001E1F96" w:rsidRPr="006C672A">
          <w:rPr>
            <w:rFonts w:eastAsiaTheme="minorHAnsi" w:cstheme="minorBidi"/>
            <w:sz w:val="20"/>
            <w:lang w:eastAsia="en-US"/>
          </w:rPr>
          <w:fldChar w:fldCharType="begin"/>
        </w:r>
        <w:r w:rsidR="001E1F96" w:rsidRPr="006C672A">
          <w:rPr>
            <w:rFonts w:eastAsiaTheme="minorHAnsi" w:cstheme="minorBidi"/>
            <w:sz w:val="20"/>
            <w:lang w:eastAsia="en-US"/>
          </w:rPr>
          <w:instrText xml:space="preserve"> NUMPAGES  \* Arabic  \* MERGEFORMAT </w:instrText>
        </w:r>
        <w:r w:rsidR="001E1F96" w:rsidRPr="006C672A">
          <w:rPr>
            <w:rFonts w:eastAsiaTheme="minorHAnsi" w:cstheme="minorBidi"/>
            <w:sz w:val="20"/>
            <w:lang w:eastAsia="en-US"/>
          </w:rPr>
          <w:fldChar w:fldCharType="separate"/>
        </w:r>
        <w:r w:rsidR="0076077C">
          <w:rPr>
            <w:rFonts w:eastAsiaTheme="minorHAnsi" w:cstheme="minorBidi"/>
            <w:noProof/>
            <w:sz w:val="20"/>
            <w:lang w:eastAsia="en-US"/>
          </w:rPr>
          <w:t>1</w:t>
        </w:r>
        <w:r w:rsidR="001E1F96" w:rsidRPr="006C672A">
          <w:rPr>
            <w:rFonts w:eastAsiaTheme="minorHAnsi" w:cstheme="minorBidi"/>
            <w:sz w:val="20"/>
            <w:lang w:eastAsia="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029"/>
      <w:gridCol w:w="7029"/>
      <w:gridCol w:w="7029"/>
    </w:tblGrid>
    <w:tr w:rsidR="00E51628" w:rsidTr="00DE7203">
      <w:trPr>
        <w:trHeight w:hRule="exact" w:val="1191"/>
      </w:trPr>
      <w:tc>
        <w:tcPr>
          <w:tcW w:w="7029" w:type="dxa"/>
          <w:vAlign w:val="bottom"/>
          <w:hideMark/>
        </w:tcPr>
        <w:p w:rsidR="00E51628" w:rsidRPr="00DD228C" w:rsidRDefault="00E51628" w:rsidP="00E51628">
          <w:pPr>
            <w:tabs>
              <w:tab w:val="left" w:pos="2100"/>
            </w:tabs>
            <w:spacing w:before="0"/>
            <w:jc w:val="left"/>
            <w:rPr>
              <w:rFonts w:eastAsiaTheme="minorHAnsi" w:cstheme="minorBidi"/>
              <w:sz w:val="20"/>
              <w:lang w:eastAsia="en-US"/>
            </w:rPr>
          </w:pPr>
          <w:r w:rsidRPr="00DD228C">
            <w:rPr>
              <w:sz w:val="20"/>
            </w:rPr>
            <w:t xml:space="preserve">Seite </w:t>
          </w:r>
          <w:r w:rsidRPr="00DD228C">
            <w:rPr>
              <w:rFonts w:eastAsiaTheme="minorHAnsi" w:cstheme="minorBidi"/>
              <w:sz w:val="20"/>
              <w:lang w:eastAsia="en-US"/>
            </w:rPr>
            <w:fldChar w:fldCharType="begin"/>
          </w:r>
          <w:r w:rsidRPr="00DD228C">
            <w:rPr>
              <w:rFonts w:eastAsiaTheme="minorHAnsi" w:cstheme="minorBidi"/>
              <w:sz w:val="20"/>
              <w:lang w:eastAsia="en-US"/>
            </w:rPr>
            <w:instrText>PAGE   \* MERGEFORMAT</w:instrText>
          </w:r>
          <w:r w:rsidRPr="00DD228C">
            <w:rPr>
              <w:rFonts w:eastAsiaTheme="minorHAnsi" w:cstheme="minorBidi"/>
              <w:sz w:val="20"/>
              <w:lang w:eastAsia="en-US"/>
            </w:rPr>
            <w:fldChar w:fldCharType="separate"/>
          </w:r>
          <w:r w:rsidRPr="00DD228C">
            <w:rPr>
              <w:rFonts w:eastAsiaTheme="minorHAnsi" w:cstheme="minorBidi"/>
              <w:sz w:val="20"/>
              <w:lang w:eastAsia="en-US"/>
            </w:rPr>
            <w:t>1</w:t>
          </w:r>
          <w:r w:rsidRPr="00DD228C">
            <w:rPr>
              <w:rFonts w:eastAsiaTheme="minorHAnsi" w:cstheme="minorBidi"/>
              <w:sz w:val="20"/>
              <w:lang w:eastAsia="en-US"/>
            </w:rPr>
            <w:fldChar w:fldCharType="end"/>
          </w:r>
          <w:r w:rsidRPr="00DD228C">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DD228C">
                <w:rPr>
                  <w:rFonts w:eastAsiaTheme="minorHAnsi" w:cstheme="minorBidi"/>
                  <w:sz w:val="20"/>
                  <w:lang w:eastAsia="en-US"/>
                </w:rPr>
                <w:t xml:space="preserve">von </w:t>
              </w:r>
              <w:r w:rsidRPr="00DD228C">
                <w:rPr>
                  <w:rFonts w:eastAsiaTheme="minorHAnsi" w:cstheme="minorBidi"/>
                  <w:sz w:val="20"/>
                  <w:lang w:eastAsia="en-US"/>
                </w:rPr>
                <w:fldChar w:fldCharType="begin"/>
              </w:r>
              <w:r w:rsidRPr="00DD228C">
                <w:rPr>
                  <w:rFonts w:eastAsiaTheme="minorHAnsi" w:cstheme="minorBidi"/>
                  <w:sz w:val="20"/>
                  <w:lang w:eastAsia="en-US"/>
                </w:rPr>
                <w:instrText xml:space="preserve"> NUMPAGES  \* Arabic  \* MERGEFORMAT </w:instrText>
              </w:r>
              <w:r w:rsidRPr="00DD228C">
                <w:rPr>
                  <w:rFonts w:eastAsiaTheme="minorHAnsi" w:cstheme="minorBidi"/>
                  <w:sz w:val="20"/>
                  <w:lang w:eastAsia="en-US"/>
                </w:rPr>
                <w:fldChar w:fldCharType="separate"/>
              </w:r>
              <w:r w:rsidRPr="00DD228C">
                <w:rPr>
                  <w:rFonts w:eastAsiaTheme="minorHAnsi" w:cstheme="minorBidi"/>
                  <w:sz w:val="20"/>
                  <w:lang w:eastAsia="en-US"/>
                </w:rPr>
                <w:t>1</w:t>
              </w:r>
              <w:r w:rsidRPr="00DD228C">
                <w:rPr>
                  <w:rFonts w:eastAsiaTheme="minorHAnsi" w:cstheme="minorBidi"/>
                  <w:sz w:val="20"/>
                  <w:lang w:eastAsia="en-US"/>
                </w:rPr>
                <w:fldChar w:fldCharType="end"/>
              </w:r>
            </w:sdtContent>
          </w:sdt>
        </w:p>
        <w:p w:rsidR="00E51628" w:rsidRPr="00DD228C" w:rsidRDefault="00DD228C" w:rsidP="00E51628">
          <w:pPr>
            <w:tabs>
              <w:tab w:val="left" w:pos="2100"/>
            </w:tabs>
            <w:spacing w:before="0"/>
            <w:jc w:val="left"/>
            <w:rPr>
              <w:sz w:val="20"/>
            </w:rPr>
          </w:pPr>
          <w:proofErr w:type="spellStart"/>
          <w:r w:rsidRPr="00DD228C">
            <w:rPr>
              <w:rFonts w:eastAsiaTheme="minorHAnsi" w:cstheme="minorBidi"/>
              <w:b/>
              <w:color w:val="00B0F0"/>
              <w:sz w:val="20"/>
              <w:lang w:eastAsia="en-US"/>
            </w:rPr>
            <w:t>AP</w:t>
          </w:r>
          <w:r w:rsidR="00E51628" w:rsidRPr="00DD228C">
            <w:rPr>
              <w:rFonts w:eastAsiaTheme="minorHAnsi" w:cstheme="minorBidi"/>
              <w:b/>
              <w:color w:val="00B0F0"/>
              <w:sz w:val="20"/>
              <w:lang w:eastAsia="en-US"/>
            </w:rPr>
            <w:t>fQK</w:t>
          </w:r>
          <w:proofErr w:type="spellEnd"/>
          <w:r w:rsidR="00E51628" w:rsidRPr="00DD228C">
            <w:rPr>
              <w:rFonts w:eastAsiaTheme="minorHAnsi" w:cstheme="minorBidi"/>
              <w:b/>
              <w:color w:val="00B0F0"/>
              <w:sz w:val="20"/>
              <w:lang w:eastAsia="en-US"/>
            </w:rPr>
            <w:t xml:space="preserve"> 2025</w:t>
          </w:r>
        </w:p>
      </w:tc>
      <w:tc>
        <w:tcPr>
          <w:tcW w:w="7029" w:type="dxa"/>
          <w:vAlign w:val="bottom"/>
          <w:hideMark/>
        </w:tcPr>
        <w:p w:rsidR="00E51628" w:rsidRPr="00DD228C" w:rsidRDefault="00E51628" w:rsidP="00E51628">
          <w:pPr>
            <w:tabs>
              <w:tab w:val="center" w:pos="4536"/>
              <w:tab w:val="right" w:pos="9072"/>
              <w:tab w:val="left" w:pos="9781"/>
            </w:tabs>
            <w:spacing w:before="0"/>
            <w:jc w:val="center"/>
            <w:rPr>
              <w:sz w:val="20"/>
            </w:rPr>
          </w:pPr>
          <w:r w:rsidRPr="00DD228C">
            <w:rPr>
              <w:rFonts w:eastAsiaTheme="minorHAnsi" w:cstheme="minorBidi"/>
              <w:noProof/>
              <w:sz w:val="20"/>
            </w:rPr>
            <w:drawing>
              <wp:inline distT="0" distB="0" distL="0" distR="0" wp14:anchorId="2EE09D03" wp14:editId="79F44DE9">
                <wp:extent cx="1440815" cy="387985"/>
                <wp:effectExtent l="0" t="0" r="698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387985"/>
                        </a:xfrm>
                        <a:prstGeom prst="rect">
                          <a:avLst/>
                        </a:prstGeom>
                        <a:noFill/>
                        <a:ln>
                          <a:noFill/>
                        </a:ln>
                      </pic:spPr>
                    </pic:pic>
                  </a:graphicData>
                </a:graphic>
              </wp:inline>
            </w:drawing>
          </w:r>
        </w:p>
      </w:tc>
      <w:tc>
        <w:tcPr>
          <w:tcW w:w="7029" w:type="dxa"/>
          <w:vAlign w:val="bottom"/>
          <w:hideMark/>
        </w:tcPr>
        <w:p w:rsidR="00E51628" w:rsidRPr="00DD228C" w:rsidRDefault="00E51628" w:rsidP="00DD228C">
          <w:pPr>
            <w:tabs>
              <w:tab w:val="left" w:pos="2100"/>
            </w:tabs>
            <w:spacing w:before="0"/>
            <w:jc w:val="right"/>
            <w:rPr>
              <w:rFonts w:eastAsiaTheme="minorHAnsi" w:cstheme="minorBidi"/>
              <w:b/>
              <w:color w:val="00B0F0"/>
              <w:sz w:val="20"/>
              <w:lang w:eastAsia="en-US"/>
            </w:rPr>
          </w:pPr>
          <w:r w:rsidRPr="00DD228C">
            <w:rPr>
              <w:rFonts w:eastAsiaTheme="minorHAnsi" w:cstheme="minorBidi"/>
              <w:b/>
              <w:color w:val="00B0F0"/>
              <w:sz w:val="20"/>
              <w:lang w:eastAsia="en-US"/>
            </w:rPr>
            <w:t xml:space="preserve">Praxishilfe </w:t>
          </w:r>
          <w:r w:rsidR="00F55574">
            <w:rPr>
              <w:rFonts w:eastAsiaTheme="minorHAnsi" w:cstheme="minorBidi"/>
              <w:b/>
              <w:color w:val="00B0F0"/>
              <w:sz w:val="20"/>
              <w:lang w:eastAsia="en-US"/>
            </w:rPr>
            <w:t>4</w:t>
          </w:r>
          <w:r w:rsidR="00DD228C" w:rsidRPr="00DD228C">
            <w:rPr>
              <w:rFonts w:eastAsiaTheme="minorHAnsi" w:cstheme="minorBidi"/>
              <w:b/>
              <w:color w:val="00B0F0"/>
              <w:sz w:val="20"/>
              <w:lang w:eastAsia="en-US"/>
            </w:rPr>
            <w:t>/</w:t>
          </w:r>
          <w:r w:rsidR="00257135">
            <w:rPr>
              <w:rFonts w:eastAsiaTheme="minorHAnsi" w:cstheme="minorBidi"/>
              <w:b/>
              <w:color w:val="00B0F0"/>
              <w:sz w:val="20"/>
              <w:lang w:eastAsia="en-US"/>
            </w:rPr>
            <w:t>6</w:t>
          </w:r>
        </w:p>
      </w:tc>
    </w:tr>
  </w:tbl>
  <w:p w:rsidR="00B129AB" w:rsidRPr="00E51628" w:rsidRDefault="00B129AB" w:rsidP="00E51628">
    <w:pPr>
      <w:pStyle w:val="Fuzeile"/>
      <w:rPr>
        <w:rFonts w:eastAsia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4EE" w:rsidRPr="00EE217B" w:rsidRDefault="001574EE" w:rsidP="00EA66E7">
      <w:pPr>
        <w:spacing w:before="0"/>
      </w:pPr>
      <w:r w:rsidRPr="00027F72">
        <w:separator/>
      </w:r>
      <w:r w:rsidRPr="00027F72">
        <w:separator/>
      </w:r>
    </w:p>
  </w:footnote>
  <w:footnote w:type="continuationSeparator" w:id="0">
    <w:p w:rsidR="001574EE" w:rsidRPr="00711AB6" w:rsidRDefault="001574EE" w:rsidP="00EA66E7">
      <w:pPr>
        <w:spacing w:before="0"/>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135" w:rsidRDefault="002571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96" w:rsidRPr="00B73242" w:rsidRDefault="00CE0534" w:rsidP="00B73242">
    <w:pPr>
      <w:pStyle w:val="Kopfzeile"/>
      <w:pBdr>
        <w:bottom w:val="none" w:sz="0" w:space="0" w:color="auto"/>
      </w:pBdr>
      <w:spacing w:before="0"/>
      <w:rPr>
        <w:sz w:val="14"/>
        <w:szCs w:val="14"/>
      </w:rPr>
    </w:pPr>
    <w:r w:rsidRPr="005C3DEB">
      <w:rPr>
        <w:noProof/>
      </w:rPr>
      <mc:AlternateContent>
        <mc:Choice Requires="wps">
          <w:drawing>
            <wp:anchor distT="0" distB="0" distL="114300" distR="114300" simplePos="0" relativeHeight="251667456" behindDoc="0" locked="0" layoutInCell="1" allowOverlap="1" wp14:anchorId="2F69FB46" wp14:editId="0FD98B24">
              <wp:simplePos x="0" y="0"/>
              <wp:positionH relativeFrom="column">
                <wp:posOffset>8686008</wp:posOffset>
              </wp:positionH>
              <wp:positionV relativeFrom="paragraph">
                <wp:posOffset>4251643</wp:posOffset>
              </wp:positionV>
              <wp:extent cx="10718446" cy="739140"/>
              <wp:effectExtent l="0" t="1587" r="5397" b="5398"/>
              <wp:wrapNone/>
              <wp:docPr id="3" name="Textfeld 3"/>
              <wp:cNvGraphicFramePr/>
              <a:graphic xmlns:a="http://schemas.openxmlformats.org/drawingml/2006/main">
                <a:graphicData uri="http://schemas.microsoft.com/office/word/2010/wordprocessingShape">
                  <wps:wsp>
                    <wps:cNvSpPr txBox="1"/>
                    <wps:spPr>
                      <a:xfrm rot="16200000">
                        <a:off x="0" y="0"/>
                        <a:ext cx="10718446" cy="739140"/>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0534" w:rsidRPr="00CE0534" w:rsidRDefault="00CE0534" w:rsidP="00CE0534">
                          <w:pPr>
                            <w:spacing w:before="280"/>
                            <w:rPr>
                              <w:rFonts w:ascii="Futura-Book" w:hAnsi="Futura-Book"/>
                              <w:smallCaps/>
                              <w:color w:val="00B0F0"/>
                              <w:sz w:val="28"/>
                              <w:szCs w:val="28"/>
                            </w:rPr>
                          </w:pPr>
                          <w:r w:rsidRPr="00CE0534">
                            <w:rPr>
                              <w:rFonts w:ascii="Futura-Book" w:hAnsi="Futura-Book"/>
                              <w:smallCaps/>
                              <w:color w:val="00B0F0"/>
                              <w:sz w:val="28"/>
                              <w:szCs w:val="28"/>
                            </w:rPr>
                            <w:t>AUDfIT-Prüferhilfe 13/2</w:t>
                          </w:r>
                        </w:p>
                      </w:txbxContent>
                    </wps:txbx>
                    <wps:bodyPr rot="0" spcFirstLastPara="0" vertOverflow="overflow" horzOverflow="overflow" vert="horz" wrap="square" lIns="468000" tIns="0" rIns="1260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9FB46" id="_x0000_t202" coordsize="21600,21600" o:spt="202" path="m,l,21600r21600,l21600,xe">
              <v:stroke joinstyle="miter"/>
              <v:path gradientshapeok="t" o:connecttype="rect"/>
            </v:shapetype>
            <v:shape id="Textfeld 3" o:spid="_x0000_s1028" type="#_x0000_t202" style="position:absolute;left:0;text-align:left;margin-left:683.95pt;margin-top:334.8pt;width:843.95pt;height:58.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" fillcolor="yellow" stroked="f" strokeweight=".5pt">
              <v:textbox inset="13mm,0,35mm,1mm">
                <w:txbxContent>
                  <w:p w:rsidR="00CE0534" w:rsidRPr="00CE0534" w:rsidRDefault="00CE0534" w:rsidP="00CE0534">
                    <w:pPr>
                      <w:spacing w:before="280"/>
                      <w:rPr>
                        <w:rFonts w:ascii="Futura-Book" w:hAnsi="Futura-Book"/>
                        <w:smallCaps/>
                        <w:color w:val="00B0F0"/>
                        <w:sz w:val="28"/>
                        <w:szCs w:val="28"/>
                      </w:rPr>
                    </w:pPr>
                    <w:r w:rsidRPr="00CE0534">
                      <w:rPr>
                        <w:rFonts w:ascii="Futura-Book" w:hAnsi="Futura-Book"/>
                        <w:smallCaps/>
                        <w:color w:val="00B0F0"/>
                        <w:sz w:val="28"/>
                        <w:szCs w:val="28"/>
                      </w:rPr>
                      <w:t>AUDfIT-Prüferhilfe 13/2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96" w:rsidRPr="00F54741" w:rsidRDefault="001E1F96" w:rsidP="00F54741">
    <w:pPr>
      <w:pStyle w:val="Kopfzeile"/>
      <w:pBdr>
        <w:bottom w:val="none" w:sz="0" w:space="0" w:color="auto"/>
      </w:pBdr>
      <w:spacing w:before="0"/>
      <w:contextualSpacing/>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11593EE5"/>
    <w:multiLevelType w:val="hybridMultilevel"/>
    <w:tmpl w:val="D92E4CFE"/>
    <w:lvl w:ilvl="0" w:tplc="A93E361A">
      <w:start w:val="1"/>
      <w:numFmt w:val="bullet"/>
      <w:lvlText w:val=""/>
      <w:lvlJc w:val="left"/>
      <w:pPr>
        <w:ind w:left="360" w:hanging="360"/>
      </w:pPr>
      <w:rPr>
        <w:rFonts w:ascii="Symbol" w:hAnsi="Symbol" w:hint="default"/>
        <w:spacing w:val="-560"/>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4BA5A99"/>
    <w:multiLevelType w:val="hybridMultilevel"/>
    <w:tmpl w:val="EE387520"/>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AC1E9A"/>
    <w:multiLevelType w:val="hybridMultilevel"/>
    <w:tmpl w:val="41908AA0"/>
    <w:lvl w:ilvl="0" w:tplc="04070001">
      <w:start w:val="1"/>
      <w:numFmt w:val="bullet"/>
      <w:lvlText w:val=""/>
      <w:lvlJc w:val="left"/>
      <w:pPr>
        <w:ind w:left="363" w:hanging="360"/>
      </w:pPr>
      <w:rPr>
        <w:rFonts w:ascii="Symbol" w:hAnsi="Symbol" w:hint="default"/>
      </w:rPr>
    </w:lvl>
    <w:lvl w:ilvl="1" w:tplc="04070003">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4" w15:restartNumberingAfterBreak="0">
    <w:nsid w:val="1F4D0135"/>
    <w:multiLevelType w:val="hybridMultilevel"/>
    <w:tmpl w:val="2FB6B318"/>
    <w:lvl w:ilvl="0" w:tplc="A93E361A">
      <w:start w:val="1"/>
      <w:numFmt w:val="bullet"/>
      <w:lvlText w:val=""/>
      <w:lvlJc w:val="left"/>
      <w:pPr>
        <w:ind w:left="720" w:hanging="360"/>
      </w:pPr>
      <w:rPr>
        <w:rFonts w:ascii="Symbol" w:hAnsi="Symbol" w:hint="default"/>
        <w:spacing w:val="-560"/>
        <w:u w:color="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253572"/>
    <w:multiLevelType w:val="hybridMultilevel"/>
    <w:tmpl w:val="7242EFCA"/>
    <w:lvl w:ilvl="0" w:tplc="A93E361A">
      <w:start w:val="1"/>
      <w:numFmt w:val="bullet"/>
      <w:lvlText w:val=""/>
      <w:lvlJc w:val="left"/>
      <w:pPr>
        <w:ind w:left="360" w:hanging="360"/>
      </w:pPr>
      <w:rPr>
        <w:rFonts w:ascii="Symbol" w:hAnsi="Symbol" w:hint="default"/>
        <w:spacing w:val="-560"/>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272971"/>
    <w:multiLevelType w:val="hybridMultilevel"/>
    <w:tmpl w:val="16CCF938"/>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9" w15:restartNumberingAfterBreak="0">
    <w:nsid w:val="2F852E02"/>
    <w:multiLevelType w:val="hybridMultilevel"/>
    <w:tmpl w:val="6360D2E2"/>
    <w:lvl w:ilvl="0" w:tplc="637E4684">
      <w:start w:val="1"/>
      <w:numFmt w:val="bullet"/>
      <w:lvlText w:val="-"/>
      <w:lvlJc w:val="left"/>
      <w:pPr>
        <w:ind w:left="717" w:hanging="360"/>
      </w:pPr>
      <w:rPr>
        <w:rFonts w:ascii="Symbol" w:hAnsi="Symbol" w:hint="default"/>
        <w:spacing w:val="-560"/>
        <w:u w:color="000000" w:themeColor="text1"/>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0" w15:restartNumberingAfterBreak="0">
    <w:nsid w:val="31AA71D7"/>
    <w:multiLevelType w:val="hybridMultilevel"/>
    <w:tmpl w:val="01904008"/>
    <w:lvl w:ilvl="0" w:tplc="A93E361A">
      <w:start w:val="1"/>
      <w:numFmt w:val="bullet"/>
      <w:lvlText w:val=""/>
      <w:lvlJc w:val="left"/>
      <w:pPr>
        <w:ind w:left="360" w:hanging="360"/>
      </w:pPr>
      <w:rPr>
        <w:rFonts w:ascii="Symbol" w:hAnsi="Symbol" w:hint="default"/>
        <w:spacing w:val="-560"/>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8512F9F"/>
    <w:multiLevelType w:val="hybridMultilevel"/>
    <w:tmpl w:val="EAA2FD6A"/>
    <w:lvl w:ilvl="0" w:tplc="6EF29748">
      <w:start w:val="1"/>
      <w:numFmt w:val="bullet"/>
      <w:lvlText w:val="o"/>
      <w:lvlJc w:val="left"/>
      <w:pPr>
        <w:ind w:left="2288" w:hanging="360"/>
      </w:pPr>
      <w:rPr>
        <w:rFonts w:ascii="Courier New" w:hAnsi="Courier New" w:cs="Courier New" w:hint="default"/>
        <w:color w:val="000000" w:themeColor="text1"/>
      </w:rPr>
    </w:lvl>
    <w:lvl w:ilvl="1" w:tplc="04070003" w:tentative="1">
      <w:start w:val="1"/>
      <w:numFmt w:val="bullet"/>
      <w:lvlText w:val="o"/>
      <w:lvlJc w:val="left"/>
      <w:pPr>
        <w:ind w:left="3008" w:hanging="360"/>
      </w:pPr>
      <w:rPr>
        <w:rFonts w:ascii="Courier New" w:hAnsi="Courier New" w:cs="Courier New" w:hint="default"/>
      </w:rPr>
    </w:lvl>
    <w:lvl w:ilvl="2" w:tplc="04070005" w:tentative="1">
      <w:start w:val="1"/>
      <w:numFmt w:val="bullet"/>
      <w:lvlText w:val=""/>
      <w:lvlJc w:val="left"/>
      <w:pPr>
        <w:ind w:left="3728" w:hanging="360"/>
      </w:pPr>
      <w:rPr>
        <w:rFonts w:ascii="Wingdings" w:hAnsi="Wingdings" w:hint="default"/>
      </w:rPr>
    </w:lvl>
    <w:lvl w:ilvl="3" w:tplc="04070001" w:tentative="1">
      <w:start w:val="1"/>
      <w:numFmt w:val="bullet"/>
      <w:lvlText w:val=""/>
      <w:lvlJc w:val="left"/>
      <w:pPr>
        <w:ind w:left="4448" w:hanging="360"/>
      </w:pPr>
      <w:rPr>
        <w:rFonts w:ascii="Symbol" w:hAnsi="Symbol" w:hint="default"/>
      </w:rPr>
    </w:lvl>
    <w:lvl w:ilvl="4" w:tplc="04070003" w:tentative="1">
      <w:start w:val="1"/>
      <w:numFmt w:val="bullet"/>
      <w:lvlText w:val="o"/>
      <w:lvlJc w:val="left"/>
      <w:pPr>
        <w:ind w:left="5168" w:hanging="360"/>
      </w:pPr>
      <w:rPr>
        <w:rFonts w:ascii="Courier New" w:hAnsi="Courier New" w:cs="Courier New" w:hint="default"/>
      </w:rPr>
    </w:lvl>
    <w:lvl w:ilvl="5" w:tplc="04070005" w:tentative="1">
      <w:start w:val="1"/>
      <w:numFmt w:val="bullet"/>
      <w:lvlText w:val=""/>
      <w:lvlJc w:val="left"/>
      <w:pPr>
        <w:ind w:left="5888" w:hanging="360"/>
      </w:pPr>
      <w:rPr>
        <w:rFonts w:ascii="Wingdings" w:hAnsi="Wingdings" w:hint="default"/>
      </w:rPr>
    </w:lvl>
    <w:lvl w:ilvl="6" w:tplc="04070001" w:tentative="1">
      <w:start w:val="1"/>
      <w:numFmt w:val="bullet"/>
      <w:lvlText w:val=""/>
      <w:lvlJc w:val="left"/>
      <w:pPr>
        <w:ind w:left="6608" w:hanging="360"/>
      </w:pPr>
      <w:rPr>
        <w:rFonts w:ascii="Symbol" w:hAnsi="Symbol" w:hint="default"/>
      </w:rPr>
    </w:lvl>
    <w:lvl w:ilvl="7" w:tplc="04070003" w:tentative="1">
      <w:start w:val="1"/>
      <w:numFmt w:val="bullet"/>
      <w:lvlText w:val="o"/>
      <w:lvlJc w:val="left"/>
      <w:pPr>
        <w:ind w:left="7328" w:hanging="360"/>
      </w:pPr>
      <w:rPr>
        <w:rFonts w:ascii="Courier New" w:hAnsi="Courier New" w:cs="Courier New" w:hint="default"/>
      </w:rPr>
    </w:lvl>
    <w:lvl w:ilvl="8" w:tplc="04070005" w:tentative="1">
      <w:start w:val="1"/>
      <w:numFmt w:val="bullet"/>
      <w:lvlText w:val=""/>
      <w:lvlJc w:val="left"/>
      <w:pPr>
        <w:ind w:left="8048" w:hanging="360"/>
      </w:pPr>
      <w:rPr>
        <w:rFonts w:ascii="Wingdings" w:hAnsi="Wingdings" w:hint="default"/>
      </w:rPr>
    </w:lvl>
  </w:abstractNum>
  <w:abstractNum w:abstractNumId="22" w15:restartNumberingAfterBreak="0">
    <w:nsid w:val="38B079D7"/>
    <w:multiLevelType w:val="hybridMultilevel"/>
    <w:tmpl w:val="1AA8052E"/>
    <w:lvl w:ilvl="0" w:tplc="04070001">
      <w:start w:val="1"/>
      <w:numFmt w:val="bullet"/>
      <w:lvlText w:val=""/>
      <w:lvlJc w:val="left"/>
      <w:pPr>
        <w:ind w:left="720" w:hanging="360"/>
      </w:pPr>
      <w:rPr>
        <w:rFonts w:ascii="Symbol" w:hAnsi="Symbol" w:hint="default"/>
      </w:rPr>
    </w:lvl>
    <w:lvl w:ilvl="1" w:tplc="86DC1302">
      <w:start w:val="1"/>
      <w:numFmt w:val="bullet"/>
      <w:lvlText w:val="o"/>
      <w:lvlJc w:val="left"/>
      <w:pPr>
        <w:ind w:left="1440" w:hanging="360"/>
      </w:pPr>
      <w:rPr>
        <w:rFonts w:ascii="Courier New" w:hAnsi="Courier New" w:hint="default"/>
        <w:color w:val="000000" w:themeColor="text1"/>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17387B"/>
    <w:multiLevelType w:val="hybridMultilevel"/>
    <w:tmpl w:val="01BA9B92"/>
    <w:lvl w:ilvl="0" w:tplc="637E4684">
      <w:start w:val="1"/>
      <w:numFmt w:val="bullet"/>
      <w:lvlText w:val="-"/>
      <w:lvlJc w:val="left"/>
      <w:pPr>
        <w:ind w:left="720" w:hanging="360"/>
      </w:pPr>
      <w:rPr>
        <w:rFonts w:ascii="Symbol" w:hAnsi="Symbol"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C04D11"/>
    <w:multiLevelType w:val="hybridMultilevel"/>
    <w:tmpl w:val="76E8203E"/>
    <w:lvl w:ilvl="0" w:tplc="637E4684">
      <w:start w:val="1"/>
      <w:numFmt w:val="bullet"/>
      <w:lvlText w:val="-"/>
      <w:lvlJc w:val="left"/>
      <w:pPr>
        <w:ind w:left="720" w:hanging="360"/>
      </w:pPr>
      <w:rPr>
        <w:rFonts w:ascii="Symbol" w:hAnsi="Symbol"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791134"/>
    <w:multiLevelType w:val="hybridMultilevel"/>
    <w:tmpl w:val="33E2DB5E"/>
    <w:lvl w:ilvl="0" w:tplc="48683B70">
      <w:start w:val="1"/>
      <w:numFmt w:val="bullet"/>
      <w:lvlText w:val=""/>
      <w:lvlJc w:val="left"/>
      <w:pPr>
        <w:ind w:left="1568" w:hanging="360"/>
      </w:pPr>
      <w:rPr>
        <w:rFonts w:ascii="Symbol" w:hAnsi="Symbol" w:hint="default"/>
        <w:color w:val="000000" w:themeColor="text1"/>
      </w:rPr>
    </w:lvl>
    <w:lvl w:ilvl="1" w:tplc="04070003" w:tentative="1">
      <w:start w:val="1"/>
      <w:numFmt w:val="bullet"/>
      <w:lvlText w:val="o"/>
      <w:lvlJc w:val="left"/>
      <w:pPr>
        <w:ind w:left="2288" w:hanging="360"/>
      </w:pPr>
      <w:rPr>
        <w:rFonts w:ascii="Courier New" w:hAnsi="Courier New" w:cs="Courier New" w:hint="default"/>
      </w:rPr>
    </w:lvl>
    <w:lvl w:ilvl="2" w:tplc="04070005" w:tentative="1">
      <w:start w:val="1"/>
      <w:numFmt w:val="bullet"/>
      <w:lvlText w:val=""/>
      <w:lvlJc w:val="left"/>
      <w:pPr>
        <w:ind w:left="3008" w:hanging="360"/>
      </w:pPr>
      <w:rPr>
        <w:rFonts w:ascii="Wingdings" w:hAnsi="Wingdings" w:hint="default"/>
      </w:rPr>
    </w:lvl>
    <w:lvl w:ilvl="3" w:tplc="04070001" w:tentative="1">
      <w:start w:val="1"/>
      <w:numFmt w:val="bullet"/>
      <w:lvlText w:val=""/>
      <w:lvlJc w:val="left"/>
      <w:pPr>
        <w:ind w:left="3728" w:hanging="360"/>
      </w:pPr>
      <w:rPr>
        <w:rFonts w:ascii="Symbol" w:hAnsi="Symbol" w:hint="default"/>
      </w:rPr>
    </w:lvl>
    <w:lvl w:ilvl="4" w:tplc="04070003" w:tentative="1">
      <w:start w:val="1"/>
      <w:numFmt w:val="bullet"/>
      <w:lvlText w:val="o"/>
      <w:lvlJc w:val="left"/>
      <w:pPr>
        <w:ind w:left="4448" w:hanging="360"/>
      </w:pPr>
      <w:rPr>
        <w:rFonts w:ascii="Courier New" w:hAnsi="Courier New" w:cs="Courier New" w:hint="default"/>
      </w:rPr>
    </w:lvl>
    <w:lvl w:ilvl="5" w:tplc="04070005" w:tentative="1">
      <w:start w:val="1"/>
      <w:numFmt w:val="bullet"/>
      <w:lvlText w:val=""/>
      <w:lvlJc w:val="left"/>
      <w:pPr>
        <w:ind w:left="5168" w:hanging="360"/>
      </w:pPr>
      <w:rPr>
        <w:rFonts w:ascii="Wingdings" w:hAnsi="Wingdings" w:hint="default"/>
      </w:rPr>
    </w:lvl>
    <w:lvl w:ilvl="6" w:tplc="04070001" w:tentative="1">
      <w:start w:val="1"/>
      <w:numFmt w:val="bullet"/>
      <w:lvlText w:val=""/>
      <w:lvlJc w:val="left"/>
      <w:pPr>
        <w:ind w:left="5888" w:hanging="360"/>
      </w:pPr>
      <w:rPr>
        <w:rFonts w:ascii="Symbol" w:hAnsi="Symbol" w:hint="default"/>
      </w:rPr>
    </w:lvl>
    <w:lvl w:ilvl="7" w:tplc="04070003" w:tentative="1">
      <w:start w:val="1"/>
      <w:numFmt w:val="bullet"/>
      <w:lvlText w:val="o"/>
      <w:lvlJc w:val="left"/>
      <w:pPr>
        <w:ind w:left="6608" w:hanging="360"/>
      </w:pPr>
      <w:rPr>
        <w:rFonts w:ascii="Courier New" w:hAnsi="Courier New" w:cs="Courier New" w:hint="default"/>
      </w:rPr>
    </w:lvl>
    <w:lvl w:ilvl="8" w:tplc="04070005" w:tentative="1">
      <w:start w:val="1"/>
      <w:numFmt w:val="bullet"/>
      <w:lvlText w:val=""/>
      <w:lvlJc w:val="left"/>
      <w:pPr>
        <w:ind w:left="7328" w:hanging="360"/>
      </w:pPr>
      <w:rPr>
        <w:rFonts w:ascii="Wingdings" w:hAnsi="Wingdings" w:hint="default"/>
      </w:rPr>
    </w:lvl>
  </w:abstractNum>
  <w:abstractNum w:abstractNumId="26" w15:restartNumberingAfterBreak="0">
    <w:nsid w:val="55C54140"/>
    <w:multiLevelType w:val="hybridMultilevel"/>
    <w:tmpl w:val="F33CC73E"/>
    <w:lvl w:ilvl="0" w:tplc="BD12FF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CC7277"/>
    <w:multiLevelType w:val="hybridMultilevel"/>
    <w:tmpl w:val="3EF0CDCE"/>
    <w:lvl w:ilvl="0" w:tplc="637E4684">
      <w:start w:val="1"/>
      <w:numFmt w:val="bullet"/>
      <w:lvlText w:val="-"/>
      <w:lvlJc w:val="left"/>
      <w:pPr>
        <w:ind w:left="720" w:hanging="360"/>
      </w:pPr>
      <w:rPr>
        <w:rFonts w:ascii="Symbol" w:hAnsi="Symbol"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30" w15:restartNumberingAfterBreak="0">
    <w:nsid w:val="660769D9"/>
    <w:multiLevelType w:val="hybridMultilevel"/>
    <w:tmpl w:val="EF58C17C"/>
    <w:lvl w:ilvl="0" w:tplc="637E4684">
      <w:start w:val="1"/>
      <w:numFmt w:val="bullet"/>
      <w:lvlText w:val="-"/>
      <w:lvlJc w:val="left"/>
      <w:pPr>
        <w:ind w:left="720" w:hanging="360"/>
      </w:pPr>
      <w:rPr>
        <w:rFonts w:ascii="Symbol" w:hAnsi="Symbol" w:hint="default"/>
        <w:spacing w:val="-560"/>
        <w:u w:color="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050C01"/>
    <w:multiLevelType w:val="hybridMultilevel"/>
    <w:tmpl w:val="56882D7C"/>
    <w:lvl w:ilvl="0" w:tplc="0407000F">
      <w:start w:val="1"/>
      <w:numFmt w:val="decimal"/>
      <w:lvlText w:val="%1."/>
      <w:lvlJc w:val="left"/>
      <w:pPr>
        <w:ind w:left="720" w:hanging="360"/>
      </w:pPr>
      <w:rPr>
        <w:rFonts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277302"/>
    <w:multiLevelType w:val="hybridMultilevel"/>
    <w:tmpl w:val="D6202234"/>
    <w:lvl w:ilvl="0" w:tplc="637E4684">
      <w:start w:val="1"/>
      <w:numFmt w:val="bullet"/>
      <w:lvlText w:val="-"/>
      <w:lvlJc w:val="left"/>
      <w:pPr>
        <w:ind w:left="720" w:hanging="360"/>
      </w:pPr>
      <w:rPr>
        <w:rFonts w:ascii="Symbol" w:hAnsi="Symbol"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34" w15:restartNumberingAfterBreak="0">
    <w:nsid w:val="7DE16DD6"/>
    <w:multiLevelType w:val="hybridMultilevel"/>
    <w:tmpl w:val="EAF09F0E"/>
    <w:lvl w:ilvl="0" w:tplc="637E4684">
      <w:start w:val="1"/>
      <w:numFmt w:val="bullet"/>
      <w:lvlText w:val="-"/>
      <w:lvlJc w:val="left"/>
      <w:pPr>
        <w:ind w:left="720" w:hanging="360"/>
      </w:pPr>
      <w:rPr>
        <w:rFonts w:ascii="Symbol" w:hAnsi="Symbol" w:hint="default"/>
        <w:spacing w:val="-560"/>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29"/>
  </w:num>
  <w:num w:numId="12">
    <w:abstractNumId w:val="11"/>
  </w:num>
  <w:num w:numId="13">
    <w:abstractNumId w:val="12"/>
  </w:num>
  <w:num w:numId="14">
    <w:abstractNumId w:val="27"/>
  </w:num>
  <w:num w:numId="15">
    <w:abstractNumId w:val="16"/>
  </w:num>
  <w:num w:numId="16">
    <w:abstractNumId w:val="15"/>
  </w:num>
  <w:num w:numId="17">
    <w:abstractNumId w:val="9"/>
  </w:num>
  <w:num w:numId="18">
    <w:abstractNumId w:val="23"/>
  </w:num>
  <w:num w:numId="19">
    <w:abstractNumId w:val="28"/>
  </w:num>
  <w:num w:numId="20">
    <w:abstractNumId w:val="20"/>
  </w:num>
  <w:num w:numId="21">
    <w:abstractNumId w:val="32"/>
  </w:num>
  <w:num w:numId="22">
    <w:abstractNumId w:val="14"/>
  </w:num>
  <w:num w:numId="23">
    <w:abstractNumId w:val="24"/>
  </w:num>
  <w:num w:numId="24">
    <w:abstractNumId w:val="31"/>
  </w:num>
  <w:num w:numId="25">
    <w:abstractNumId w:val="17"/>
  </w:num>
  <w:num w:numId="26">
    <w:abstractNumId w:val="19"/>
  </w:num>
  <w:num w:numId="27">
    <w:abstractNumId w:val="30"/>
  </w:num>
  <w:num w:numId="28">
    <w:abstractNumId w:val="34"/>
  </w:num>
  <w:num w:numId="29">
    <w:abstractNumId w:val="25"/>
  </w:num>
  <w:num w:numId="30">
    <w:abstractNumId w:val="21"/>
  </w:num>
  <w:num w:numId="31">
    <w:abstractNumId w:val="13"/>
  </w:num>
  <w:num w:numId="32">
    <w:abstractNumId w:val="10"/>
  </w:num>
  <w:num w:numId="33">
    <w:abstractNumId w:val="18"/>
  </w:num>
  <w:num w:numId="34">
    <w:abstractNumId w:val="26"/>
  </w:num>
  <w:num w:numId="35">
    <w:abstractNumId w:val="22"/>
  </w:num>
  <w:num w:numId="3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4EE"/>
    <w:rsid w:val="00002230"/>
    <w:rsid w:val="00002EED"/>
    <w:rsid w:val="000030A9"/>
    <w:rsid w:val="0001477C"/>
    <w:rsid w:val="0003242D"/>
    <w:rsid w:val="0004061E"/>
    <w:rsid w:val="0005326E"/>
    <w:rsid w:val="000616B8"/>
    <w:rsid w:val="00064F40"/>
    <w:rsid w:val="00075E7C"/>
    <w:rsid w:val="00080B9A"/>
    <w:rsid w:val="00086B8A"/>
    <w:rsid w:val="00097B2B"/>
    <w:rsid w:val="000B1337"/>
    <w:rsid w:val="000E26F7"/>
    <w:rsid w:val="000E7FEB"/>
    <w:rsid w:val="00111AC6"/>
    <w:rsid w:val="001205E2"/>
    <w:rsid w:val="001227C6"/>
    <w:rsid w:val="00143F11"/>
    <w:rsid w:val="00150E36"/>
    <w:rsid w:val="001574EE"/>
    <w:rsid w:val="00162F29"/>
    <w:rsid w:val="00165A53"/>
    <w:rsid w:val="00174BA7"/>
    <w:rsid w:val="0019585B"/>
    <w:rsid w:val="001A1B58"/>
    <w:rsid w:val="001A6439"/>
    <w:rsid w:val="001B3F50"/>
    <w:rsid w:val="001B7E25"/>
    <w:rsid w:val="001C0D6B"/>
    <w:rsid w:val="001C1789"/>
    <w:rsid w:val="001D22E2"/>
    <w:rsid w:val="001D6478"/>
    <w:rsid w:val="001E1F96"/>
    <w:rsid w:val="001E38E2"/>
    <w:rsid w:val="001E3D90"/>
    <w:rsid w:val="001E7A82"/>
    <w:rsid w:val="001F04DD"/>
    <w:rsid w:val="002065BE"/>
    <w:rsid w:val="0021047B"/>
    <w:rsid w:val="00217B0C"/>
    <w:rsid w:val="00226806"/>
    <w:rsid w:val="002305AB"/>
    <w:rsid w:val="00235797"/>
    <w:rsid w:val="00257135"/>
    <w:rsid w:val="00257647"/>
    <w:rsid w:val="002717FB"/>
    <w:rsid w:val="00277292"/>
    <w:rsid w:val="00284FA6"/>
    <w:rsid w:val="00285560"/>
    <w:rsid w:val="00290924"/>
    <w:rsid w:val="0029592F"/>
    <w:rsid w:val="002A064F"/>
    <w:rsid w:val="002B17CE"/>
    <w:rsid w:val="002B298F"/>
    <w:rsid w:val="002B6AD6"/>
    <w:rsid w:val="002D0908"/>
    <w:rsid w:val="002D7E2D"/>
    <w:rsid w:val="002F09D8"/>
    <w:rsid w:val="002F6B99"/>
    <w:rsid w:val="002F709B"/>
    <w:rsid w:val="002F771F"/>
    <w:rsid w:val="00304066"/>
    <w:rsid w:val="00304799"/>
    <w:rsid w:val="00340216"/>
    <w:rsid w:val="00342964"/>
    <w:rsid w:val="00352142"/>
    <w:rsid w:val="00364269"/>
    <w:rsid w:val="00376DCD"/>
    <w:rsid w:val="00380CF4"/>
    <w:rsid w:val="00382BCD"/>
    <w:rsid w:val="003932A1"/>
    <w:rsid w:val="003A6FEB"/>
    <w:rsid w:val="003E348F"/>
    <w:rsid w:val="003F1B18"/>
    <w:rsid w:val="0041402E"/>
    <w:rsid w:val="00433509"/>
    <w:rsid w:val="00440D21"/>
    <w:rsid w:val="00445BB8"/>
    <w:rsid w:val="0044742E"/>
    <w:rsid w:val="00454705"/>
    <w:rsid w:val="00455B98"/>
    <w:rsid w:val="00465DB3"/>
    <w:rsid w:val="004867BC"/>
    <w:rsid w:val="0049126F"/>
    <w:rsid w:val="004B2234"/>
    <w:rsid w:val="004B5526"/>
    <w:rsid w:val="004B5A8E"/>
    <w:rsid w:val="004B6415"/>
    <w:rsid w:val="004C60FF"/>
    <w:rsid w:val="004D6C91"/>
    <w:rsid w:val="004E699D"/>
    <w:rsid w:val="004F1C26"/>
    <w:rsid w:val="004F1E92"/>
    <w:rsid w:val="0050152B"/>
    <w:rsid w:val="005060F4"/>
    <w:rsid w:val="005158D1"/>
    <w:rsid w:val="00525367"/>
    <w:rsid w:val="00525CDB"/>
    <w:rsid w:val="00527267"/>
    <w:rsid w:val="005473EF"/>
    <w:rsid w:val="0055136F"/>
    <w:rsid w:val="005514CA"/>
    <w:rsid w:val="0055156D"/>
    <w:rsid w:val="00567521"/>
    <w:rsid w:val="00570EF1"/>
    <w:rsid w:val="00583AA1"/>
    <w:rsid w:val="005913EC"/>
    <w:rsid w:val="005921A2"/>
    <w:rsid w:val="005967E6"/>
    <w:rsid w:val="005B57D7"/>
    <w:rsid w:val="005B7F7F"/>
    <w:rsid w:val="005D26BD"/>
    <w:rsid w:val="005D2A74"/>
    <w:rsid w:val="005E07BD"/>
    <w:rsid w:val="005F6F40"/>
    <w:rsid w:val="00606EF1"/>
    <w:rsid w:val="0061020A"/>
    <w:rsid w:val="006225D2"/>
    <w:rsid w:val="006454CF"/>
    <w:rsid w:val="0065198F"/>
    <w:rsid w:val="0066763B"/>
    <w:rsid w:val="00680829"/>
    <w:rsid w:val="00684B37"/>
    <w:rsid w:val="00696C1C"/>
    <w:rsid w:val="006B301C"/>
    <w:rsid w:val="006C4228"/>
    <w:rsid w:val="006D45A1"/>
    <w:rsid w:val="006E24F6"/>
    <w:rsid w:val="006E7126"/>
    <w:rsid w:val="006F08D9"/>
    <w:rsid w:val="007026D1"/>
    <w:rsid w:val="00711AB6"/>
    <w:rsid w:val="00716DD5"/>
    <w:rsid w:val="00720E5C"/>
    <w:rsid w:val="00744772"/>
    <w:rsid w:val="0075013A"/>
    <w:rsid w:val="0076077C"/>
    <w:rsid w:val="00761C32"/>
    <w:rsid w:val="00763FC1"/>
    <w:rsid w:val="007648E0"/>
    <w:rsid w:val="00765666"/>
    <w:rsid w:val="0078728B"/>
    <w:rsid w:val="00790130"/>
    <w:rsid w:val="00796513"/>
    <w:rsid w:val="007A060E"/>
    <w:rsid w:val="007A3E0C"/>
    <w:rsid w:val="007D3976"/>
    <w:rsid w:val="007E0249"/>
    <w:rsid w:val="007F3A7C"/>
    <w:rsid w:val="00802ED4"/>
    <w:rsid w:val="00805892"/>
    <w:rsid w:val="0081072B"/>
    <w:rsid w:val="00822866"/>
    <w:rsid w:val="008471C9"/>
    <w:rsid w:val="00855B99"/>
    <w:rsid w:val="00862DDF"/>
    <w:rsid w:val="00870FFE"/>
    <w:rsid w:val="00872C95"/>
    <w:rsid w:val="00872F5F"/>
    <w:rsid w:val="0087591D"/>
    <w:rsid w:val="0088020C"/>
    <w:rsid w:val="00884570"/>
    <w:rsid w:val="00891EEA"/>
    <w:rsid w:val="008976BA"/>
    <w:rsid w:val="008A5560"/>
    <w:rsid w:val="008C44B0"/>
    <w:rsid w:val="008D1A8E"/>
    <w:rsid w:val="008E0FC7"/>
    <w:rsid w:val="00902F9C"/>
    <w:rsid w:val="009075A9"/>
    <w:rsid w:val="009212B4"/>
    <w:rsid w:val="00930130"/>
    <w:rsid w:val="00936D20"/>
    <w:rsid w:val="00953403"/>
    <w:rsid w:val="00956AA7"/>
    <w:rsid w:val="00964596"/>
    <w:rsid w:val="0098077A"/>
    <w:rsid w:val="009A6E64"/>
    <w:rsid w:val="009B3B3C"/>
    <w:rsid w:val="009C27EB"/>
    <w:rsid w:val="009C2FF2"/>
    <w:rsid w:val="009D429E"/>
    <w:rsid w:val="009D4B68"/>
    <w:rsid w:val="009E1FB1"/>
    <w:rsid w:val="009F0481"/>
    <w:rsid w:val="009F4342"/>
    <w:rsid w:val="009F6E01"/>
    <w:rsid w:val="00A021C2"/>
    <w:rsid w:val="00A06317"/>
    <w:rsid w:val="00A237ED"/>
    <w:rsid w:val="00A31197"/>
    <w:rsid w:val="00A5114A"/>
    <w:rsid w:val="00A613A1"/>
    <w:rsid w:val="00A649A3"/>
    <w:rsid w:val="00A7113B"/>
    <w:rsid w:val="00A75CE3"/>
    <w:rsid w:val="00A8486F"/>
    <w:rsid w:val="00AC17EE"/>
    <w:rsid w:val="00AD6CAE"/>
    <w:rsid w:val="00AE290A"/>
    <w:rsid w:val="00AF1983"/>
    <w:rsid w:val="00B05028"/>
    <w:rsid w:val="00B129AB"/>
    <w:rsid w:val="00B13741"/>
    <w:rsid w:val="00B15817"/>
    <w:rsid w:val="00B22993"/>
    <w:rsid w:val="00B261B2"/>
    <w:rsid w:val="00B36043"/>
    <w:rsid w:val="00B47E26"/>
    <w:rsid w:val="00B6345C"/>
    <w:rsid w:val="00B73242"/>
    <w:rsid w:val="00B77530"/>
    <w:rsid w:val="00B91EC6"/>
    <w:rsid w:val="00B96FA2"/>
    <w:rsid w:val="00B9728F"/>
    <w:rsid w:val="00BA02EC"/>
    <w:rsid w:val="00BA1564"/>
    <w:rsid w:val="00BA7590"/>
    <w:rsid w:val="00BC6A51"/>
    <w:rsid w:val="00BD2864"/>
    <w:rsid w:val="00BD37FF"/>
    <w:rsid w:val="00BD62C0"/>
    <w:rsid w:val="00BE368B"/>
    <w:rsid w:val="00BF0354"/>
    <w:rsid w:val="00BF7EB9"/>
    <w:rsid w:val="00C07CF5"/>
    <w:rsid w:val="00C24E59"/>
    <w:rsid w:val="00C32469"/>
    <w:rsid w:val="00C43D74"/>
    <w:rsid w:val="00C470A2"/>
    <w:rsid w:val="00C65D58"/>
    <w:rsid w:val="00C8522D"/>
    <w:rsid w:val="00C91AC1"/>
    <w:rsid w:val="00C940C7"/>
    <w:rsid w:val="00CA6FFC"/>
    <w:rsid w:val="00CB24C7"/>
    <w:rsid w:val="00CC19EF"/>
    <w:rsid w:val="00CC2752"/>
    <w:rsid w:val="00CD1A9A"/>
    <w:rsid w:val="00CE0534"/>
    <w:rsid w:val="00CE73C2"/>
    <w:rsid w:val="00D07E88"/>
    <w:rsid w:val="00D13BD1"/>
    <w:rsid w:val="00D45365"/>
    <w:rsid w:val="00D61222"/>
    <w:rsid w:val="00D933E3"/>
    <w:rsid w:val="00DA6374"/>
    <w:rsid w:val="00DB3B77"/>
    <w:rsid w:val="00DD228C"/>
    <w:rsid w:val="00DD3447"/>
    <w:rsid w:val="00DD5810"/>
    <w:rsid w:val="00DE10AB"/>
    <w:rsid w:val="00DE2B44"/>
    <w:rsid w:val="00DE45B1"/>
    <w:rsid w:val="00E016C0"/>
    <w:rsid w:val="00E342CA"/>
    <w:rsid w:val="00E368C3"/>
    <w:rsid w:val="00E50734"/>
    <w:rsid w:val="00E51628"/>
    <w:rsid w:val="00E54CF5"/>
    <w:rsid w:val="00E57522"/>
    <w:rsid w:val="00E57793"/>
    <w:rsid w:val="00E61BCD"/>
    <w:rsid w:val="00E77518"/>
    <w:rsid w:val="00EA66E7"/>
    <w:rsid w:val="00EA74B3"/>
    <w:rsid w:val="00EC00F0"/>
    <w:rsid w:val="00EE0117"/>
    <w:rsid w:val="00EE217B"/>
    <w:rsid w:val="00EF2558"/>
    <w:rsid w:val="00F029CC"/>
    <w:rsid w:val="00F02A61"/>
    <w:rsid w:val="00F113C0"/>
    <w:rsid w:val="00F2421E"/>
    <w:rsid w:val="00F3121A"/>
    <w:rsid w:val="00F35247"/>
    <w:rsid w:val="00F508B7"/>
    <w:rsid w:val="00F51F9C"/>
    <w:rsid w:val="00F54741"/>
    <w:rsid w:val="00F55574"/>
    <w:rsid w:val="00F579A0"/>
    <w:rsid w:val="00F60FA7"/>
    <w:rsid w:val="00F613F5"/>
    <w:rsid w:val="00F672A4"/>
    <w:rsid w:val="00F80032"/>
    <w:rsid w:val="00F87375"/>
    <w:rsid w:val="00F920AB"/>
    <w:rsid w:val="00FA1E51"/>
    <w:rsid w:val="00FA479B"/>
    <w:rsid w:val="00FB19BE"/>
    <w:rsid w:val="00FB74D4"/>
    <w:rsid w:val="00FD0600"/>
    <w:rsid w:val="00FD6CCC"/>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B39E89D"/>
  <w15:docId w15:val="{1523F093-376C-413B-ACFC-333A0E8C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qFormat/>
    <w:pPr>
      <w:numPr>
        <w:ilvl w:val="4"/>
      </w:numPr>
      <w:ind w:left="720" w:hanging="720"/>
      <w:outlineLvl w:val="4"/>
    </w:pPr>
  </w:style>
  <w:style w:type="paragraph" w:styleId="berschrift6">
    <w:name w:val="heading 6"/>
    <w:basedOn w:val="berschrift5"/>
    <w:next w:val="Standard"/>
    <w:qFormat/>
    <w:pPr>
      <w:numPr>
        <w:ilvl w:val="5"/>
      </w:numPr>
      <w:ind w:left="720" w:hanging="720"/>
      <w:outlineLvl w:val="5"/>
    </w:pPr>
  </w:style>
  <w:style w:type="paragraph" w:styleId="berschrift7">
    <w:name w:val="heading 7"/>
    <w:basedOn w:val="berschrift6"/>
    <w:next w:val="Standard"/>
    <w:qFormat/>
    <w:pPr>
      <w:numPr>
        <w:ilvl w:val="6"/>
      </w:numPr>
      <w:ind w:left="720" w:hanging="720"/>
      <w:outlineLvl w:val="6"/>
    </w:pPr>
  </w:style>
  <w:style w:type="paragraph" w:styleId="berschrift8">
    <w:name w:val="heading 8"/>
    <w:basedOn w:val="berschrift7"/>
    <w:next w:val="Standard"/>
    <w:qFormat/>
    <w:pPr>
      <w:numPr>
        <w:ilvl w:val="7"/>
      </w:numPr>
      <w:ind w:left="720" w:hanging="720"/>
      <w:outlineLvl w:val="7"/>
    </w:pPr>
  </w:style>
  <w:style w:type="paragraph" w:styleId="berschrift9">
    <w:name w:val="heading 9"/>
    <w:basedOn w:val="berschrift8"/>
    <w:next w:val="Standard"/>
    <w:qFormat/>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_A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2FE3346F-3E08-4D8E-A3D0-7974BDF5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_320_Muster_Prüferhilfe_A3.dotx</Template>
  <TotalTime>0</TotalTime>
  <Pages>1</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Hirth, Tina - LÖSLE</cp:lastModifiedBy>
  <cp:revision>42</cp:revision>
  <cp:lastPrinted>2025-09-12T09:08:00Z</cp:lastPrinted>
  <dcterms:created xsi:type="dcterms:W3CDTF">2018-08-17T07:57:00Z</dcterms:created>
  <dcterms:modified xsi:type="dcterms:W3CDTF">2025-09-19T05:51:00Z</dcterms:modified>
</cp:coreProperties>
</file>