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F1C5"/>
        <w:tblLook w:val="04A0" w:firstRow="1" w:lastRow="0" w:firstColumn="1" w:lastColumn="0" w:noHBand="0" w:noVBand="1"/>
      </w:tblPr>
      <w:tblGrid>
        <w:gridCol w:w="8648"/>
        <w:gridCol w:w="424"/>
      </w:tblGrid>
      <w:tr w:rsidR="00AF76A2" w:rsidRPr="000503CF" w:rsidTr="008353C3">
        <w:trPr>
          <w:cantSplit/>
          <w:trHeight w:val="830"/>
        </w:trPr>
        <w:tc>
          <w:tcPr>
            <w:tcW w:w="8648" w:type="dxa"/>
            <w:shd w:val="clear" w:color="auto" w:fill="C5F1C5"/>
            <w:tcMar>
              <w:top w:w="113" w:type="dxa"/>
              <w:bottom w:w="113" w:type="dxa"/>
            </w:tcMar>
            <w:vAlign w:val="center"/>
          </w:tcPr>
          <w:p w:rsidR="00AF76A2" w:rsidRPr="00114EA5"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AF4845">
              <w:rPr>
                <w:rFonts w:ascii="Century Gothic" w:hAnsi="Century Gothic"/>
                <w:color w:val="228B22"/>
                <w:sz w:val="28"/>
              </w:rPr>
              <w:t>E1-</w:t>
            </w:r>
            <w:r w:rsidR="00222B75">
              <w:rPr>
                <w:rFonts w:ascii="Century Gothic" w:hAnsi="Century Gothic"/>
                <w:color w:val="228B22"/>
                <w:sz w:val="28"/>
              </w:rPr>
              <w:t>3</w:t>
            </w:r>
            <w:r w:rsidR="00AF4845">
              <w:rPr>
                <w:rFonts w:ascii="Century Gothic" w:hAnsi="Century Gothic"/>
                <w:color w:val="228B22"/>
                <w:sz w:val="28"/>
              </w:rPr>
              <w:t xml:space="preserve"> – </w:t>
            </w:r>
            <w:r w:rsidR="00222B75">
              <w:rPr>
                <w:rFonts w:ascii="Century Gothic" w:hAnsi="Century Gothic"/>
                <w:color w:val="228B22"/>
                <w:sz w:val="28"/>
              </w:rPr>
              <w:t>Maßnahmen und Mittel im Zusammenhang mit den Klimastrategien</w:t>
            </w:r>
          </w:p>
        </w:tc>
        <w:tc>
          <w:tcPr>
            <w:tcW w:w="424" w:type="dxa"/>
            <w:shd w:val="clear" w:color="auto" w:fill="C5F1C5"/>
            <w:textDirection w:val="btLr"/>
            <w:vAlign w:val="center"/>
          </w:tcPr>
          <w:p w:rsidR="00AF76A2" w:rsidRPr="00184E29" w:rsidRDefault="00A62C9B" w:rsidP="00AF76A2">
            <w:pPr>
              <w:pStyle w:val="berschrift1"/>
              <w:numPr>
                <w:ilvl w:val="0"/>
                <w:numId w:val="0"/>
              </w:numPr>
              <w:ind w:left="113" w:right="113"/>
              <w:jc w:val="center"/>
              <w:rPr>
                <w:rFonts w:ascii="Century Gothic" w:hAnsi="Century Gothic"/>
                <w:b w:val="0"/>
                <w:sz w:val="12"/>
                <w:szCs w:val="12"/>
              </w:rPr>
            </w:pPr>
            <w:r w:rsidRPr="00184E29">
              <w:rPr>
                <w:rFonts w:ascii="Century Gothic" w:hAnsi="Century Gothic"/>
                <w:b w:val="0"/>
                <w:color w:val="FF0000"/>
                <w:sz w:val="12"/>
                <w:szCs w:val="12"/>
              </w:rPr>
              <w:t>0</w:t>
            </w:r>
            <w:r w:rsidR="00420309">
              <w:rPr>
                <w:rFonts w:ascii="Century Gothic" w:hAnsi="Century Gothic"/>
                <w:b w:val="0"/>
                <w:color w:val="FF0000"/>
                <w:sz w:val="12"/>
                <w:szCs w:val="12"/>
              </w:rPr>
              <w:t>8</w:t>
            </w:r>
            <w:r w:rsidRPr="00184E29">
              <w:rPr>
                <w:rFonts w:ascii="Century Gothic" w:hAnsi="Century Gothic"/>
                <w:b w:val="0"/>
                <w:color w:val="FF0000"/>
                <w:sz w:val="12"/>
                <w:szCs w:val="12"/>
              </w:rPr>
              <w:t>/2024</w:t>
            </w:r>
          </w:p>
        </w:tc>
      </w:tr>
    </w:tbl>
    <w:p w:rsidR="00666AFB" w:rsidRDefault="00666AFB" w:rsidP="008353C3">
      <w:pPr>
        <w:spacing w:before="0"/>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983"/>
        <w:gridCol w:w="6662"/>
        <w:gridCol w:w="714"/>
        <w:gridCol w:w="713"/>
      </w:tblGrid>
      <w:tr w:rsidR="008353C3" w:rsidTr="00A717FD">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8353C3" w:rsidRPr="00843B06" w:rsidRDefault="008353C3" w:rsidP="00A717FD">
            <w:pPr>
              <w:spacing w:before="0"/>
              <w:contextualSpacing/>
              <w:rPr>
                <w:color w:val="000000" w:themeColor="text1"/>
                <w:sz w:val="20"/>
                <w:szCs w:val="20"/>
              </w:rPr>
            </w:pPr>
            <w:bookmarkStart w:id="0" w:name="_Hlk168988876"/>
            <w:r w:rsidRPr="00843B06">
              <w:rPr>
                <w:color w:val="000000" w:themeColor="text1"/>
                <w:sz w:val="20"/>
                <w:szCs w:val="20"/>
              </w:rPr>
              <w:t>E1-3</w:t>
            </w:r>
          </w:p>
        </w:tc>
        <w:tc>
          <w:tcPr>
            <w:tcW w:w="6662"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8353C3" w:rsidRPr="00843B06" w:rsidRDefault="008353C3" w:rsidP="00A717FD">
            <w:pPr>
              <w:spacing w:before="0"/>
              <w:contextualSpacing/>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843B06">
              <w:rPr>
                <w:color w:val="000000" w:themeColor="text1"/>
                <w:sz w:val="20"/>
                <w:szCs w:val="20"/>
              </w:rPr>
              <w:t>Maßnahmen und Mittel im Zusammenhang mit den Klima-</w:t>
            </w:r>
            <w:r w:rsidRPr="00843B06">
              <w:rPr>
                <w:color w:val="000000" w:themeColor="text1"/>
                <w:sz w:val="20"/>
                <w:szCs w:val="20"/>
              </w:rPr>
              <w:br/>
            </w:r>
            <w:proofErr w:type="spellStart"/>
            <w:r w:rsidRPr="00843B06">
              <w:rPr>
                <w:color w:val="000000" w:themeColor="text1"/>
                <w:sz w:val="20"/>
                <w:szCs w:val="20"/>
              </w:rPr>
              <w:t>strategien</w:t>
            </w:r>
            <w:proofErr w:type="spellEnd"/>
          </w:p>
        </w:tc>
        <w:tc>
          <w:tcPr>
            <w:tcW w:w="714" w:type="dxa"/>
            <w:tcBorders>
              <w:top w:val="none" w:sz="0" w:space="0" w:color="auto"/>
              <w:left w:val="none" w:sz="0" w:space="0" w:color="auto"/>
              <w:bottom w:val="none" w:sz="0" w:space="0" w:color="auto"/>
              <w:right w:val="none" w:sz="0" w:space="0" w:color="auto"/>
            </w:tcBorders>
            <w:shd w:val="clear" w:color="auto" w:fill="auto"/>
          </w:tcPr>
          <w:p w:rsidR="008353C3" w:rsidRPr="003C0F68" w:rsidRDefault="008353C3" w:rsidP="00A717FD">
            <w:pPr>
              <w:spacing w:before="0"/>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8353C3" w:rsidRPr="003D0C3F" w:rsidRDefault="00A16041" w:rsidP="00A717FD">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22</w:t>
            </w:r>
          </w:p>
        </w:tc>
      </w:tr>
      <w:bookmarkEnd w:id="0"/>
    </w:tbl>
    <w:p w:rsidR="00E329E8" w:rsidRDefault="00E329E8" w:rsidP="00A717FD">
      <w:pPr>
        <w:spacing w:before="0"/>
        <w:contextualSpacing/>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989"/>
        <w:gridCol w:w="6240"/>
        <w:gridCol w:w="1843"/>
      </w:tblGrid>
      <w:tr w:rsidR="008353C3" w:rsidRPr="00122B7B" w:rsidTr="00A717F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353C3" w:rsidRPr="00122B7B" w:rsidRDefault="008353C3" w:rsidP="00A717FD">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8353C3" w:rsidRPr="006418E6" w:rsidTr="00A717FD">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auto"/>
            <w:vAlign w:val="center"/>
          </w:tcPr>
          <w:p w:rsidR="008353C3" w:rsidRPr="006418E6" w:rsidRDefault="008353C3" w:rsidP="00A717FD">
            <w:pPr>
              <w:spacing w:before="0"/>
              <w:contextualSpacing/>
              <w:jc w:val="left"/>
              <w:rPr>
                <w:color w:val="000000" w:themeColor="text1"/>
                <w:sz w:val="2"/>
                <w:szCs w:val="2"/>
              </w:rPr>
            </w:pPr>
          </w:p>
        </w:tc>
      </w:tr>
      <w:tr w:rsidR="008353C3" w:rsidRPr="008353C3" w:rsidTr="00A71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trHeight w:val="782"/>
          <w:tblHeader/>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8353C3" w:rsidRDefault="0047207E" w:rsidP="00A717FD">
            <w:pPr>
              <w:spacing w:before="0"/>
              <w:contextualSpacing/>
              <w:jc w:val="center"/>
              <w:rPr>
                <w:color w:val="FFFFFF" w:themeColor="background1"/>
                <w:sz w:val="20"/>
                <w:szCs w:val="20"/>
              </w:rPr>
            </w:pPr>
            <w:r w:rsidRPr="008353C3">
              <w:rPr>
                <w:color w:val="FFFFFF" w:themeColor="background1"/>
                <w:sz w:val="20"/>
                <w:szCs w:val="20"/>
              </w:rPr>
              <w:t>Quelle ESRS E1</w:t>
            </w:r>
          </w:p>
        </w:tc>
        <w:tc>
          <w:tcPr>
            <w:tcW w:w="6240"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8353C3" w:rsidRDefault="007242EA" w:rsidP="00A717FD">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8353C3">
              <w:rPr>
                <w:b/>
                <w:color w:val="FFFFFF" w:themeColor="background1"/>
                <w:sz w:val="20"/>
                <w:szCs w:val="20"/>
              </w:rPr>
              <w:t>Management der Auswirkungen, Risiken und Chancen</w:t>
            </w:r>
          </w:p>
        </w:tc>
        <w:tc>
          <w:tcPr>
            <w:tcW w:w="1843"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8353C3" w:rsidRDefault="0047207E" w:rsidP="00A717FD">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8353C3">
              <w:rPr>
                <w:b/>
                <w:color w:val="FFFFFF" w:themeColor="background1"/>
                <w:sz w:val="16"/>
                <w:szCs w:val="16"/>
              </w:rPr>
              <w:t>Bemerkungen, ggf. Verweis auf Datenpunkte</w:t>
            </w:r>
          </w:p>
        </w:tc>
      </w:tr>
      <w:tr w:rsidR="0047207E" w:rsidRPr="000E0C5F" w:rsidTr="00A71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tcBorders>
            <w:shd w:val="clear" w:color="auto" w:fill="C5F1C5"/>
          </w:tcPr>
          <w:p w:rsidR="0047207E" w:rsidRPr="0015165A" w:rsidRDefault="0047207E" w:rsidP="00A717FD">
            <w:pPr>
              <w:spacing w:before="0"/>
              <w:contextualSpacing/>
              <w:jc w:val="center"/>
              <w:rPr>
                <w:sz w:val="16"/>
                <w:szCs w:val="16"/>
              </w:rPr>
            </w:pPr>
            <w:r w:rsidRPr="0015165A">
              <w:rPr>
                <w:sz w:val="16"/>
                <w:szCs w:val="16"/>
              </w:rPr>
              <w:t xml:space="preserve">Tz. </w:t>
            </w:r>
            <w:r w:rsidR="002F260C">
              <w:rPr>
                <w:sz w:val="16"/>
                <w:szCs w:val="16"/>
              </w:rPr>
              <w:t>26</w:t>
            </w:r>
          </w:p>
        </w:tc>
        <w:tc>
          <w:tcPr>
            <w:tcW w:w="6240" w:type="dxa"/>
            <w:tcBorders>
              <w:top w:val="single" w:sz="4" w:space="0" w:color="auto"/>
            </w:tcBorders>
            <w:shd w:val="clear" w:color="auto" w:fill="auto"/>
          </w:tcPr>
          <w:p w:rsidR="0047207E" w:rsidRPr="00B451B0" w:rsidRDefault="00B466AC" w:rsidP="00A717FD">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Pr>
                <w:b/>
                <w:bCs/>
                <w:sz w:val="16"/>
                <w:szCs w:val="16"/>
              </w:rPr>
              <w:t xml:space="preserve">Das Unternehmen hat seine Maßnahmen zum </w:t>
            </w:r>
            <w:r w:rsidRPr="00A6459E">
              <w:rPr>
                <w:b/>
                <w:bCs/>
                <w:i/>
                <w:sz w:val="16"/>
                <w:szCs w:val="16"/>
              </w:rPr>
              <w:t>Klimaschutz</w:t>
            </w:r>
            <w:r>
              <w:rPr>
                <w:b/>
                <w:bCs/>
                <w:sz w:val="16"/>
                <w:szCs w:val="16"/>
              </w:rPr>
              <w:t xml:space="preserve"> und zur </w:t>
            </w:r>
            <w:r w:rsidRPr="00A6459E">
              <w:rPr>
                <w:b/>
                <w:bCs/>
                <w:i/>
                <w:sz w:val="16"/>
                <w:szCs w:val="16"/>
              </w:rPr>
              <w:t xml:space="preserve">Anpassung an den Klimawandel </w:t>
            </w:r>
            <w:r>
              <w:rPr>
                <w:b/>
                <w:bCs/>
                <w:sz w:val="16"/>
                <w:szCs w:val="16"/>
              </w:rPr>
              <w:t>sowie die für deren Umsetzung zugewiesenen Mittel anzugeben.</w:t>
            </w:r>
          </w:p>
        </w:tc>
        <w:tc>
          <w:tcPr>
            <w:tcW w:w="1843" w:type="dxa"/>
            <w:tcBorders>
              <w:top w:val="single" w:sz="4" w:space="0" w:color="auto"/>
            </w:tcBorders>
            <w:shd w:val="clear" w:color="auto" w:fill="auto"/>
          </w:tcPr>
          <w:p w:rsidR="0047207E" w:rsidRPr="000E0C5F" w:rsidRDefault="0047207E" w:rsidP="00A717FD">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47207E" w:rsidRPr="000E0C5F" w:rsidTr="00E22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cnfStyle w:val="001000000000" w:firstRow="0" w:lastRow="0" w:firstColumn="1" w:lastColumn="0" w:oddVBand="0" w:evenVBand="0" w:oddHBand="0" w:evenHBand="0" w:firstRowFirstColumn="0" w:firstRowLastColumn="0" w:lastRowFirstColumn="0" w:lastRowLastColumn="0"/>
            <w:tcW w:w="989" w:type="dxa"/>
            <w:shd w:val="clear" w:color="auto" w:fill="C5F1C5"/>
          </w:tcPr>
          <w:p w:rsidR="0047207E" w:rsidRPr="0015165A" w:rsidRDefault="0047207E" w:rsidP="00E227CA">
            <w:pPr>
              <w:spacing w:before="0"/>
              <w:contextualSpacing/>
              <w:jc w:val="center"/>
              <w:rPr>
                <w:sz w:val="16"/>
                <w:szCs w:val="16"/>
              </w:rPr>
            </w:pPr>
            <w:r w:rsidRPr="0015165A">
              <w:rPr>
                <w:sz w:val="16"/>
                <w:szCs w:val="16"/>
              </w:rPr>
              <w:t xml:space="preserve">Tz. </w:t>
            </w:r>
            <w:r w:rsidR="00253D75">
              <w:rPr>
                <w:sz w:val="16"/>
                <w:szCs w:val="16"/>
              </w:rPr>
              <w:t>2</w:t>
            </w:r>
            <w:r w:rsidR="002F260C">
              <w:rPr>
                <w:sz w:val="16"/>
                <w:szCs w:val="16"/>
              </w:rPr>
              <w:t>7</w:t>
            </w:r>
          </w:p>
        </w:tc>
        <w:tc>
          <w:tcPr>
            <w:tcW w:w="6240" w:type="dxa"/>
            <w:shd w:val="clear" w:color="auto" w:fill="auto"/>
          </w:tcPr>
          <w:p w:rsidR="0047207E" w:rsidRPr="00242FC1" w:rsidRDefault="00E12E0B" w:rsidP="00E227CA">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242FC1">
              <w:rPr>
                <w:sz w:val="16"/>
                <w:szCs w:val="16"/>
              </w:rPr>
              <w:t xml:space="preserve">Ziel dieser </w:t>
            </w:r>
            <w:proofErr w:type="spellStart"/>
            <w:r w:rsidRPr="00242FC1">
              <w:rPr>
                <w:sz w:val="16"/>
                <w:szCs w:val="16"/>
              </w:rPr>
              <w:t>Angabepflicht</w:t>
            </w:r>
            <w:proofErr w:type="spellEnd"/>
            <w:r w:rsidRPr="00242FC1">
              <w:rPr>
                <w:sz w:val="16"/>
                <w:szCs w:val="16"/>
              </w:rPr>
              <w:t xml:space="preserve"> ist es, ein Verständnis der wichtigsten </w:t>
            </w:r>
            <w:r w:rsidRPr="00242FC1">
              <w:rPr>
                <w:b/>
                <w:bCs/>
                <w:sz w:val="16"/>
                <w:szCs w:val="16"/>
              </w:rPr>
              <w:t xml:space="preserve">Maßnahmen </w:t>
            </w:r>
            <w:r w:rsidRPr="00242FC1">
              <w:rPr>
                <w:sz w:val="16"/>
                <w:szCs w:val="16"/>
              </w:rPr>
              <w:t xml:space="preserve">zu vermitteln, die ergriffen und geplant wurden, um die klimabezogenen </w:t>
            </w:r>
            <w:r w:rsidRPr="00242FC1">
              <w:rPr>
                <w:b/>
                <w:bCs/>
                <w:sz w:val="16"/>
                <w:szCs w:val="16"/>
              </w:rPr>
              <w:t xml:space="preserve">Ziele </w:t>
            </w:r>
            <w:r w:rsidRPr="00242FC1">
              <w:rPr>
                <w:sz w:val="16"/>
                <w:szCs w:val="16"/>
              </w:rPr>
              <w:t xml:space="preserve">und Vorgaben der </w:t>
            </w:r>
            <w:r w:rsidRPr="00242FC1">
              <w:rPr>
                <w:b/>
                <w:bCs/>
                <w:sz w:val="16"/>
                <w:szCs w:val="16"/>
              </w:rPr>
              <w:t xml:space="preserve">Strategien </w:t>
            </w:r>
            <w:r w:rsidRPr="00242FC1">
              <w:rPr>
                <w:sz w:val="16"/>
                <w:szCs w:val="16"/>
              </w:rPr>
              <w:t>zu erreichen.</w:t>
            </w:r>
          </w:p>
        </w:tc>
        <w:tc>
          <w:tcPr>
            <w:tcW w:w="1843" w:type="dxa"/>
            <w:shd w:val="clear" w:color="auto" w:fill="auto"/>
          </w:tcPr>
          <w:p w:rsidR="0047207E" w:rsidRPr="000E0C5F" w:rsidRDefault="0047207E" w:rsidP="00E227CA">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p>
        </w:tc>
      </w:tr>
      <w:tr w:rsidR="0047207E" w:rsidRPr="000E0C5F" w:rsidTr="00A71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89" w:type="dxa"/>
            <w:shd w:val="clear" w:color="auto" w:fill="C5F1C5"/>
          </w:tcPr>
          <w:p w:rsidR="0047207E" w:rsidRPr="0015165A" w:rsidRDefault="0047207E" w:rsidP="00A717FD">
            <w:pPr>
              <w:spacing w:before="0"/>
              <w:contextualSpacing/>
              <w:jc w:val="center"/>
              <w:rPr>
                <w:sz w:val="16"/>
                <w:szCs w:val="16"/>
              </w:rPr>
            </w:pPr>
            <w:r w:rsidRPr="0015165A">
              <w:rPr>
                <w:sz w:val="16"/>
                <w:szCs w:val="16"/>
              </w:rPr>
              <w:t xml:space="preserve">Tz. </w:t>
            </w:r>
            <w:r w:rsidR="002F260C">
              <w:rPr>
                <w:sz w:val="16"/>
                <w:szCs w:val="16"/>
              </w:rPr>
              <w:t>28</w:t>
            </w:r>
          </w:p>
        </w:tc>
        <w:tc>
          <w:tcPr>
            <w:tcW w:w="6240" w:type="dxa"/>
            <w:shd w:val="clear" w:color="auto" w:fill="auto"/>
          </w:tcPr>
          <w:p w:rsidR="00B114B0" w:rsidRPr="00242FC1" w:rsidRDefault="00E12E0B" w:rsidP="00A717FD">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242FC1">
              <w:rPr>
                <w:sz w:val="16"/>
                <w:szCs w:val="16"/>
              </w:rPr>
              <w:t xml:space="preserve">Die Beschreibung der </w:t>
            </w:r>
            <w:r w:rsidRPr="00242FC1">
              <w:rPr>
                <w:b/>
                <w:bCs/>
                <w:sz w:val="16"/>
                <w:szCs w:val="16"/>
              </w:rPr>
              <w:t xml:space="preserve">Maßnahmen </w:t>
            </w:r>
            <w:r w:rsidRPr="00242FC1">
              <w:rPr>
                <w:sz w:val="16"/>
                <w:szCs w:val="16"/>
              </w:rPr>
              <w:t xml:space="preserve">und Mittel im Zusammenhang mit dem </w:t>
            </w:r>
            <w:r w:rsidRPr="00242FC1">
              <w:rPr>
                <w:b/>
                <w:bCs/>
                <w:sz w:val="16"/>
                <w:szCs w:val="16"/>
              </w:rPr>
              <w:t xml:space="preserve">Klimaschutz </w:t>
            </w:r>
            <w:r w:rsidRPr="00242FC1">
              <w:rPr>
                <w:sz w:val="16"/>
                <w:szCs w:val="16"/>
              </w:rPr>
              <w:t xml:space="preserve">und der Anpassung an den Klimawandel erfolgt nach den Grundsätzen, die im ESRS 2 MDR-A </w:t>
            </w:r>
            <w:r w:rsidRPr="00242FC1">
              <w:rPr>
                <w:i/>
                <w:iCs/>
                <w:sz w:val="16"/>
                <w:szCs w:val="16"/>
              </w:rPr>
              <w:t xml:space="preserve">Maßnahmen und Mittel in Bezug auf wesentliche Nachhaltigkeitsaspekte </w:t>
            </w:r>
            <w:r w:rsidRPr="00242FC1">
              <w:rPr>
                <w:sz w:val="16"/>
                <w:szCs w:val="16"/>
              </w:rPr>
              <w:t>festgelegt sind.</w:t>
            </w:r>
          </w:p>
        </w:tc>
        <w:tc>
          <w:tcPr>
            <w:tcW w:w="1843" w:type="dxa"/>
            <w:shd w:val="clear" w:color="auto" w:fill="auto"/>
          </w:tcPr>
          <w:p w:rsidR="0047207E" w:rsidRPr="000E0C5F" w:rsidRDefault="0047207E" w:rsidP="00A717FD">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p>
        </w:tc>
      </w:tr>
      <w:tr w:rsidR="003D15FE" w:rsidTr="00A717FD">
        <w:trPr>
          <w:trHeight w:val="7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C5F1C5"/>
          </w:tcPr>
          <w:p w:rsidR="003D15FE" w:rsidRPr="0015165A" w:rsidRDefault="003D15FE" w:rsidP="00A717FD">
            <w:pPr>
              <w:spacing w:before="0"/>
              <w:contextualSpacing/>
              <w:jc w:val="center"/>
              <w:rPr>
                <w:sz w:val="16"/>
                <w:szCs w:val="16"/>
              </w:rPr>
            </w:pPr>
            <w:bookmarkStart w:id="1" w:name="_GoBack"/>
            <w:r w:rsidRPr="0015165A">
              <w:rPr>
                <w:sz w:val="16"/>
                <w:szCs w:val="16"/>
              </w:rPr>
              <w:t xml:space="preserve">Tz. </w:t>
            </w:r>
            <w:r w:rsidR="002F260C">
              <w:rPr>
                <w:sz w:val="16"/>
                <w:szCs w:val="16"/>
              </w:rPr>
              <w:t>29</w:t>
            </w:r>
          </w:p>
        </w:tc>
        <w:tc>
          <w:tcPr>
            <w:tcW w:w="6240" w:type="dxa"/>
            <w:tcBorders>
              <w:top w:val="single" w:sz="4" w:space="0" w:color="auto"/>
              <w:left w:val="single" w:sz="4" w:space="0" w:color="auto"/>
              <w:bottom w:val="single" w:sz="4" w:space="0" w:color="auto"/>
              <w:right w:val="single" w:sz="4" w:space="0" w:color="auto"/>
            </w:tcBorders>
            <w:shd w:val="clear" w:color="auto" w:fill="auto"/>
          </w:tcPr>
          <w:p w:rsidR="00E12E0B" w:rsidRPr="00242FC1" w:rsidRDefault="00E12E0B" w:rsidP="00A717FD">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42FC1">
              <w:rPr>
                <w:rFonts w:ascii="Century Gothic" w:hAnsi="Century Gothic"/>
                <w:sz w:val="16"/>
                <w:szCs w:val="16"/>
              </w:rPr>
              <w:t>Zusätzlich zum ESRS 2 MDR-A gilt für das Unternehmen Folgendes:</w:t>
            </w:r>
          </w:p>
          <w:p w:rsidR="00E12E0B" w:rsidRDefault="00242FC1" w:rsidP="00A717FD">
            <w:pPr>
              <w:pStyle w:val="Default"/>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42FC1">
              <w:rPr>
                <w:rFonts w:ascii="Century Gothic" w:hAnsi="Century Gothic"/>
                <w:sz w:val="16"/>
                <w:szCs w:val="16"/>
              </w:rPr>
              <w:t>Bei</w:t>
            </w:r>
            <w:r w:rsidR="00E12E0B" w:rsidRPr="00242FC1">
              <w:rPr>
                <w:rFonts w:ascii="Century Gothic" w:hAnsi="Century Gothic"/>
                <w:sz w:val="16"/>
                <w:szCs w:val="16"/>
              </w:rPr>
              <w:t xml:space="preserve"> der Auflistung der wichtigsten </w:t>
            </w:r>
            <w:r w:rsidR="00E12E0B" w:rsidRPr="00242FC1">
              <w:rPr>
                <w:rFonts w:ascii="Century Gothic" w:hAnsi="Century Gothic"/>
                <w:b/>
                <w:bCs/>
                <w:sz w:val="16"/>
                <w:szCs w:val="16"/>
              </w:rPr>
              <w:t>Maßnahmen</w:t>
            </w:r>
            <w:r w:rsidR="00E12E0B" w:rsidRPr="00242FC1">
              <w:rPr>
                <w:rFonts w:ascii="Century Gothic" w:hAnsi="Century Gothic"/>
                <w:sz w:val="16"/>
                <w:szCs w:val="16"/>
              </w:rPr>
              <w:t xml:space="preserve">, die im Berichtsjahr ergriffen wurden und für die Zukunft vorgesehen sind, muss es die </w:t>
            </w:r>
            <w:r w:rsidR="00E12E0B" w:rsidRPr="00242FC1">
              <w:rPr>
                <w:rFonts w:ascii="Century Gothic" w:hAnsi="Century Gothic"/>
                <w:b/>
                <w:bCs/>
                <w:sz w:val="16"/>
                <w:szCs w:val="16"/>
              </w:rPr>
              <w:t>Klimaschutzmaßnahmen</w:t>
            </w:r>
            <w:r w:rsidR="00E12E0B" w:rsidRPr="00242FC1">
              <w:rPr>
                <w:rFonts w:ascii="Century Gothic" w:hAnsi="Century Gothic"/>
                <w:sz w:val="16"/>
                <w:szCs w:val="16"/>
              </w:rPr>
              <w:t xml:space="preserve">, bei denen ein </w:t>
            </w:r>
            <w:proofErr w:type="spellStart"/>
            <w:r w:rsidR="00E12E0B" w:rsidRPr="00242FC1">
              <w:rPr>
                <w:rFonts w:ascii="Century Gothic" w:hAnsi="Century Gothic"/>
                <w:sz w:val="16"/>
                <w:szCs w:val="16"/>
              </w:rPr>
              <w:t>Dekarbonisierungshebel</w:t>
            </w:r>
            <w:proofErr w:type="spellEnd"/>
            <w:r w:rsidR="00E12E0B" w:rsidRPr="00242FC1">
              <w:rPr>
                <w:rFonts w:ascii="Century Gothic" w:hAnsi="Century Gothic"/>
                <w:sz w:val="16"/>
                <w:szCs w:val="16"/>
              </w:rPr>
              <w:t xml:space="preserve"> zum Einsatz kommt, einschließlich der naturbasierten Lösungen darlegen,</w:t>
            </w:r>
          </w:p>
          <w:p w:rsidR="00E12E0B" w:rsidRDefault="00242FC1" w:rsidP="00A717FD">
            <w:pPr>
              <w:pStyle w:val="Default"/>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b</w:t>
            </w:r>
            <w:r w:rsidRPr="00242FC1">
              <w:rPr>
                <w:rFonts w:ascii="Century Gothic" w:hAnsi="Century Gothic"/>
                <w:sz w:val="16"/>
                <w:szCs w:val="16"/>
              </w:rPr>
              <w:t>ei der</w:t>
            </w:r>
            <w:r>
              <w:rPr>
                <w:rFonts w:ascii="Century Gothic" w:hAnsi="Century Gothic"/>
                <w:sz w:val="16"/>
                <w:szCs w:val="16"/>
              </w:rPr>
              <w:t xml:space="preserve"> </w:t>
            </w:r>
            <w:r w:rsidR="00E12E0B" w:rsidRPr="00242FC1">
              <w:rPr>
                <w:rFonts w:ascii="Century Gothic" w:hAnsi="Century Gothic"/>
                <w:sz w:val="16"/>
                <w:szCs w:val="16"/>
              </w:rPr>
              <w:t xml:space="preserve">Beschreibung der Ergebnisse der Klimaschutzmaßnahmen ist die erzielte und erwartete Reduktion der </w:t>
            </w:r>
            <w:r w:rsidR="00E12E0B" w:rsidRPr="00242FC1">
              <w:rPr>
                <w:rFonts w:ascii="Century Gothic" w:hAnsi="Century Gothic"/>
                <w:b/>
                <w:bCs/>
                <w:sz w:val="16"/>
                <w:szCs w:val="16"/>
              </w:rPr>
              <w:t xml:space="preserve">Treibhausgasemissionen </w:t>
            </w:r>
            <w:r w:rsidR="00E12E0B" w:rsidRPr="00242FC1">
              <w:rPr>
                <w:rFonts w:ascii="Century Gothic" w:hAnsi="Century Gothic"/>
                <w:sz w:val="16"/>
                <w:szCs w:val="16"/>
              </w:rPr>
              <w:t>anzugeben und</w:t>
            </w:r>
          </w:p>
          <w:p w:rsidR="00E12E0B" w:rsidRDefault="00242FC1" w:rsidP="00A717FD">
            <w:pPr>
              <w:pStyle w:val="Default"/>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242FC1">
              <w:rPr>
                <w:rFonts w:ascii="Century Gothic" w:hAnsi="Century Gothic"/>
                <w:sz w:val="16"/>
                <w:szCs w:val="16"/>
              </w:rPr>
              <w:t>erhebliche</w:t>
            </w:r>
            <w:r w:rsidR="00E12E0B" w:rsidRPr="00242FC1">
              <w:rPr>
                <w:rFonts w:ascii="Century Gothic" w:hAnsi="Century Gothic"/>
                <w:sz w:val="16"/>
                <w:szCs w:val="16"/>
              </w:rPr>
              <w:t xml:space="preserve"> Geldbeträge von CapEx und OpEx, die für die Durchführung der ergriffenen oder vorgesehenen Maßnahmen erforderlich sind, müssen Folgendem zugeordnet werden:</w:t>
            </w:r>
          </w:p>
          <w:p w:rsidR="00E12E0B" w:rsidRDefault="00715344" w:rsidP="00A717FD">
            <w:pPr>
              <w:pStyle w:val="Default"/>
              <w:numPr>
                <w:ilvl w:val="0"/>
                <w:numId w:val="14"/>
              </w:numPr>
              <w:ind w:left="889" w:hanging="14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715344">
              <w:rPr>
                <w:rFonts w:ascii="Century Gothic" w:hAnsi="Century Gothic"/>
                <w:sz w:val="16"/>
                <w:szCs w:val="16"/>
              </w:rPr>
              <w:t>den</w:t>
            </w:r>
            <w:r w:rsidR="00E12E0B" w:rsidRPr="00715344">
              <w:rPr>
                <w:rFonts w:ascii="Century Gothic" w:hAnsi="Century Gothic"/>
                <w:sz w:val="16"/>
                <w:szCs w:val="16"/>
              </w:rPr>
              <w:t xml:space="preserve"> relevanten Posten oder Erläuterungen im Abschluss,</w:t>
            </w:r>
          </w:p>
          <w:p w:rsidR="00E12E0B" w:rsidRDefault="00715344" w:rsidP="00A717FD">
            <w:pPr>
              <w:pStyle w:val="Default"/>
              <w:numPr>
                <w:ilvl w:val="0"/>
                <w:numId w:val="14"/>
              </w:numPr>
              <w:ind w:left="889" w:hanging="142"/>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715344">
              <w:rPr>
                <w:rFonts w:ascii="Century Gothic" w:hAnsi="Century Gothic"/>
                <w:sz w:val="16"/>
                <w:szCs w:val="16"/>
              </w:rPr>
              <w:t>den</w:t>
            </w:r>
            <w:r w:rsidR="00E12E0B" w:rsidRPr="00715344">
              <w:rPr>
                <w:rFonts w:ascii="Century Gothic" w:hAnsi="Century Gothic"/>
                <w:sz w:val="16"/>
                <w:szCs w:val="16"/>
              </w:rPr>
              <w:t xml:space="preserve"> wichtigsten Leistungsindikatoren gemäß der Delegierten Verordnung (EU) 2021/2178 der Kommission und</w:t>
            </w:r>
          </w:p>
          <w:p w:rsidR="003D15FE" w:rsidRPr="00242FC1" w:rsidRDefault="00715344" w:rsidP="00A717FD">
            <w:pPr>
              <w:pStyle w:val="Default"/>
              <w:numPr>
                <w:ilvl w:val="0"/>
                <w:numId w:val="14"/>
              </w:numPr>
              <w:ind w:left="889" w:hanging="142"/>
              <w:contextualSpacing/>
              <w:jc w:val="both"/>
              <w:cnfStyle w:val="000000000000" w:firstRow="0" w:lastRow="0" w:firstColumn="0" w:lastColumn="0" w:oddVBand="0" w:evenVBand="0" w:oddHBand="0" w:evenHBand="0" w:firstRowFirstColumn="0" w:firstRowLastColumn="0" w:lastRowFirstColumn="0" w:lastRowLastColumn="0"/>
              <w:rPr>
                <w:sz w:val="16"/>
                <w:szCs w:val="16"/>
              </w:rPr>
            </w:pPr>
            <w:r w:rsidRPr="00DF648F">
              <w:rPr>
                <w:rFonts w:ascii="Century Gothic" w:hAnsi="Century Gothic"/>
                <w:sz w:val="16"/>
                <w:szCs w:val="16"/>
              </w:rPr>
              <w:t>gegebenenfalls</w:t>
            </w:r>
            <w:r w:rsidR="00E12E0B" w:rsidRPr="00DF648F">
              <w:rPr>
                <w:rFonts w:ascii="Century Gothic" w:hAnsi="Century Gothic"/>
                <w:sz w:val="16"/>
                <w:szCs w:val="16"/>
              </w:rPr>
              <w:t xml:space="preserve"> dem CapEx-Plan gemäß der Delegierten Verordnung (EU) 2021/2178 der Kommission.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15FE" w:rsidRPr="00D12D82" w:rsidRDefault="003D15FE" w:rsidP="00A717FD">
            <w:pPr>
              <w:spacing w:before="0"/>
              <w:contextualSpacing/>
              <w:cnfStyle w:val="000000000000" w:firstRow="0" w:lastRow="0" w:firstColumn="0" w:lastColumn="0" w:oddVBand="0" w:evenVBand="0" w:oddHBand="0" w:evenHBand="0" w:firstRowFirstColumn="0" w:firstRowLastColumn="0" w:lastRowFirstColumn="0" w:lastRowLastColumn="0"/>
              <w:rPr>
                <w:sz w:val="16"/>
              </w:rPr>
            </w:pPr>
          </w:p>
        </w:tc>
      </w:tr>
      <w:bookmarkEnd w:id="1"/>
    </w:tbl>
    <w:p w:rsidR="00D3053C" w:rsidRDefault="00D3053C">
      <w:r>
        <w:rPr>
          <w:b/>
          <w:bCs/>
        </w:rPr>
        <w:br w:type="page"/>
      </w:r>
    </w:p>
    <w:tbl>
      <w:tblPr>
        <w:tblStyle w:val="Gitternetztabelle4Akzent6"/>
        <w:tblW w:w="908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8B22"/>
        <w:tblLayout w:type="fixed"/>
        <w:tblCellMar>
          <w:top w:w="85" w:type="dxa"/>
          <w:bottom w:w="85" w:type="dxa"/>
        </w:tblCellMar>
        <w:tblLook w:val="04A0" w:firstRow="1" w:lastRow="0" w:firstColumn="1" w:lastColumn="0" w:noHBand="0" w:noVBand="1"/>
      </w:tblPr>
      <w:tblGrid>
        <w:gridCol w:w="10"/>
        <w:gridCol w:w="983"/>
        <w:gridCol w:w="6236"/>
        <w:gridCol w:w="422"/>
        <w:gridCol w:w="714"/>
        <w:gridCol w:w="717"/>
      </w:tblGrid>
      <w:tr w:rsidR="005E7C43" w:rsidTr="006418E6">
        <w:trPr>
          <w:gridBefore w:val="1"/>
          <w:cnfStyle w:val="100000000000" w:firstRow="1" w:lastRow="0" w:firstColumn="0" w:lastColumn="0" w:oddVBand="0" w:evenVBand="0" w:oddHBand="0" w:evenHBand="0" w:firstRowFirstColumn="0" w:firstRowLastColumn="0" w:lastRowFirstColumn="0" w:lastRowLastColumn="0"/>
          <w:wBefore w:w="10" w:type="dxa"/>
          <w:trHeight w:val="559"/>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5E7C43" w:rsidRPr="00843B06" w:rsidRDefault="005E7C43" w:rsidP="006418E6">
            <w:pPr>
              <w:spacing w:before="0"/>
              <w:contextualSpacing/>
              <w:rPr>
                <w:color w:val="000000" w:themeColor="text1"/>
                <w:sz w:val="20"/>
                <w:szCs w:val="20"/>
              </w:rPr>
            </w:pPr>
            <w:r w:rsidRPr="00843B06">
              <w:rPr>
                <w:color w:val="000000" w:themeColor="text1"/>
                <w:sz w:val="20"/>
                <w:szCs w:val="20"/>
              </w:rPr>
              <w:lastRenderedPageBreak/>
              <w:t>E1-3</w:t>
            </w:r>
          </w:p>
        </w:tc>
        <w:tc>
          <w:tcPr>
            <w:tcW w:w="6658"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rsidR="005E7C43" w:rsidRPr="00843B06" w:rsidRDefault="005E7C43" w:rsidP="006418E6">
            <w:pPr>
              <w:spacing w:before="0"/>
              <w:contextualSpacing/>
              <w:jc w:val="left"/>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843B06">
              <w:rPr>
                <w:color w:val="000000" w:themeColor="text1"/>
                <w:sz w:val="20"/>
                <w:szCs w:val="20"/>
              </w:rPr>
              <w:t>Maßnahmen und Mittel im Zusammenhang mit den Klima-</w:t>
            </w:r>
            <w:r w:rsidRPr="00843B06">
              <w:rPr>
                <w:color w:val="000000" w:themeColor="text1"/>
                <w:sz w:val="20"/>
                <w:szCs w:val="20"/>
              </w:rPr>
              <w:br/>
            </w:r>
            <w:proofErr w:type="spellStart"/>
            <w:r w:rsidRPr="00843B06">
              <w:rPr>
                <w:color w:val="000000" w:themeColor="text1"/>
                <w:sz w:val="20"/>
                <w:szCs w:val="20"/>
              </w:rPr>
              <w:t>strategien</w:t>
            </w:r>
            <w:proofErr w:type="spellEnd"/>
            <w:r w:rsidR="006418E6">
              <w:rPr>
                <w:color w:val="000000" w:themeColor="text1"/>
                <w:sz w:val="20"/>
                <w:szCs w:val="20"/>
              </w:rPr>
              <w:t>; Forts.</w:t>
            </w:r>
          </w:p>
        </w:tc>
        <w:tc>
          <w:tcPr>
            <w:tcW w:w="714" w:type="dxa"/>
            <w:tcBorders>
              <w:top w:val="none" w:sz="0" w:space="0" w:color="auto"/>
              <w:left w:val="none" w:sz="0" w:space="0" w:color="auto"/>
              <w:bottom w:val="none" w:sz="0" w:space="0" w:color="auto"/>
              <w:right w:val="none" w:sz="0" w:space="0" w:color="auto"/>
            </w:tcBorders>
            <w:shd w:val="clear" w:color="auto" w:fill="auto"/>
          </w:tcPr>
          <w:p w:rsidR="005E7C43" w:rsidRPr="003C0F68" w:rsidRDefault="005E7C43" w:rsidP="006418E6">
            <w:pPr>
              <w:spacing w:before="0"/>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sz w:val="16"/>
              </w:rPr>
            </w:pPr>
          </w:p>
        </w:tc>
        <w:tc>
          <w:tcPr>
            <w:tcW w:w="71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rsidR="005E7C43" w:rsidRPr="003D0C3F" w:rsidRDefault="00A16041" w:rsidP="006418E6">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22</w:t>
            </w:r>
          </w:p>
        </w:tc>
      </w:tr>
      <w:tr w:rsidR="00F84DC7" w:rsidRPr="006418E6" w:rsidTr="00641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993" w:type="dxa"/>
            <w:gridSpan w:val="2"/>
            <w:tcBorders>
              <w:left w:val="nil"/>
              <w:bottom w:val="nil"/>
            </w:tcBorders>
            <w:shd w:val="clear" w:color="auto" w:fill="auto"/>
            <w:vAlign w:val="center"/>
          </w:tcPr>
          <w:p w:rsidR="00F84DC7" w:rsidRPr="006418E6" w:rsidRDefault="00F84DC7" w:rsidP="006418E6">
            <w:pPr>
              <w:spacing w:before="0"/>
              <w:contextualSpacing/>
              <w:jc w:val="center"/>
              <w:rPr>
                <w:sz w:val="2"/>
                <w:szCs w:val="2"/>
              </w:rPr>
            </w:pPr>
          </w:p>
        </w:tc>
        <w:tc>
          <w:tcPr>
            <w:tcW w:w="6236" w:type="dxa"/>
            <w:tcBorders>
              <w:bottom w:val="nil"/>
            </w:tcBorders>
            <w:shd w:val="clear" w:color="auto" w:fill="auto"/>
            <w:vAlign w:val="center"/>
          </w:tcPr>
          <w:p w:rsidR="00F84DC7" w:rsidRPr="006418E6" w:rsidRDefault="00F84DC7" w:rsidP="006418E6">
            <w:pPr>
              <w:spacing w:before="0"/>
              <w:contextualSpacing/>
              <w:jc w:val="center"/>
              <w:cnfStyle w:val="100000000000" w:firstRow="1" w:lastRow="0" w:firstColumn="0" w:lastColumn="0" w:oddVBand="0" w:evenVBand="0" w:oddHBand="0" w:evenHBand="0" w:firstRowFirstColumn="0" w:firstRowLastColumn="0" w:lastRowFirstColumn="0" w:lastRowLastColumn="0"/>
              <w:rPr>
                <w:sz w:val="2"/>
                <w:szCs w:val="2"/>
              </w:rPr>
            </w:pPr>
          </w:p>
        </w:tc>
        <w:tc>
          <w:tcPr>
            <w:tcW w:w="1853" w:type="dxa"/>
            <w:gridSpan w:val="3"/>
            <w:tcBorders>
              <w:bottom w:val="nil"/>
              <w:right w:val="nil"/>
            </w:tcBorders>
            <w:shd w:val="clear" w:color="auto" w:fill="auto"/>
            <w:vAlign w:val="center"/>
          </w:tcPr>
          <w:p w:rsidR="00F84DC7" w:rsidRPr="006418E6" w:rsidRDefault="00F84DC7" w:rsidP="006418E6">
            <w:pPr>
              <w:spacing w:before="0"/>
              <w:contextualSpacing/>
              <w:jc w:val="center"/>
              <w:cnfStyle w:val="100000000000" w:firstRow="1" w:lastRow="0" w:firstColumn="0" w:lastColumn="0" w:oddVBand="0" w:evenVBand="0" w:oddHBand="0" w:evenHBand="0" w:firstRowFirstColumn="0" w:firstRowLastColumn="0" w:lastRowFirstColumn="0" w:lastRowLastColumn="0"/>
              <w:rPr>
                <w:sz w:val="2"/>
                <w:szCs w:val="2"/>
              </w:rPr>
            </w:pPr>
          </w:p>
        </w:tc>
      </w:tr>
      <w:tr w:rsidR="005E7C43" w:rsidRPr="00122B7B" w:rsidTr="006418E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460"/>
        </w:trPr>
        <w:tc>
          <w:tcPr>
            <w:cnfStyle w:val="001000000000" w:firstRow="0" w:lastRow="0" w:firstColumn="1" w:lastColumn="0" w:oddVBand="0" w:evenVBand="0" w:oddHBand="0" w:evenHBand="0" w:firstRowFirstColumn="0" w:firstRowLastColumn="0" w:lastRowFirstColumn="0" w:lastRowLastColumn="0"/>
            <w:tcW w:w="9072" w:type="dxa"/>
            <w:gridSpan w:val="5"/>
            <w:tcBorders>
              <w:top w:val="nil"/>
              <w:left w:val="nil"/>
              <w:bottom w:val="nil"/>
              <w:right w:val="nil"/>
            </w:tcBorders>
            <w:shd w:val="clear" w:color="auto" w:fill="D9D9D9" w:themeFill="background1" w:themeFillShade="D9"/>
            <w:vAlign w:val="center"/>
          </w:tcPr>
          <w:p w:rsidR="005E7C43" w:rsidRPr="009F18CA" w:rsidRDefault="005E7C43" w:rsidP="006418E6">
            <w:pPr>
              <w:spacing w:before="0"/>
              <w:contextualSpacing/>
              <w:jc w:val="left"/>
              <w:rPr>
                <w:b w:val="0"/>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F84DC7" w:rsidRPr="006418E6" w:rsidTr="00641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blHeader/>
        </w:trPr>
        <w:tc>
          <w:tcPr>
            <w:cnfStyle w:val="001000000000" w:firstRow="0" w:lastRow="0" w:firstColumn="1" w:lastColumn="0" w:oddVBand="0" w:evenVBand="0" w:oddHBand="0" w:evenHBand="0" w:firstRowFirstColumn="0" w:firstRowLastColumn="0" w:lastRowFirstColumn="0" w:lastRowLastColumn="0"/>
            <w:tcW w:w="993" w:type="dxa"/>
            <w:gridSpan w:val="2"/>
            <w:tcBorders>
              <w:top w:val="nil"/>
              <w:left w:val="nil"/>
              <w:bottom w:val="nil"/>
              <w:right w:val="nil"/>
            </w:tcBorders>
            <w:shd w:val="clear" w:color="auto" w:fill="auto"/>
            <w:vAlign w:val="center"/>
          </w:tcPr>
          <w:p w:rsidR="00F84DC7" w:rsidRPr="006418E6" w:rsidRDefault="00F84DC7" w:rsidP="006418E6">
            <w:pPr>
              <w:spacing w:before="0"/>
              <w:contextualSpacing/>
              <w:jc w:val="center"/>
              <w:rPr>
                <w:color w:val="FFFFFF" w:themeColor="background1"/>
                <w:sz w:val="2"/>
                <w:szCs w:val="2"/>
              </w:rPr>
            </w:pPr>
          </w:p>
        </w:tc>
        <w:tc>
          <w:tcPr>
            <w:tcW w:w="6236" w:type="dxa"/>
            <w:tcBorders>
              <w:top w:val="nil"/>
              <w:left w:val="nil"/>
              <w:bottom w:val="nil"/>
              <w:right w:val="nil"/>
            </w:tcBorders>
            <w:shd w:val="clear" w:color="auto" w:fill="auto"/>
            <w:vAlign w:val="center"/>
          </w:tcPr>
          <w:p w:rsidR="00F84DC7" w:rsidRPr="006418E6" w:rsidRDefault="00F84DC7" w:rsidP="006418E6">
            <w:pPr>
              <w:spacing w:before="0"/>
              <w:contextualSpacing/>
              <w:jc w:val="center"/>
              <w:cnfStyle w:val="000000000000" w:firstRow="0" w:lastRow="0" w:firstColumn="0" w:lastColumn="0" w:oddVBand="0" w:evenVBand="0" w:oddHBand="0" w:evenHBand="0" w:firstRowFirstColumn="0" w:firstRowLastColumn="0" w:lastRowFirstColumn="0" w:lastRowLastColumn="0"/>
              <w:rPr>
                <w:color w:val="FFFFFF" w:themeColor="background1"/>
                <w:sz w:val="2"/>
                <w:szCs w:val="2"/>
              </w:rPr>
            </w:pPr>
          </w:p>
        </w:tc>
        <w:tc>
          <w:tcPr>
            <w:tcW w:w="1853" w:type="dxa"/>
            <w:gridSpan w:val="3"/>
            <w:tcBorders>
              <w:top w:val="nil"/>
              <w:left w:val="nil"/>
              <w:bottom w:val="nil"/>
              <w:right w:val="nil"/>
            </w:tcBorders>
            <w:shd w:val="clear" w:color="auto" w:fill="auto"/>
            <w:vAlign w:val="center"/>
          </w:tcPr>
          <w:p w:rsidR="00F84DC7" w:rsidRPr="006418E6" w:rsidRDefault="00F84DC7" w:rsidP="006418E6">
            <w:pPr>
              <w:spacing w:before="0"/>
              <w:contextualSpacing/>
              <w:jc w:val="center"/>
              <w:cnfStyle w:val="000000000000" w:firstRow="0" w:lastRow="0" w:firstColumn="0" w:lastColumn="0" w:oddVBand="0" w:evenVBand="0" w:oddHBand="0" w:evenHBand="0" w:firstRowFirstColumn="0" w:firstRowLastColumn="0" w:lastRowFirstColumn="0" w:lastRowLastColumn="0"/>
              <w:rPr>
                <w:color w:val="FFFFFF" w:themeColor="background1"/>
                <w:sz w:val="2"/>
                <w:szCs w:val="2"/>
              </w:rPr>
            </w:pPr>
          </w:p>
        </w:tc>
      </w:tr>
      <w:tr w:rsidR="00C61BEE" w:rsidRPr="00C61BEE" w:rsidTr="00641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667DC1" w:rsidRPr="00C61BEE" w:rsidRDefault="00667DC1" w:rsidP="006418E6">
            <w:pPr>
              <w:spacing w:before="0"/>
              <w:contextualSpacing/>
              <w:jc w:val="center"/>
              <w:rPr>
                <w:color w:val="FFFFFF" w:themeColor="background1"/>
                <w:sz w:val="20"/>
                <w:szCs w:val="20"/>
              </w:rPr>
            </w:pPr>
            <w:r w:rsidRPr="00C61BEE">
              <w:rPr>
                <w:color w:val="FFFFFF" w:themeColor="background1"/>
                <w:sz w:val="20"/>
                <w:szCs w:val="20"/>
              </w:rPr>
              <w:t>Quelle ESRS E1</w:t>
            </w:r>
          </w:p>
        </w:tc>
        <w:tc>
          <w:tcPr>
            <w:tcW w:w="6236" w:type="dxa"/>
            <w:tcBorders>
              <w:top w:val="single" w:sz="4" w:space="0" w:color="auto"/>
              <w:left w:val="single" w:sz="4" w:space="0" w:color="auto"/>
              <w:bottom w:val="single" w:sz="4" w:space="0" w:color="auto"/>
              <w:right w:val="single" w:sz="4" w:space="0" w:color="auto"/>
            </w:tcBorders>
            <w:shd w:val="clear" w:color="auto" w:fill="228B22"/>
            <w:vAlign w:val="center"/>
          </w:tcPr>
          <w:p w:rsidR="00667DC1" w:rsidRPr="00C61BEE" w:rsidRDefault="007242EA" w:rsidP="006418E6">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C61BEE">
              <w:rPr>
                <w:b/>
                <w:color w:val="FFFFFF" w:themeColor="background1"/>
                <w:sz w:val="20"/>
                <w:szCs w:val="20"/>
              </w:rPr>
              <w:t>Management der Auswirkungen, Risiken und Chancen</w:t>
            </w:r>
          </w:p>
        </w:tc>
        <w:tc>
          <w:tcPr>
            <w:tcW w:w="1853"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667DC1" w:rsidRPr="00C61BEE" w:rsidRDefault="00667DC1" w:rsidP="006418E6">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C61BEE">
              <w:rPr>
                <w:b/>
                <w:color w:val="FFFFFF" w:themeColor="background1"/>
                <w:sz w:val="16"/>
                <w:szCs w:val="16"/>
              </w:rPr>
              <w:t>Bemerkungen, ggf. Verweis auf Datenpunkte</w:t>
            </w:r>
          </w:p>
        </w:tc>
      </w:tr>
      <w:tr w:rsidR="00990776" w:rsidRPr="00403766" w:rsidTr="006418E6">
        <w:trPr>
          <w:trHeight w:val="782"/>
          <w:tblHeader/>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6418E6">
            <w:pPr>
              <w:spacing w:before="0"/>
              <w:contextualSpacing/>
              <w:jc w:val="center"/>
              <w:rPr>
                <w:sz w:val="16"/>
                <w:szCs w:val="16"/>
              </w:rPr>
            </w:pPr>
            <w:r w:rsidRPr="00D3053C">
              <w:rPr>
                <w:sz w:val="16"/>
                <w:szCs w:val="16"/>
              </w:rPr>
              <w:t>AR 1</w:t>
            </w:r>
            <w:r w:rsidR="007E542C">
              <w:rPr>
                <w:sz w:val="16"/>
                <w:szCs w:val="16"/>
              </w:rPr>
              <w:t>9</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7E542C" w:rsidRPr="00637399" w:rsidRDefault="007E542C" w:rsidP="006418E6">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637399">
              <w:rPr>
                <w:rFonts w:ascii="Century Gothic" w:hAnsi="Century Gothic"/>
                <w:sz w:val="16"/>
                <w:szCs w:val="16"/>
              </w:rPr>
              <w:t xml:space="preserve">Bei der Angabe der Informationen über </w:t>
            </w:r>
            <w:r w:rsidRPr="008477CA">
              <w:rPr>
                <w:rFonts w:ascii="Century Gothic" w:hAnsi="Century Gothic"/>
                <w:sz w:val="16"/>
                <w:szCs w:val="16"/>
              </w:rPr>
              <w:t>Maßnahmen</w:t>
            </w:r>
            <w:r w:rsidRPr="00637399">
              <w:rPr>
                <w:rFonts w:ascii="Century Gothic" w:hAnsi="Century Gothic"/>
                <w:sz w:val="16"/>
                <w:szCs w:val="16"/>
              </w:rPr>
              <w:t xml:space="preserve"> gemäß Absatz 29 Buchstaben a und b kann das Unternehmen</w:t>
            </w:r>
          </w:p>
          <w:p w:rsidR="007E542C" w:rsidRPr="00637399" w:rsidRDefault="007E542C" w:rsidP="006418E6">
            <w:pPr>
              <w:pStyle w:val="Default"/>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637399">
              <w:rPr>
                <w:rFonts w:ascii="Century Gothic" w:hAnsi="Century Gothic"/>
                <w:sz w:val="16"/>
                <w:szCs w:val="16"/>
              </w:rPr>
              <w:t xml:space="preserve">seine wichtigsten Maßnahmen und/oder Pläne zur Umsetzung der </w:t>
            </w:r>
            <w:r w:rsidRPr="008477CA">
              <w:rPr>
                <w:rFonts w:ascii="Century Gothic" w:hAnsi="Century Gothic"/>
                <w:sz w:val="16"/>
                <w:szCs w:val="16"/>
              </w:rPr>
              <w:t>Strategien</w:t>
            </w:r>
            <w:r w:rsidRPr="00637399">
              <w:rPr>
                <w:rFonts w:ascii="Century Gothic" w:hAnsi="Century Gothic"/>
                <w:sz w:val="16"/>
                <w:szCs w:val="16"/>
              </w:rPr>
              <w:t xml:space="preserve"> zum </w:t>
            </w:r>
            <w:r w:rsidRPr="008477CA">
              <w:rPr>
                <w:rFonts w:ascii="Century Gothic" w:hAnsi="Century Gothic"/>
                <w:sz w:val="16"/>
                <w:szCs w:val="16"/>
              </w:rPr>
              <w:t>Klimaschutz</w:t>
            </w:r>
            <w:r w:rsidRPr="00637399">
              <w:rPr>
                <w:rFonts w:ascii="Century Gothic" w:hAnsi="Century Gothic"/>
                <w:sz w:val="16"/>
                <w:szCs w:val="16"/>
              </w:rPr>
              <w:t xml:space="preserve"> und zur </w:t>
            </w:r>
            <w:r w:rsidRPr="008477CA">
              <w:rPr>
                <w:rFonts w:ascii="Century Gothic" w:hAnsi="Century Gothic"/>
                <w:sz w:val="16"/>
                <w:szCs w:val="16"/>
              </w:rPr>
              <w:t>Anpassung an den Klimawandel</w:t>
            </w:r>
            <w:r w:rsidRPr="00637399">
              <w:rPr>
                <w:rFonts w:ascii="Century Gothic" w:hAnsi="Century Gothic"/>
                <w:sz w:val="16"/>
                <w:szCs w:val="16"/>
              </w:rPr>
              <w:t xml:space="preserve"> im Rahmen einer einzigen Maßnahme oder getrennter Maßnahmen angeben,</w:t>
            </w:r>
          </w:p>
          <w:p w:rsidR="007E542C" w:rsidRPr="00637399" w:rsidRDefault="00637399" w:rsidP="006418E6">
            <w:pPr>
              <w:pStyle w:val="Default"/>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637399">
              <w:rPr>
                <w:rFonts w:ascii="Century Gothic" w:hAnsi="Century Gothic"/>
                <w:sz w:val="16"/>
                <w:szCs w:val="16"/>
              </w:rPr>
              <w:t>Arten</w:t>
            </w:r>
            <w:r w:rsidR="007E542C" w:rsidRPr="00637399">
              <w:rPr>
                <w:rFonts w:ascii="Century Gothic" w:hAnsi="Century Gothic"/>
                <w:sz w:val="16"/>
                <w:szCs w:val="16"/>
              </w:rPr>
              <w:t xml:space="preserve"> von Minderungsmaßnahmen (</w:t>
            </w:r>
            <w:proofErr w:type="spellStart"/>
            <w:r w:rsidR="007E542C" w:rsidRPr="00637399">
              <w:rPr>
                <w:rFonts w:ascii="Century Gothic" w:hAnsi="Century Gothic"/>
                <w:sz w:val="16"/>
                <w:szCs w:val="16"/>
              </w:rPr>
              <w:t>Dekarbonisierungshebeln</w:t>
            </w:r>
            <w:proofErr w:type="spellEnd"/>
            <w:r w:rsidR="007E542C" w:rsidRPr="00637399">
              <w:rPr>
                <w:rFonts w:ascii="Century Gothic" w:hAnsi="Century Gothic"/>
                <w:sz w:val="16"/>
                <w:szCs w:val="16"/>
              </w:rPr>
              <w:t xml:space="preserve">) wie Energieeffizienz, Elektrifizierung, Brennstoffwechsel, Nutzung </w:t>
            </w:r>
            <w:r w:rsidR="007E542C" w:rsidRPr="008477CA">
              <w:rPr>
                <w:rFonts w:ascii="Century Gothic" w:hAnsi="Century Gothic"/>
                <w:sz w:val="16"/>
                <w:szCs w:val="16"/>
              </w:rPr>
              <w:t>erneuerbarer Energie</w:t>
            </w:r>
            <w:r w:rsidR="007E542C" w:rsidRPr="00637399">
              <w:rPr>
                <w:rFonts w:ascii="Century Gothic" w:hAnsi="Century Gothic"/>
                <w:sz w:val="16"/>
                <w:szCs w:val="16"/>
              </w:rPr>
              <w:t>, Produktänderung und Dekarbonisierung der Lieferkette, die zu den spezifischen Maßnahmen des Unternehmens passen, aggregieren,</w:t>
            </w:r>
          </w:p>
          <w:p w:rsidR="007E542C" w:rsidRPr="00637399" w:rsidRDefault="00637399" w:rsidP="006418E6">
            <w:pPr>
              <w:pStyle w:val="Default"/>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637399">
              <w:rPr>
                <w:rFonts w:ascii="Century Gothic" w:hAnsi="Century Gothic"/>
                <w:sz w:val="16"/>
                <w:szCs w:val="16"/>
              </w:rPr>
              <w:t>die</w:t>
            </w:r>
            <w:r w:rsidR="007E542C" w:rsidRPr="00637399">
              <w:rPr>
                <w:rFonts w:ascii="Century Gothic" w:hAnsi="Century Gothic"/>
                <w:sz w:val="16"/>
                <w:szCs w:val="16"/>
              </w:rPr>
              <w:t xml:space="preserve"> Liste der wichtigsten Minderungsmaßnahmen zusammen mit den messbaren Zielen (wie in der </w:t>
            </w:r>
            <w:proofErr w:type="spellStart"/>
            <w:r w:rsidR="007E542C" w:rsidRPr="00637399">
              <w:rPr>
                <w:rFonts w:ascii="Century Gothic" w:hAnsi="Century Gothic"/>
                <w:sz w:val="16"/>
                <w:szCs w:val="16"/>
              </w:rPr>
              <w:t>Angabepflicht</w:t>
            </w:r>
            <w:proofErr w:type="spellEnd"/>
            <w:r w:rsidR="00C91BD2">
              <w:rPr>
                <w:rFonts w:ascii="Century Gothic" w:hAnsi="Century Gothic"/>
                <w:sz w:val="16"/>
                <w:szCs w:val="16"/>
              </w:rPr>
              <w:t xml:space="preserve"> </w:t>
            </w:r>
            <w:r w:rsidR="007E542C" w:rsidRPr="00637399">
              <w:rPr>
                <w:rFonts w:ascii="Century Gothic" w:hAnsi="Century Gothic"/>
                <w:sz w:val="16"/>
                <w:szCs w:val="16"/>
              </w:rPr>
              <w:t xml:space="preserve">E1-4 vorgesehen), aufgeschlüsselt nach </w:t>
            </w:r>
            <w:proofErr w:type="spellStart"/>
            <w:r w:rsidR="007E542C" w:rsidRPr="00637399">
              <w:rPr>
                <w:rFonts w:ascii="Century Gothic" w:hAnsi="Century Gothic"/>
                <w:sz w:val="16"/>
                <w:szCs w:val="16"/>
              </w:rPr>
              <w:t>Dekarbonisierungshebeln</w:t>
            </w:r>
            <w:proofErr w:type="spellEnd"/>
            <w:r w:rsidR="007E542C" w:rsidRPr="00637399">
              <w:rPr>
                <w:rFonts w:ascii="Century Gothic" w:hAnsi="Century Gothic"/>
                <w:sz w:val="16"/>
                <w:szCs w:val="16"/>
              </w:rPr>
              <w:t>, angeben und</w:t>
            </w:r>
          </w:p>
          <w:p w:rsidR="00990776" w:rsidRPr="00637399" w:rsidRDefault="00637399" w:rsidP="006418E6">
            <w:pPr>
              <w:pStyle w:val="Default"/>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sz w:val="16"/>
                <w:szCs w:val="16"/>
              </w:rPr>
            </w:pPr>
            <w:r w:rsidRPr="00637399">
              <w:rPr>
                <w:rFonts w:ascii="Century Gothic" w:hAnsi="Century Gothic"/>
                <w:sz w:val="16"/>
                <w:szCs w:val="16"/>
              </w:rPr>
              <w:t xml:space="preserve">die </w:t>
            </w:r>
            <w:r w:rsidR="007E542C" w:rsidRPr="00637399">
              <w:rPr>
                <w:rFonts w:ascii="Century Gothic" w:hAnsi="Century Gothic"/>
                <w:sz w:val="16"/>
                <w:szCs w:val="16"/>
              </w:rPr>
              <w:t xml:space="preserve">Maßnahmen zur </w:t>
            </w:r>
            <w:r w:rsidR="007E542C" w:rsidRPr="008477CA">
              <w:rPr>
                <w:rFonts w:ascii="Century Gothic" w:hAnsi="Century Gothic"/>
                <w:sz w:val="16"/>
                <w:szCs w:val="16"/>
              </w:rPr>
              <w:t>Anpassung an den Klimawandel</w:t>
            </w:r>
            <w:r w:rsidR="007E542C" w:rsidRPr="00637399">
              <w:rPr>
                <w:rFonts w:ascii="Century Gothic" w:hAnsi="Century Gothic"/>
                <w:sz w:val="16"/>
                <w:szCs w:val="16"/>
              </w:rPr>
              <w:t xml:space="preserve"> nach Art der Anpassungslösung (z. B. naturbasierte Anpassung, verfahrenstechnische oder technologische Lösungen) angeben.</w:t>
            </w:r>
          </w:p>
        </w:tc>
        <w:tc>
          <w:tcPr>
            <w:tcW w:w="1853"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403766" w:rsidRDefault="00990776" w:rsidP="006418E6">
            <w:pPr>
              <w:spacing w:before="0"/>
              <w:contextualSpacing/>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90776" w:rsidRPr="008E116B" w:rsidTr="006418E6">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6418E6">
            <w:pPr>
              <w:spacing w:before="0"/>
              <w:contextualSpacing/>
              <w:jc w:val="center"/>
              <w:rPr>
                <w:sz w:val="16"/>
                <w:szCs w:val="16"/>
              </w:rPr>
            </w:pPr>
            <w:r w:rsidRPr="0015165A">
              <w:rPr>
                <w:sz w:val="16"/>
                <w:szCs w:val="16"/>
              </w:rPr>
              <w:t>AR 2</w:t>
            </w:r>
            <w:r w:rsidR="007E542C">
              <w:rPr>
                <w:sz w:val="16"/>
                <w:szCs w:val="16"/>
              </w:rPr>
              <w:t>0</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990776" w:rsidRPr="00637399" w:rsidRDefault="007E542C" w:rsidP="006418E6">
            <w:pPr>
              <w:tabs>
                <w:tab w:val="left" w:pos="598"/>
              </w:tabs>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637399">
              <w:rPr>
                <w:sz w:val="16"/>
                <w:szCs w:val="16"/>
              </w:rPr>
              <w:t xml:space="preserve">Bei der Angabe der Informationen über Mittel gemäß Absatz 29 Buchstabe c gibt das Unternehmen nur die für die Durchführung der </w:t>
            </w:r>
            <w:r w:rsidRPr="00637399">
              <w:rPr>
                <w:b/>
                <w:bCs/>
                <w:sz w:val="16"/>
                <w:szCs w:val="16"/>
              </w:rPr>
              <w:t xml:space="preserve">Maßnahmen </w:t>
            </w:r>
            <w:r w:rsidRPr="00637399">
              <w:rPr>
                <w:sz w:val="16"/>
                <w:szCs w:val="16"/>
              </w:rPr>
              <w:t xml:space="preserve">erforderlichen signifikanten OpEx- und CapEx-Beträge an, da der Zweck dieser Informationen nicht darin besteht, die angegebenen Beträge mit den Abschlüssen in Einklang zu bringen, sondern die Glaubwürdigkeit seiner Handlungen nachzuweisen. Die angegebenen CapEx- und OpEx-Beträge sind die im laufenden Geschäftsjahr hinzugekommenen materiellen und immateriellen Vermögenswerte sowie die für künftige Zeiträume während der Durchführung der Maßnahmen vorgesehenen neuen Vermögenswerte. Bei den angegebenen Beträgen handelt es sich nur um die zusätzlichen finanziellen Investitionen, die unmittelbar zur Erreichung der </w:t>
            </w:r>
            <w:r w:rsidRPr="00637399">
              <w:rPr>
                <w:b/>
                <w:bCs/>
                <w:sz w:val="16"/>
                <w:szCs w:val="16"/>
              </w:rPr>
              <w:t xml:space="preserve">Ziele </w:t>
            </w:r>
            <w:r w:rsidRPr="00637399">
              <w:rPr>
                <w:sz w:val="16"/>
                <w:szCs w:val="16"/>
              </w:rPr>
              <w:t>des Unternehmens beitragen.</w:t>
            </w:r>
          </w:p>
        </w:tc>
        <w:tc>
          <w:tcPr>
            <w:tcW w:w="1853"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6418E6">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90776" w:rsidRPr="008E116B" w:rsidTr="006418E6">
        <w:tblPrEx>
          <w:shd w:val="clear" w:color="auto" w:fill="auto"/>
        </w:tblPrEx>
        <w:trPr>
          <w:trHeight w:val="782"/>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0776" w:rsidRPr="0015165A" w:rsidRDefault="00990776" w:rsidP="006418E6">
            <w:pPr>
              <w:spacing w:before="0"/>
              <w:contextualSpacing/>
              <w:jc w:val="center"/>
              <w:rPr>
                <w:sz w:val="16"/>
                <w:szCs w:val="16"/>
              </w:rPr>
            </w:pPr>
            <w:r w:rsidRPr="0015165A">
              <w:rPr>
                <w:sz w:val="16"/>
                <w:szCs w:val="16"/>
              </w:rPr>
              <w:t xml:space="preserve">AR </w:t>
            </w:r>
            <w:r w:rsidR="007E542C">
              <w:rPr>
                <w:sz w:val="16"/>
                <w:szCs w:val="16"/>
              </w:rPr>
              <w:t>21</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990776" w:rsidRPr="00637399" w:rsidRDefault="007E542C" w:rsidP="006418E6">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637399">
              <w:rPr>
                <w:rFonts w:ascii="Century Gothic" w:hAnsi="Century Gothic"/>
                <w:sz w:val="16"/>
                <w:szCs w:val="16"/>
              </w:rPr>
              <w:t xml:space="preserve">Im Einklang mit den Anforderungen gemäß ESRS 2 MDR-A erläutert das Unternehmen, ob und in welchem Umfang seine Fähigkeit zur Durchführung der </w:t>
            </w:r>
            <w:r w:rsidRPr="00637399">
              <w:rPr>
                <w:rFonts w:ascii="Century Gothic" w:hAnsi="Century Gothic"/>
                <w:b/>
                <w:bCs/>
                <w:sz w:val="16"/>
                <w:szCs w:val="16"/>
              </w:rPr>
              <w:t xml:space="preserve">Maßnahmen </w:t>
            </w:r>
            <w:r w:rsidRPr="00637399">
              <w:rPr>
                <w:rFonts w:ascii="Century Gothic" w:hAnsi="Century Gothic"/>
                <w:sz w:val="16"/>
                <w:szCs w:val="16"/>
              </w:rPr>
              <w:t>von der Verfügbarkeit und Zuweisung von Mitteln abhängt. Ein kontinuierlicher Zugang zu Finanzmitteln zu erschwinglichen Kapitalkosten kann für die Durchführung der Maßnahmen des Unternehmens von entscheidender Bedeutung sein, wozu auch Anpassungen an Angebots-/Nachfrageänderungen oder damit verbundene Zukäufe sowie erhebliche Investitionen in Forschung und Entwicklung (</w:t>
            </w:r>
            <w:proofErr w:type="spellStart"/>
            <w:r w:rsidRPr="00637399">
              <w:rPr>
                <w:rFonts w:ascii="Century Gothic" w:hAnsi="Century Gothic"/>
                <w:sz w:val="16"/>
                <w:szCs w:val="16"/>
              </w:rPr>
              <w:t>FuE</w:t>
            </w:r>
            <w:proofErr w:type="spellEnd"/>
            <w:r w:rsidRPr="00637399">
              <w:rPr>
                <w:rFonts w:ascii="Century Gothic" w:hAnsi="Century Gothic"/>
                <w:sz w:val="16"/>
                <w:szCs w:val="16"/>
              </w:rPr>
              <w:t>) gehören.</w:t>
            </w:r>
          </w:p>
        </w:tc>
        <w:tc>
          <w:tcPr>
            <w:tcW w:w="1853" w:type="dxa"/>
            <w:gridSpan w:val="3"/>
            <w:tcBorders>
              <w:top w:val="single" w:sz="4" w:space="0" w:color="auto"/>
              <w:left w:val="single" w:sz="4" w:space="0" w:color="auto"/>
              <w:bottom w:val="single" w:sz="4" w:space="0" w:color="auto"/>
              <w:right w:val="single" w:sz="4" w:space="0" w:color="auto"/>
            </w:tcBorders>
            <w:shd w:val="clear" w:color="auto" w:fill="auto"/>
          </w:tcPr>
          <w:p w:rsidR="00990776" w:rsidRPr="008E116B" w:rsidRDefault="00990776" w:rsidP="006418E6">
            <w:pPr>
              <w:spacing w:before="0"/>
              <w:contextualSpacing/>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7291B" w:rsidRPr="008E116B" w:rsidTr="006418E6">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291B" w:rsidRPr="0015165A" w:rsidRDefault="00E7291B" w:rsidP="006418E6">
            <w:pPr>
              <w:spacing w:before="0"/>
              <w:contextualSpacing/>
              <w:jc w:val="center"/>
              <w:rPr>
                <w:sz w:val="16"/>
                <w:szCs w:val="16"/>
              </w:rPr>
            </w:pPr>
            <w:r w:rsidRPr="0015165A">
              <w:rPr>
                <w:sz w:val="16"/>
                <w:szCs w:val="16"/>
              </w:rPr>
              <w:t xml:space="preserve">AR </w:t>
            </w:r>
            <w:r w:rsidR="007E542C">
              <w:rPr>
                <w:sz w:val="16"/>
                <w:szCs w:val="16"/>
              </w:rPr>
              <w:t>22</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E7291B" w:rsidRPr="00990776" w:rsidRDefault="007E542C" w:rsidP="006418E6">
            <w:pPr>
              <w:spacing w:before="0"/>
              <w:contextualSpacing/>
              <w:cnfStyle w:val="000000100000" w:firstRow="0" w:lastRow="0" w:firstColumn="0" w:lastColumn="0" w:oddVBand="0" w:evenVBand="0" w:oddHBand="1" w:evenHBand="0" w:firstRowFirstColumn="0" w:firstRowLastColumn="0" w:lastRowFirstColumn="0" w:lastRowLastColumn="0"/>
              <w:rPr>
                <w:sz w:val="16"/>
                <w:szCs w:val="16"/>
              </w:rPr>
            </w:pPr>
            <w:r w:rsidRPr="007E542C">
              <w:rPr>
                <w:sz w:val="16"/>
                <w:szCs w:val="16"/>
              </w:rPr>
              <w:t xml:space="preserve">Die OpEx- und CapEx-Beträge, die für die Durchführung der gemäß Absatz 29 Buchstabe c angegebenen </w:t>
            </w:r>
            <w:r w:rsidRPr="007E542C">
              <w:rPr>
                <w:b/>
                <w:bCs/>
                <w:sz w:val="16"/>
                <w:szCs w:val="16"/>
              </w:rPr>
              <w:t xml:space="preserve">Maßnahmen </w:t>
            </w:r>
            <w:r w:rsidRPr="007E542C">
              <w:rPr>
                <w:sz w:val="16"/>
                <w:szCs w:val="16"/>
              </w:rPr>
              <w:t xml:space="preserve">erforderlich sind, müssen mit den wichtigsten Leistungsindikatoren (wichtigste CapEx- und OpEx- Leistungsindikatoren) und gegebenenfalls mit dem gemäß der Delegierten Verordnung (EU) 2021/2178 der Kommission erforderlichen CapEx-Plan im Einklang stehen. Das Unternehmen erläutert etwaige Differenzen zwischen den gemäß diesem Standard angegebenen signifikanten OpEx- und CapEx-Beträgen und den gemäß der Taxonomie-Verordnung (EU) 2021/2178 angegebenen wichtigsten Leistungsindikatoren, beispielsweise aufgrund der Angabe nicht förderfähiger Wirtschaftstätigkeiten im Sinne der genannten Verordnung. Das Unternehmen kann seine Tätigkeiten nach Wirtschaftstätigkeiten strukturieren, um seine OpEx und CapEx und gegebenenfalls seine OpEx- und/oder CapEx-Pläne mit seinen wichtigsten </w:t>
            </w:r>
            <w:proofErr w:type="spellStart"/>
            <w:r w:rsidRPr="007E542C">
              <w:rPr>
                <w:sz w:val="16"/>
                <w:szCs w:val="16"/>
              </w:rPr>
              <w:t>taxonomiekonformen</w:t>
            </w:r>
            <w:proofErr w:type="spellEnd"/>
            <w:r w:rsidRPr="007E542C">
              <w:rPr>
                <w:sz w:val="16"/>
                <w:szCs w:val="16"/>
              </w:rPr>
              <w:t xml:space="preserve"> Leistungsindikatoren zu vergleichen.</w:t>
            </w:r>
          </w:p>
        </w:tc>
        <w:tc>
          <w:tcPr>
            <w:tcW w:w="1853" w:type="dxa"/>
            <w:gridSpan w:val="3"/>
            <w:tcBorders>
              <w:top w:val="single" w:sz="4" w:space="0" w:color="auto"/>
              <w:left w:val="single" w:sz="4" w:space="0" w:color="auto"/>
              <w:bottom w:val="single" w:sz="4" w:space="0" w:color="auto"/>
              <w:right w:val="single" w:sz="4" w:space="0" w:color="auto"/>
            </w:tcBorders>
            <w:shd w:val="clear" w:color="auto" w:fill="auto"/>
          </w:tcPr>
          <w:p w:rsidR="00E7291B" w:rsidRPr="008E116B" w:rsidRDefault="00E7291B" w:rsidP="006418E6">
            <w:pPr>
              <w:spacing w:before="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15165A" w:rsidRDefault="0015165A" w:rsidP="00D3053C">
      <w:pPr>
        <w:jc w:val="left"/>
        <w:rPr>
          <w:sz w:val="16"/>
          <w:szCs w:val="28"/>
        </w:rPr>
      </w:pPr>
    </w:p>
    <w:sectPr w:rsidR="0015165A" w:rsidSect="00665F75">
      <w:headerReference w:type="default" r:id="rId9"/>
      <w:footerReference w:type="default" r:id="rId10"/>
      <w:headerReference w:type="first" r:id="rId11"/>
      <w:footerReference w:type="first" r:id="rId12"/>
      <w:type w:val="continuous"/>
      <w:pgSz w:w="11907" w:h="16839" w:code="9"/>
      <w:pgMar w:top="1099" w:right="1701" w:bottom="1134" w:left="1134"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070E76" w:rsidTr="0001466E">
      <w:trPr>
        <w:trHeight w:hRule="exact" w:val="1191"/>
      </w:trPr>
      <w:tc>
        <w:tcPr>
          <w:tcW w:w="2265" w:type="dxa"/>
          <w:vAlign w:val="bottom"/>
          <w:hideMark/>
        </w:tcPr>
        <w:p w:rsidR="00070E76" w:rsidRDefault="00070E76" w:rsidP="00070E76">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521680436"/>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070E76" w:rsidRDefault="00070E76" w:rsidP="00070E76">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070E76" w:rsidRDefault="00070E76" w:rsidP="00070E76">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070E76" w:rsidRDefault="00070E76" w:rsidP="00070E76">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070E76" w:rsidRDefault="00070E76" w:rsidP="00070E76">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3</w:t>
          </w:r>
        </w:p>
        <w:p w:rsidR="00070E76" w:rsidRDefault="00070E76" w:rsidP="00070E76">
          <w:pPr>
            <w:tabs>
              <w:tab w:val="left" w:pos="2100"/>
            </w:tabs>
            <w:spacing w:before="0"/>
            <w:jc w:val="right"/>
            <w:rPr>
              <w:sz w:val="20"/>
            </w:rPr>
          </w:pPr>
          <w:r>
            <w:rPr>
              <w:rFonts w:eastAsiaTheme="minorHAnsi" w:cstheme="minorBidi"/>
              <w:sz w:val="20"/>
              <w:lang w:eastAsia="en-US"/>
            </w:rPr>
            <w:t>Stand: 01.08.2024</w:t>
          </w:r>
        </w:p>
      </w:tc>
    </w:tr>
  </w:tbl>
  <w:p w:rsidR="009E6C29" w:rsidRPr="00070E76" w:rsidRDefault="009E6C29" w:rsidP="00070E76">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070E76" w:rsidTr="0001466E">
      <w:trPr>
        <w:trHeight w:hRule="exact" w:val="1191"/>
      </w:trPr>
      <w:tc>
        <w:tcPr>
          <w:tcW w:w="2265" w:type="dxa"/>
          <w:vAlign w:val="bottom"/>
          <w:hideMark/>
        </w:tcPr>
        <w:p w:rsidR="00070E76" w:rsidRDefault="00070E76" w:rsidP="00070E76">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070E76" w:rsidRDefault="00070E76" w:rsidP="00070E76">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070E76" w:rsidRDefault="00070E76" w:rsidP="00070E76">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5099822E" wp14:editId="2C240058">
                <wp:extent cx="1125855" cy="4318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070E76" w:rsidRDefault="00070E76" w:rsidP="00070E76">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C2DFD71" wp14:editId="0B60D137">
                <wp:extent cx="1151255" cy="431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070E76" w:rsidRDefault="00070E76" w:rsidP="00070E76">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Praxishilfe 5/1</w:t>
          </w:r>
          <w:r>
            <w:rPr>
              <w:rFonts w:eastAsiaTheme="minorHAnsi" w:cstheme="minorBidi"/>
              <w:b/>
              <w:color w:val="228B22"/>
              <w:sz w:val="20"/>
              <w:lang w:eastAsia="en-US"/>
            </w:rPr>
            <w:t>3</w:t>
          </w:r>
        </w:p>
        <w:p w:rsidR="00070E76" w:rsidRDefault="00070E76" w:rsidP="00070E76">
          <w:pPr>
            <w:tabs>
              <w:tab w:val="left" w:pos="2100"/>
            </w:tabs>
            <w:spacing w:before="0"/>
            <w:jc w:val="right"/>
            <w:rPr>
              <w:sz w:val="20"/>
            </w:rPr>
          </w:pPr>
          <w:r>
            <w:rPr>
              <w:rFonts w:eastAsiaTheme="minorHAnsi" w:cstheme="minorBidi"/>
              <w:sz w:val="20"/>
              <w:lang w:eastAsia="en-US"/>
            </w:rPr>
            <w:t>Stand: 01.08.2024</w:t>
          </w:r>
        </w:p>
      </w:tc>
    </w:tr>
  </w:tbl>
  <w:p w:rsidR="009E6C29" w:rsidRPr="00070E76" w:rsidRDefault="009E6C29" w:rsidP="00070E76">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665F75" w:rsidRDefault="009E6C29"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83D0BFD"/>
    <w:multiLevelType w:val="hybridMultilevel"/>
    <w:tmpl w:val="2CDA29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3873D3"/>
    <w:multiLevelType w:val="hybridMultilevel"/>
    <w:tmpl w:val="34B8DB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0A4FEB"/>
    <w:multiLevelType w:val="hybridMultilevel"/>
    <w:tmpl w:val="4EB6224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14"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14"/>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3"/>
  </w:num>
  <w:num w:numId="12">
    <w:abstractNumId w:val="9"/>
  </w:num>
  <w:num w:numId="13">
    <w:abstractNumId w:val="10"/>
  </w:num>
  <w:num w:numId="14">
    <w:abstractNumId w:val="1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2230"/>
    <w:rsid w:val="00002EED"/>
    <w:rsid w:val="000030A9"/>
    <w:rsid w:val="000054E6"/>
    <w:rsid w:val="0001477C"/>
    <w:rsid w:val="000213D0"/>
    <w:rsid w:val="0002748A"/>
    <w:rsid w:val="00030ECD"/>
    <w:rsid w:val="0003242D"/>
    <w:rsid w:val="0003449D"/>
    <w:rsid w:val="0004061E"/>
    <w:rsid w:val="0004096F"/>
    <w:rsid w:val="0004682E"/>
    <w:rsid w:val="000503CF"/>
    <w:rsid w:val="0005326E"/>
    <w:rsid w:val="000616B8"/>
    <w:rsid w:val="00064F40"/>
    <w:rsid w:val="00070E76"/>
    <w:rsid w:val="000732FA"/>
    <w:rsid w:val="00075E7C"/>
    <w:rsid w:val="00080B9A"/>
    <w:rsid w:val="00086B8A"/>
    <w:rsid w:val="0009344D"/>
    <w:rsid w:val="00097B2B"/>
    <w:rsid w:val="000B1337"/>
    <w:rsid w:val="000C61BA"/>
    <w:rsid w:val="000D349D"/>
    <w:rsid w:val="000D6428"/>
    <w:rsid w:val="000E0C5F"/>
    <w:rsid w:val="000E26F7"/>
    <w:rsid w:val="000E57B4"/>
    <w:rsid w:val="000F2D44"/>
    <w:rsid w:val="00106BBE"/>
    <w:rsid w:val="00111AC6"/>
    <w:rsid w:val="00114EA5"/>
    <w:rsid w:val="00115916"/>
    <w:rsid w:val="001205E2"/>
    <w:rsid w:val="00130748"/>
    <w:rsid w:val="00143F11"/>
    <w:rsid w:val="001468B7"/>
    <w:rsid w:val="0015165A"/>
    <w:rsid w:val="001610A2"/>
    <w:rsid w:val="00165A53"/>
    <w:rsid w:val="00180880"/>
    <w:rsid w:val="00182B83"/>
    <w:rsid w:val="00184E10"/>
    <w:rsid w:val="00184E29"/>
    <w:rsid w:val="0019585B"/>
    <w:rsid w:val="001A1B58"/>
    <w:rsid w:val="001A6337"/>
    <w:rsid w:val="001B3F50"/>
    <w:rsid w:val="001B7418"/>
    <w:rsid w:val="001B7E25"/>
    <w:rsid w:val="001C0D6B"/>
    <w:rsid w:val="001C1789"/>
    <w:rsid w:val="001D22E2"/>
    <w:rsid w:val="001E1F96"/>
    <w:rsid w:val="001E38E2"/>
    <w:rsid w:val="001E7A82"/>
    <w:rsid w:val="001F04DD"/>
    <w:rsid w:val="002051B1"/>
    <w:rsid w:val="002065BE"/>
    <w:rsid w:val="0021047B"/>
    <w:rsid w:val="00213C34"/>
    <w:rsid w:val="00222629"/>
    <w:rsid w:val="00222B75"/>
    <w:rsid w:val="00224C68"/>
    <w:rsid w:val="00242FC1"/>
    <w:rsid w:val="00253D75"/>
    <w:rsid w:val="00257647"/>
    <w:rsid w:val="002717FB"/>
    <w:rsid w:val="00280D52"/>
    <w:rsid w:val="00283F41"/>
    <w:rsid w:val="00284FA6"/>
    <w:rsid w:val="00285560"/>
    <w:rsid w:val="00285C0D"/>
    <w:rsid w:val="00287CF3"/>
    <w:rsid w:val="00290924"/>
    <w:rsid w:val="00291F83"/>
    <w:rsid w:val="0029592F"/>
    <w:rsid w:val="002A064F"/>
    <w:rsid w:val="002A0C98"/>
    <w:rsid w:val="002A29CF"/>
    <w:rsid w:val="002A3549"/>
    <w:rsid w:val="002B17CE"/>
    <w:rsid w:val="002B298F"/>
    <w:rsid w:val="002B37AC"/>
    <w:rsid w:val="002B7B81"/>
    <w:rsid w:val="002C7903"/>
    <w:rsid w:val="002D0908"/>
    <w:rsid w:val="002D7E2D"/>
    <w:rsid w:val="002F09D8"/>
    <w:rsid w:val="002F260C"/>
    <w:rsid w:val="002F6B99"/>
    <w:rsid w:val="002F771F"/>
    <w:rsid w:val="00301DCE"/>
    <w:rsid w:val="00304799"/>
    <w:rsid w:val="003113C6"/>
    <w:rsid w:val="00340216"/>
    <w:rsid w:val="00342964"/>
    <w:rsid w:val="00352142"/>
    <w:rsid w:val="00354556"/>
    <w:rsid w:val="00360F3D"/>
    <w:rsid w:val="00364269"/>
    <w:rsid w:val="003703D1"/>
    <w:rsid w:val="00376DCD"/>
    <w:rsid w:val="00382BCD"/>
    <w:rsid w:val="003875E4"/>
    <w:rsid w:val="003932A1"/>
    <w:rsid w:val="003A6CCF"/>
    <w:rsid w:val="003A6FEB"/>
    <w:rsid w:val="003A7861"/>
    <w:rsid w:val="003B420D"/>
    <w:rsid w:val="003D0C3F"/>
    <w:rsid w:val="003D15FE"/>
    <w:rsid w:val="003E348F"/>
    <w:rsid w:val="003E5835"/>
    <w:rsid w:val="003F1B18"/>
    <w:rsid w:val="00402C0A"/>
    <w:rsid w:val="00403766"/>
    <w:rsid w:val="004076E9"/>
    <w:rsid w:val="0041402E"/>
    <w:rsid w:val="00414D05"/>
    <w:rsid w:val="00416098"/>
    <w:rsid w:val="00416270"/>
    <w:rsid w:val="00420309"/>
    <w:rsid w:val="004248A0"/>
    <w:rsid w:val="00425D64"/>
    <w:rsid w:val="004279BD"/>
    <w:rsid w:val="0043323A"/>
    <w:rsid w:val="00433509"/>
    <w:rsid w:val="00440D21"/>
    <w:rsid w:val="00445BB8"/>
    <w:rsid w:val="0044742E"/>
    <w:rsid w:val="00454705"/>
    <w:rsid w:val="00465DB3"/>
    <w:rsid w:val="0047207E"/>
    <w:rsid w:val="00475D54"/>
    <w:rsid w:val="004867BC"/>
    <w:rsid w:val="0049126F"/>
    <w:rsid w:val="00492F5F"/>
    <w:rsid w:val="004B0628"/>
    <w:rsid w:val="004B2234"/>
    <w:rsid w:val="004B32C2"/>
    <w:rsid w:val="004B5526"/>
    <w:rsid w:val="004B5A8E"/>
    <w:rsid w:val="004B6272"/>
    <w:rsid w:val="004B6415"/>
    <w:rsid w:val="004C3F5D"/>
    <w:rsid w:val="004C60FF"/>
    <w:rsid w:val="004D43D5"/>
    <w:rsid w:val="004D6C91"/>
    <w:rsid w:val="004E699D"/>
    <w:rsid w:val="004F1A62"/>
    <w:rsid w:val="004F1C26"/>
    <w:rsid w:val="004F1E92"/>
    <w:rsid w:val="0050152B"/>
    <w:rsid w:val="00503C2E"/>
    <w:rsid w:val="005060F4"/>
    <w:rsid w:val="005126C2"/>
    <w:rsid w:val="00516C43"/>
    <w:rsid w:val="0052103B"/>
    <w:rsid w:val="00523480"/>
    <w:rsid w:val="00525CDB"/>
    <w:rsid w:val="00527267"/>
    <w:rsid w:val="00527970"/>
    <w:rsid w:val="00533698"/>
    <w:rsid w:val="00534A4B"/>
    <w:rsid w:val="00537185"/>
    <w:rsid w:val="005473EF"/>
    <w:rsid w:val="0055136F"/>
    <w:rsid w:val="0055156D"/>
    <w:rsid w:val="00567521"/>
    <w:rsid w:val="00583AA1"/>
    <w:rsid w:val="0058527F"/>
    <w:rsid w:val="00585859"/>
    <w:rsid w:val="005913EC"/>
    <w:rsid w:val="005921A2"/>
    <w:rsid w:val="00594C08"/>
    <w:rsid w:val="005967E6"/>
    <w:rsid w:val="005A05DD"/>
    <w:rsid w:val="005B024A"/>
    <w:rsid w:val="005B57D7"/>
    <w:rsid w:val="005B7F7F"/>
    <w:rsid w:val="005C1C85"/>
    <w:rsid w:val="005C5708"/>
    <w:rsid w:val="005D1825"/>
    <w:rsid w:val="005D26BD"/>
    <w:rsid w:val="005D2A74"/>
    <w:rsid w:val="005D4260"/>
    <w:rsid w:val="005D7367"/>
    <w:rsid w:val="005E0577"/>
    <w:rsid w:val="005E07BD"/>
    <w:rsid w:val="005E7803"/>
    <w:rsid w:val="005E7C43"/>
    <w:rsid w:val="005F6F40"/>
    <w:rsid w:val="00632C1A"/>
    <w:rsid w:val="00637399"/>
    <w:rsid w:val="006415FE"/>
    <w:rsid w:val="006418E6"/>
    <w:rsid w:val="006454CF"/>
    <w:rsid w:val="0065198F"/>
    <w:rsid w:val="006521FF"/>
    <w:rsid w:val="00665F75"/>
    <w:rsid w:val="00666AFB"/>
    <w:rsid w:val="0066763B"/>
    <w:rsid w:val="00667DC1"/>
    <w:rsid w:val="00673DA9"/>
    <w:rsid w:val="0068164E"/>
    <w:rsid w:val="00684B37"/>
    <w:rsid w:val="006A27FA"/>
    <w:rsid w:val="006C4228"/>
    <w:rsid w:val="006D45A1"/>
    <w:rsid w:val="006D7242"/>
    <w:rsid w:val="006E24F6"/>
    <w:rsid w:val="006E7126"/>
    <w:rsid w:val="006F281C"/>
    <w:rsid w:val="007024CA"/>
    <w:rsid w:val="007026D1"/>
    <w:rsid w:val="00711AB6"/>
    <w:rsid w:val="00715003"/>
    <w:rsid w:val="00715344"/>
    <w:rsid w:val="00716DD5"/>
    <w:rsid w:val="00720E5C"/>
    <w:rsid w:val="007242EA"/>
    <w:rsid w:val="00740CB3"/>
    <w:rsid w:val="00742EA1"/>
    <w:rsid w:val="00744772"/>
    <w:rsid w:val="00744C9A"/>
    <w:rsid w:val="007506E6"/>
    <w:rsid w:val="007626C5"/>
    <w:rsid w:val="00763FC1"/>
    <w:rsid w:val="007648E0"/>
    <w:rsid w:val="00765666"/>
    <w:rsid w:val="00772791"/>
    <w:rsid w:val="0078728B"/>
    <w:rsid w:val="00790130"/>
    <w:rsid w:val="00796513"/>
    <w:rsid w:val="007A05F9"/>
    <w:rsid w:val="007A060E"/>
    <w:rsid w:val="007A0F21"/>
    <w:rsid w:val="007A3E0C"/>
    <w:rsid w:val="007A407E"/>
    <w:rsid w:val="007B1945"/>
    <w:rsid w:val="007D3976"/>
    <w:rsid w:val="007D6927"/>
    <w:rsid w:val="007E0249"/>
    <w:rsid w:val="007E542C"/>
    <w:rsid w:val="007F3A7C"/>
    <w:rsid w:val="00802ED4"/>
    <w:rsid w:val="00805892"/>
    <w:rsid w:val="0081072B"/>
    <w:rsid w:val="008248D3"/>
    <w:rsid w:val="00834FC0"/>
    <w:rsid w:val="008353C3"/>
    <w:rsid w:val="00843B06"/>
    <w:rsid w:val="008471C9"/>
    <w:rsid w:val="008477CA"/>
    <w:rsid w:val="008507A2"/>
    <w:rsid w:val="00855B99"/>
    <w:rsid w:val="00861273"/>
    <w:rsid w:val="00862DDF"/>
    <w:rsid w:val="00870FFE"/>
    <w:rsid w:val="00872C95"/>
    <w:rsid w:val="00872F5F"/>
    <w:rsid w:val="0087591D"/>
    <w:rsid w:val="008764C8"/>
    <w:rsid w:val="0088020C"/>
    <w:rsid w:val="00884570"/>
    <w:rsid w:val="00891EEA"/>
    <w:rsid w:val="008934ED"/>
    <w:rsid w:val="008976BA"/>
    <w:rsid w:val="008A5560"/>
    <w:rsid w:val="008B4862"/>
    <w:rsid w:val="008C44B0"/>
    <w:rsid w:val="008C4725"/>
    <w:rsid w:val="008D1A8E"/>
    <w:rsid w:val="008E0D82"/>
    <w:rsid w:val="008E0FC7"/>
    <w:rsid w:val="008E116B"/>
    <w:rsid w:val="008F75E7"/>
    <w:rsid w:val="009075A9"/>
    <w:rsid w:val="009212B4"/>
    <w:rsid w:val="0092685E"/>
    <w:rsid w:val="00934C5B"/>
    <w:rsid w:val="0095198B"/>
    <w:rsid w:val="00952AD1"/>
    <w:rsid w:val="00970211"/>
    <w:rsid w:val="009760D0"/>
    <w:rsid w:val="00977270"/>
    <w:rsid w:val="009773FE"/>
    <w:rsid w:val="00984AAE"/>
    <w:rsid w:val="00985A96"/>
    <w:rsid w:val="00990776"/>
    <w:rsid w:val="0099236A"/>
    <w:rsid w:val="009A6E64"/>
    <w:rsid w:val="009C0A38"/>
    <w:rsid w:val="009C1E3E"/>
    <w:rsid w:val="009C2FF2"/>
    <w:rsid w:val="009C542C"/>
    <w:rsid w:val="009C6EFB"/>
    <w:rsid w:val="009C7454"/>
    <w:rsid w:val="009C7804"/>
    <w:rsid w:val="009D0798"/>
    <w:rsid w:val="009D429E"/>
    <w:rsid w:val="009E1FB1"/>
    <w:rsid w:val="009E52C9"/>
    <w:rsid w:val="009E6C29"/>
    <w:rsid w:val="009F1711"/>
    <w:rsid w:val="009F6E01"/>
    <w:rsid w:val="00A06317"/>
    <w:rsid w:val="00A16041"/>
    <w:rsid w:val="00A237ED"/>
    <w:rsid w:val="00A23F62"/>
    <w:rsid w:val="00A31197"/>
    <w:rsid w:val="00A5114A"/>
    <w:rsid w:val="00A613A1"/>
    <w:rsid w:val="00A62C9B"/>
    <w:rsid w:val="00A6459E"/>
    <w:rsid w:val="00A649A3"/>
    <w:rsid w:val="00A7113B"/>
    <w:rsid w:val="00A717FD"/>
    <w:rsid w:val="00A75CE3"/>
    <w:rsid w:val="00A8486F"/>
    <w:rsid w:val="00A87FE5"/>
    <w:rsid w:val="00A90655"/>
    <w:rsid w:val="00A946ED"/>
    <w:rsid w:val="00AA65D6"/>
    <w:rsid w:val="00AB613B"/>
    <w:rsid w:val="00AC17EE"/>
    <w:rsid w:val="00AC3CBC"/>
    <w:rsid w:val="00AD2F23"/>
    <w:rsid w:val="00AE290A"/>
    <w:rsid w:val="00AF1983"/>
    <w:rsid w:val="00AF4845"/>
    <w:rsid w:val="00AF76A2"/>
    <w:rsid w:val="00B114B0"/>
    <w:rsid w:val="00B1324F"/>
    <w:rsid w:val="00B13741"/>
    <w:rsid w:val="00B15817"/>
    <w:rsid w:val="00B1680D"/>
    <w:rsid w:val="00B175D2"/>
    <w:rsid w:val="00B2286E"/>
    <w:rsid w:val="00B22993"/>
    <w:rsid w:val="00B261B2"/>
    <w:rsid w:val="00B34064"/>
    <w:rsid w:val="00B3475C"/>
    <w:rsid w:val="00B451B0"/>
    <w:rsid w:val="00B466AC"/>
    <w:rsid w:val="00B50770"/>
    <w:rsid w:val="00B6345C"/>
    <w:rsid w:val="00B66196"/>
    <w:rsid w:val="00B6637D"/>
    <w:rsid w:val="00B73242"/>
    <w:rsid w:val="00B760B6"/>
    <w:rsid w:val="00B77530"/>
    <w:rsid w:val="00B870E2"/>
    <w:rsid w:val="00B91F5A"/>
    <w:rsid w:val="00BA02EC"/>
    <w:rsid w:val="00BA1533"/>
    <w:rsid w:val="00BA1564"/>
    <w:rsid w:val="00BA7590"/>
    <w:rsid w:val="00BB730F"/>
    <w:rsid w:val="00BB7EE1"/>
    <w:rsid w:val="00BC0E3E"/>
    <w:rsid w:val="00BC6A51"/>
    <w:rsid w:val="00BD2864"/>
    <w:rsid w:val="00BD37FF"/>
    <w:rsid w:val="00BD62C0"/>
    <w:rsid w:val="00BE368B"/>
    <w:rsid w:val="00BE4FB5"/>
    <w:rsid w:val="00BF0354"/>
    <w:rsid w:val="00BF2B89"/>
    <w:rsid w:val="00BF7EB9"/>
    <w:rsid w:val="00C10F24"/>
    <w:rsid w:val="00C24E59"/>
    <w:rsid w:val="00C30D7D"/>
    <w:rsid w:val="00C407A8"/>
    <w:rsid w:val="00C43D74"/>
    <w:rsid w:val="00C470A2"/>
    <w:rsid w:val="00C50BAE"/>
    <w:rsid w:val="00C61048"/>
    <w:rsid w:val="00C61BEE"/>
    <w:rsid w:val="00C850F9"/>
    <w:rsid w:val="00C8522D"/>
    <w:rsid w:val="00C91AC1"/>
    <w:rsid w:val="00C91BD2"/>
    <w:rsid w:val="00C929A0"/>
    <w:rsid w:val="00C940C7"/>
    <w:rsid w:val="00C9577E"/>
    <w:rsid w:val="00CA5FDE"/>
    <w:rsid w:val="00CA64ED"/>
    <w:rsid w:val="00CA6FFC"/>
    <w:rsid w:val="00CB24C7"/>
    <w:rsid w:val="00CB3640"/>
    <w:rsid w:val="00CC19EF"/>
    <w:rsid w:val="00CD1A9A"/>
    <w:rsid w:val="00CD4117"/>
    <w:rsid w:val="00CE2C28"/>
    <w:rsid w:val="00CE73C2"/>
    <w:rsid w:val="00CF7BE5"/>
    <w:rsid w:val="00D13823"/>
    <w:rsid w:val="00D13BD1"/>
    <w:rsid w:val="00D239B7"/>
    <w:rsid w:val="00D3053C"/>
    <w:rsid w:val="00D308D8"/>
    <w:rsid w:val="00D330A7"/>
    <w:rsid w:val="00D3468F"/>
    <w:rsid w:val="00D45365"/>
    <w:rsid w:val="00D553DC"/>
    <w:rsid w:val="00D61222"/>
    <w:rsid w:val="00D6322C"/>
    <w:rsid w:val="00D65E04"/>
    <w:rsid w:val="00DA6374"/>
    <w:rsid w:val="00DB3534"/>
    <w:rsid w:val="00DB3B77"/>
    <w:rsid w:val="00DC5CF9"/>
    <w:rsid w:val="00DC7BB1"/>
    <w:rsid w:val="00DD3447"/>
    <w:rsid w:val="00DD5810"/>
    <w:rsid w:val="00DD6816"/>
    <w:rsid w:val="00DE10AB"/>
    <w:rsid w:val="00DE2B44"/>
    <w:rsid w:val="00DE3213"/>
    <w:rsid w:val="00DF21AF"/>
    <w:rsid w:val="00DF648F"/>
    <w:rsid w:val="00DF6B90"/>
    <w:rsid w:val="00E016C0"/>
    <w:rsid w:val="00E051EF"/>
    <w:rsid w:val="00E12E0B"/>
    <w:rsid w:val="00E211D2"/>
    <w:rsid w:val="00E21377"/>
    <w:rsid w:val="00E227CA"/>
    <w:rsid w:val="00E329E8"/>
    <w:rsid w:val="00E342CA"/>
    <w:rsid w:val="00E368C3"/>
    <w:rsid w:val="00E50734"/>
    <w:rsid w:val="00E54CF5"/>
    <w:rsid w:val="00E57522"/>
    <w:rsid w:val="00E57793"/>
    <w:rsid w:val="00E61BCD"/>
    <w:rsid w:val="00E64C5B"/>
    <w:rsid w:val="00E65739"/>
    <w:rsid w:val="00E7291B"/>
    <w:rsid w:val="00E77518"/>
    <w:rsid w:val="00EA0865"/>
    <w:rsid w:val="00EA2ACF"/>
    <w:rsid w:val="00EA74B3"/>
    <w:rsid w:val="00EB6957"/>
    <w:rsid w:val="00EC00F0"/>
    <w:rsid w:val="00EC613C"/>
    <w:rsid w:val="00EE217B"/>
    <w:rsid w:val="00EF2558"/>
    <w:rsid w:val="00F029CC"/>
    <w:rsid w:val="00F02A61"/>
    <w:rsid w:val="00F0747B"/>
    <w:rsid w:val="00F15E00"/>
    <w:rsid w:val="00F16438"/>
    <w:rsid w:val="00F16D23"/>
    <w:rsid w:val="00F2421E"/>
    <w:rsid w:val="00F279E3"/>
    <w:rsid w:val="00F3121A"/>
    <w:rsid w:val="00F35247"/>
    <w:rsid w:val="00F43427"/>
    <w:rsid w:val="00F508B7"/>
    <w:rsid w:val="00F51F9C"/>
    <w:rsid w:val="00F579A0"/>
    <w:rsid w:val="00F607DD"/>
    <w:rsid w:val="00F672A4"/>
    <w:rsid w:val="00F67FF5"/>
    <w:rsid w:val="00F84DC7"/>
    <w:rsid w:val="00F87375"/>
    <w:rsid w:val="00F920AB"/>
    <w:rsid w:val="00FA1E51"/>
    <w:rsid w:val="00FA6260"/>
    <w:rsid w:val="00FB19BE"/>
    <w:rsid w:val="00FB74D4"/>
    <w:rsid w:val="00FC2BD6"/>
    <w:rsid w:val="00FC7365"/>
    <w:rsid w:val="00FC75AC"/>
    <w:rsid w:val="00FD0600"/>
    <w:rsid w:val="00FD6CCC"/>
    <w:rsid w:val="00FE5374"/>
    <w:rsid w:val="00FE65A7"/>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83D3C0C"/>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DC37212B-1409-4DB7-AEA0-F763FDC2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2</Pages>
  <Words>679</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85</cp:revision>
  <cp:lastPrinted>2024-08-08T14:33:00Z</cp:lastPrinted>
  <dcterms:created xsi:type="dcterms:W3CDTF">2024-06-10T14:02:00Z</dcterms:created>
  <dcterms:modified xsi:type="dcterms:W3CDTF">2024-09-16T12:46:00Z</dcterms:modified>
</cp:coreProperties>
</file>