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tblBorders>
        <w:shd w:val="clear" w:color="auto" w:fill="C5F1C5"/>
        <w:tblLook w:val="04A0" w:firstRow="1" w:lastRow="0" w:firstColumn="1" w:lastColumn="0" w:noHBand="0" w:noVBand="1"/>
      </w:tblPr>
      <w:tblGrid>
        <w:gridCol w:w="8648"/>
        <w:gridCol w:w="424"/>
      </w:tblGrid>
      <w:tr w:rsidR="00AF76A2" w:rsidRPr="000503CF" w:rsidTr="00114EA5">
        <w:trPr>
          <w:cantSplit/>
          <w:trHeight w:val="830"/>
        </w:trPr>
        <w:tc>
          <w:tcPr>
            <w:tcW w:w="8648" w:type="dxa"/>
            <w:tcBorders>
              <w:right w:val="nil"/>
            </w:tcBorders>
            <w:shd w:val="clear" w:color="auto" w:fill="C5F1C5"/>
            <w:tcMar>
              <w:top w:w="113" w:type="dxa"/>
              <w:bottom w:w="113" w:type="dxa"/>
            </w:tcMar>
            <w:vAlign w:val="center"/>
          </w:tcPr>
          <w:p w:rsidR="00AF76A2" w:rsidRPr="00114EA5" w:rsidRDefault="00A62C9B" w:rsidP="00A62C9B">
            <w:pPr>
              <w:pStyle w:val="berschrift1"/>
              <w:numPr>
                <w:ilvl w:val="0"/>
                <w:numId w:val="0"/>
              </w:numPr>
              <w:rPr>
                <w:rFonts w:ascii="Century Gothic" w:hAnsi="Century Gothic"/>
                <w:color w:val="228B22"/>
                <w:sz w:val="28"/>
              </w:rPr>
            </w:pPr>
            <w:proofErr w:type="spellStart"/>
            <w:r>
              <w:rPr>
                <w:rFonts w:ascii="Century Gothic" w:hAnsi="Century Gothic"/>
                <w:color w:val="228B22"/>
                <w:sz w:val="28"/>
              </w:rPr>
              <w:t>Angabepflicht</w:t>
            </w:r>
            <w:proofErr w:type="spellEnd"/>
            <w:r>
              <w:rPr>
                <w:rFonts w:ascii="Century Gothic" w:hAnsi="Century Gothic"/>
                <w:color w:val="228B22"/>
                <w:sz w:val="28"/>
              </w:rPr>
              <w:t xml:space="preserve"> </w:t>
            </w:r>
            <w:r w:rsidR="00CF74D3">
              <w:rPr>
                <w:rFonts w:ascii="Century Gothic" w:hAnsi="Century Gothic"/>
                <w:color w:val="228B22"/>
                <w:sz w:val="28"/>
              </w:rPr>
              <w:t xml:space="preserve">E1-4 – Ziele </w:t>
            </w:r>
            <w:r w:rsidR="00BB6D9B">
              <w:rPr>
                <w:rFonts w:ascii="Century Gothic" w:hAnsi="Century Gothic"/>
                <w:color w:val="228B22"/>
                <w:sz w:val="28"/>
              </w:rPr>
              <w:t xml:space="preserve">im Zusammenhang mit </w:t>
            </w:r>
            <w:r w:rsidR="00CF74D3">
              <w:rPr>
                <w:rFonts w:ascii="Century Gothic" w:hAnsi="Century Gothic"/>
                <w:color w:val="228B22"/>
                <w:sz w:val="28"/>
              </w:rPr>
              <w:t>dem Klimaschutz und der Anpassung an den Klimawandel</w:t>
            </w:r>
          </w:p>
        </w:tc>
        <w:tc>
          <w:tcPr>
            <w:tcW w:w="424" w:type="dxa"/>
            <w:tcBorders>
              <w:top w:val="nil"/>
              <w:left w:val="nil"/>
              <w:bottom w:val="nil"/>
            </w:tcBorders>
            <w:shd w:val="clear" w:color="auto" w:fill="C5F1C5"/>
            <w:textDirection w:val="btLr"/>
            <w:vAlign w:val="center"/>
          </w:tcPr>
          <w:p w:rsidR="00AF76A2" w:rsidRPr="006C35FE" w:rsidRDefault="00A62C9B" w:rsidP="00AF76A2">
            <w:pPr>
              <w:pStyle w:val="berschrift1"/>
              <w:numPr>
                <w:ilvl w:val="0"/>
                <w:numId w:val="0"/>
              </w:numPr>
              <w:ind w:left="113" w:right="113"/>
              <w:jc w:val="center"/>
              <w:rPr>
                <w:rFonts w:ascii="Century Gothic" w:hAnsi="Century Gothic"/>
                <w:b w:val="0"/>
                <w:sz w:val="12"/>
                <w:szCs w:val="12"/>
              </w:rPr>
            </w:pPr>
            <w:r w:rsidRPr="006C35FE">
              <w:rPr>
                <w:rFonts w:ascii="Century Gothic" w:hAnsi="Century Gothic"/>
                <w:b w:val="0"/>
                <w:color w:val="FF0000"/>
                <w:sz w:val="12"/>
                <w:szCs w:val="12"/>
              </w:rPr>
              <w:t>0</w:t>
            </w:r>
            <w:r w:rsidR="00876319">
              <w:rPr>
                <w:rFonts w:ascii="Century Gothic" w:hAnsi="Century Gothic"/>
                <w:b w:val="0"/>
                <w:color w:val="FF0000"/>
                <w:sz w:val="12"/>
                <w:szCs w:val="12"/>
              </w:rPr>
              <w:t>8</w:t>
            </w:r>
            <w:r w:rsidRPr="006C35FE">
              <w:rPr>
                <w:rFonts w:ascii="Century Gothic" w:hAnsi="Century Gothic"/>
                <w:b w:val="0"/>
                <w:color w:val="FF0000"/>
                <w:sz w:val="12"/>
                <w:szCs w:val="12"/>
              </w:rPr>
              <w:t>/2024</w:t>
            </w:r>
          </w:p>
        </w:tc>
      </w:tr>
    </w:tbl>
    <w:p w:rsidR="00666AFB" w:rsidRPr="006708AE" w:rsidRDefault="00666AFB" w:rsidP="004703B3">
      <w:pPr>
        <w:spacing w:before="0"/>
        <w:rPr>
          <w:sz w:val="16"/>
          <w:szCs w:val="16"/>
        </w:rPr>
      </w:pPr>
    </w:p>
    <w:tbl>
      <w:tblPr>
        <w:tblStyle w:val="Gitternetztabelle4Akzent6"/>
        <w:tblW w:w="907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8B22"/>
        <w:tblLayout w:type="fixed"/>
        <w:tblCellMar>
          <w:top w:w="85" w:type="dxa"/>
          <w:bottom w:w="85" w:type="dxa"/>
        </w:tblCellMar>
        <w:tblLook w:val="04A0" w:firstRow="1" w:lastRow="0" w:firstColumn="1" w:lastColumn="0" w:noHBand="0" w:noVBand="1"/>
      </w:tblPr>
      <w:tblGrid>
        <w:gridCol w:w="989"/>
        <w:gridCol w:w="6661"/>
        <w:gridCol w:w="714"/>
        <w:gridCol w:w="713"/>
      </w:tblGrid>
      <w:tr w:rsidR="00CF77F9" w:rsidRPr="003D0C3F" w:rsidTr="00CF77F9">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989" w:type="dxa"/>
            <w:tcBorders>
              <w:top w:val="none" w:sz="0" w:space="0" w:color="auto"/>
              <w:left w:val="none" w:sz="0" w:space="0" w:color="auto"/>
              <w:bottom w:val="none" w:sz="0" w:space="0" w:color="auto"/>
              <w:right w:val="none" w:sz="0" w:space="0" w:color="auto"/>
            </w:tcBorders>
            <w:shd w:val="clear" w:color="auto" w:fill="C5F1C5"/>
          </w:tcPr>
          <w:p w:rsidR="00CF77F9" w:rsidRPr="00843B06" w:rsidRDefault="00CF77F9" w:rsidP="00A91B7F">
            <w:pPr>
              <w:spacing w:before="0"/>
              <w:contextualSpacing/>
              <w:rPr>
                <w:color w:val="000000" w:themeColor="text1"/>
                <w:sz w:val="20"/>
                <w:szCs w:val="20"/>
              </w:rPr>
            </w:pPr>
            <w:r w:rsidRPr="00843B06">
              <w:rPr>
                <w:color w:val="000000" w:themeColor="text1"/>
                <w:sz w:val="20"/>
                <w:szCs w:val="20"/>
              </w:rPr>
              <w:t>E1-</w:t>
            </w:r>
            <w:r>
              <w:rPr>
                <w:color w:val="000000" w:themeColor="text1"/>
                <w:sz w:val="20"/>
                <w:szCs w:val="20"/>
              </w:rPr>
              <w:t>4</w:t>
            </w:r>
          </w:p>
        </w:tc>
        <w:tc>
          <w:tcPr>
            <w:tcW w:w="6661" w:type="dxa"/>
            <w:tcBorders>
              <w:top w:val="none" w:sz="0" w:space="0" w:color="auto"/>
              <w:left w:val="none" w:sz="0" w:space="0" w:color="auto"/>
              <w:bottom w:val="none" w:sz="0" w:space="0" w:color="auto"/>
              <w:right w:val="none" w:sz="0" w:space="0" w:color="auto"/>
            </w:tcBorders>
            <w:shd w:val="clear" w:color="auto" w:fill="C5F1C5"/>
          </w:tcPr>
          <w:p w:rsidR="00CF77F9" w:rsidRPr="00843B06" w:rsidRDefault="00CF77F9" w:rsidP="00A91B7F">
            <w:pPr>
              <w:spacing w:before="0"/>
              <w:contextualSpacing/>
              <w:jc w:val="left"/>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proofErr w:type="spellStart"/>
            <w:r w:rsidRPr="00BF1F1E">
              <w:rPr>
                <w:color w:val="000000" w:themeColor="text1"/>
                <w:sz w:val="20"/>
                <w:szCs w:val="20"/>
              </w:rPr>
              <w:t>Angabepflicht</w:t>
            </w:r>
            <w:proofErr w:type="spellEnd"/>
            <w:r w:rsidRPr="00BF1F1E">
              <w:rPr>
                <w:color w:val="000000" w:themeColor="text1"/>
                <w:sz w:val="20"/>
                <w:szCs w:val="20"/>
              </w:rPr>
              <w:t xml:space="preserve"> E1-4 – Ziele im Zusammenhang mit dem Klimaschutz und der Anpassung an den Klimawandel</w:t>
            </w:r>
          </w:p>
        </w:tc>
        <w:tc>
          <w:tcPr>
            <w:tcW w:w="714" w:type="dxa"/>
            <w:tcBorders>
              <w:top w:val="none" w:sz="0" w:space="0" w:color="auto"/>
              <w:left w:val="none" w:sz="0" w:space="0" w:color="auto"/>
              <w:bottom w:val="none" w:sz="0" w:space="0" w:color="auto"/>
              <w:right w:val="none" w:sz="0" w:space="0" w:color="auto"/>
            </w:tcBorders>
            <w:shd w:val="clear" w:color="auto" w:fill="auto"/>
          </w:tcPr>
          <w:p w:rsidR="00CF77F9" w:rsidRPr="003C0F68" w:rsidRDefault="00CF77F9" w:rsidP="00A91B7F">
            <w:pPr>
              <w:spacing w:before="0"/>
              <w:contextualSpacing/>
              <w:jc w:val="left"/>
              <w:cnfStyle w:val="100000000000" w:firstRow="1" w:lastRow="0" w:firstColumn="0" w:lastColumn="0" w:oddVBand="0" w:evenVBand="0" w:oddHBand="0" w:evenHBand="0" w:firstRowFirstColumn="0" w:firstRowLastColumn="0" w:lastRowFirstColumn="0" w:lastRowLastColumn="0"/>
              <w:rPr>
                <w:b w:val="0"/>
                <w:bCs w:val="0"/>
                <w:color w:val="000000" w:themeColor="text1"/>
                <w:sz w:val="16"/>
              </w:rPr>
            </w:pPr>
          </w:p>
        </w:tc>
        <w:tc>
          <w:tcPr>
            <w:tcW w:w="71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rsidR="00CF77F9" w:rsidRPr="003D0C3F" w:rsidRDefault="00CF77F9" w:rsidP="00A91B7F">
            <w:pPr>
              <w:spacing w:before="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sz w:val="24"/>
                <w:szCs w:val="24"/>
              </w:rPr>
              <w:t>23</w:t>
            </w:r>
          </w:p>
        </w:tc>
      </w:tr>
    </w:tbl>
    <w:p w:rsidR="00E329E8" w:rsidRDefault="00E329E8" w:rsidP="004703B3">
      <w:pPr>
        <w:spacing w:before="0"/>
        <w:rPr>
          <w:sz w:val="16"/>
          <w:szCs w:val="16"/>
        </w:rPr>
      </w:pPr>
    </w:p>
    <w:tbl>
      <w:tblPr>
        <w:tblStyle w:val="Gitternetztabelle4Akzent6"/>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989"/>
        <w:gridCol w:w="6239"/>
        <w:gridCol w:w="1849"/>
      </w:tblGrid>
      <w:tr w:rsidR="004703B3" w:rsidRPr="00122B7B" w:rsidTr="00CF77F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7"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4703B3" w:rsidRPr="00122B7B" w:rsidRDefault="004703B3" w:rsidP="006C35FE">
            <w:pPr>
              <w:spacing w:before="0"/>
              <w:contextualSpacing/>
              <w:jc w:val="left"/>
              <w:rPr>
                <w:color w:val="000000" w:themeColor="text1"/>
                <w:sz w:val="20"/>
                <w:szCs w:val="20"/>
              </w:rPr>
            </w:pPr>
            <w:r w:rsidRPr="00122B7B">
              <w:rPr>
                <w:color w:val="000000" w:themeColor="text1"/>
                <w:sz w:val="20"/>
                <w:szCs w:val="20"/>
              </w:rPr>
              <w:t>Teil 1:</w:t>
            </w:r>
            <w:r>
              <w:rPr>
                <w:color w:val="000000" w:themeColor="text1"/>
                <w:sz w:val="20"/>
                <w:szCs w:val="20"/>
              </w:rPr>
              <w:t xml:space="preserve"> </w:t>
            </w:r>
            <w:r w:rsidRPr="00122B7B">
              <w:rPr>
                <w:color w:val="000000" w:themeColor="text1"/>
                <w:sz w:val="20"/>
                <w:szCs w:val="20"/>
              </w:rPr>
              <w:t>Regulatorische Vorgabe</w:t>
            </w:r>
            <w:r>
              <w:rPr>
                <w:color w:val="000000" w:themeColor="text1"/>
                <w:sz w:val="20"/>
                <w:szCs w:val="20"/>
              </w:rPr>
              <w:t>n</w:t>
            </w:r>
          </w:p>
        </w:tc>
      </w:tr>
      <w:tr w:rsidR="004703B3" w:rsidRPr="006C35FE" w:rsidTr="00CF77F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77" w:type="dxa"/>
            <w:gridSpan w:val="3"/>
            <w:shd w:val="clear" w:color="auto" w:fill="auto"/>
            <w:vAlign w:val="center"/>
          </w:tcPr>
          <w:p w:rsidR="004703B3" w:rsidRPr="006C35FE" w:rsidRDefault="004703B3" w:rsidP="004703B3">
            <w:pPr>
              <w:spacing w:before="0"/>
              <w:jc w:val="left"/>
              <w:rPr>
                <w:color w:val="000000" w:themeColor="text1"/>
                <w:sz w:val="2"/>
                <w:szCs w:val="2"/>
              </w:rPr>
            </w:pPr>
          </w:p>
        </w:tc>
      </w:tr>
      <w:tr w:rsidR="004703B3" w:rsidRPr="004703B3" w:rsidTr="00CF7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trHeight w:val="782"/>
          <w:tblHeader/>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228B22"/>
            <w:vAlign w:val="center"/>
          </w:tcPr>
          <w:p w:rsidR="0047207E" w:rsidRPr="004703B3" w:rsidRDefault="0047207E" w:rsidP="006C35FE">
            <w:pPr>
              <w:spacing w:before="0"/>
              <w:contextualSpacing/>
              <w:jc w:val="center"/>
              <w:rPr>
                <w:color w:val="FFFFFF" w:themeColor="background1"/>
                <w:sz w:val="20"/>
                <w:szCs w:val="20"/>
              </w:rPr>
            </w:pPr>
            <w:r w:rsidRPr="004703B3">
              <w:rPr>
                <w:color w:val="FFFFFF" w:themeColor="background1"/>
                <w:sz w:val="20"/>
                <w:szCs w:val="20"/>
              </w:rPr>
              <w:t>Quelle ESRS E1</w:t>
            </w:r>
          </w:p>
        </w:tc>
        <w:tc>
          <w:tcPr>
            <w:tcW w:w="6239" w:type="dxa"/>
            <w:tcBorders>
              <w:top w:val="single" w:sz="4" w:space="0" w:color="auto"/>
              <w:left w:val="single" w:sz="4" w:space="0" w:color="auto"/>
              <w:bottom w:val="single" w:sz="4" w:space="0" w:color="auto"/>
              <w:right w:val="single" w:sz="4" w:space="0" w:color="auto"/>
            </w:tcBorders>
            <w:shd w:val="clear" w:color="auto" w:fill="228B22"/>
            <w:vAlign w:val="center"/>
          </w:tcPr>
          <w:p w:rsidR="0047207E" w:rsidRPr="004703B3" w:rsidRDefault="00E72A93" w:rsidP="006C35FE">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4703B3">
              <w:rPr>
                <w:b/>
                <w:color w:val="FFFFFF" w:themeColor="background1"/>
                <w:sz w:val="20"/>
                <w:szCs w:val="20"/>
              </w:rPr>
              <w:t>Parameter und Ziele</w:t>
            </w:r>
          </w:p>
        </w:tc>
        <w:tc>
          <w:tcPr>
            <w:tcW w:w="1849" w:type="dxa"/>
            <w:tcBorders>
              <w:top w:val="single" w:sz="4" w:space="0" w:color="auto"/>
              <w:left w:val="single" w:sz="4" w:space="0" w:color="auto"/>
              <w:bottom w:val="single" w:sz="4" w:space="0" w:color="auto"/>
              <w:right w:val="single" w:sz="4" w:space="0" w:color="auto"/>
            </w:tcBorders>
            <w:shd w:val="clear" w:color="auto" w:fill="228B22"/>
            <w:vAlign w:val="center"/>
          </w:tcPr>
          <w:p w:rsidR="0047207E" w:rsidRPr="004703B3" w:rsidRDefault="0047207E" w:rsidP="006C35FE">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4703B3">
              <w:rPr>
                <w:b/>
                <w:color w:val="FFFFFF" w:themeColor="background1"/>
                <w:sz w:val="16"/>
                <w:szCs w:val="16"/>
              </w:rPr>
              <w:t>Bemerkungen, ggf. Verweis auf Datenpunkte</w:t>
            </w:r>
          </w:p>
        </w:tc>
      </w:tr>
      <w:tr w:rsidR="0047207E" w:rsidRPr="00757904" w:rsidTr="00CF7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tcBorders>
            <w:shd w:val="clear" w:color="auto" w:fill="C5F1C5"/>
          </w:tcPr>
          <w:p w:rsidR="0047207E" w:rsidRPr="0015165A" w:rsidRDefault="0047207E" w:rsidP="006C35FE">
            <w:pPr>
              <w:spacing w:before="0"/>
              <w:contextualSpacing/>
              <w:jc w:val="center"/>
              <w:rPr>
                <w:sz w:val="16"/>
                <w:szCs w:val="16"/>
              </w:rPr>
            </w:pPr>
            <w:r w:rsidRPr="0015165A">
              <w:rPr>
                <w:sz w:val="16"/>
                <w:szCs w:val="16"/>
              </w:rPr>
              <w:t xml:space="preserve">Tz. </w:t>
            </w:r>
            <w:r w:rsidR="00757904">
              <w:rPr>
                <w:sz w:val="16"/>
                <w:szCs w:val="16"/>
              </w:rPr>
              <w:t>30</w:t>
            </w:r>
          </w:p>
        </w:tc>
        <w:tc>
          <w:tcPr>
            <w:tcW w:w="6239" w:type="dxa"/>
            <w:tcBorders>
              <w:top w:val="single" w:sz="4" w:space="0" w:color="auto"/>
            </w:tcBorders>
            <w:shd w:val="clear" w:color="auto" w:fill="auto"/>
            <w:vAlign w:val="center"/>
          </w:tcPr>
          <w:p w:rsidR="0047207E" w:rsidRPr="002B7BC2" w:rsidRDefault="00757904" w:rsidP="006C35FE">
            <w:pPr>
              <w:tabs>
                <w:tab w:val="left" w:pos="1961"/>
              </w:tabs>
              <w:spacing w:before="0"/>
              <w:contextualSpacing/>
              <w:cnfStyle w:val="000000100000" w:firstRow="0" w:lastRow="0" w:firstColumn="0" w:lastColumn="0" w:oddVBand="0" w:evenVBand="0" w:oddHBand="1" w:evenHBand="0" w:firstRowFirstColumn="0" w:firstRowLastColumn="0" w:lastRowFirstColumn="0" w:lastRowLastColumn="0"/>
              <w:rPr>
                <w:sz w:val="16"/>
                <w:szCs w:val="16"/>
              </w:rPr>
            </w:pPr>
            <w:r w:rsidRPr="002B7BC2">
              <w:rPr>
                <w:b/>
                <w:bCs/>
                <w:sz w:val="16"/>
                <w:szCs w:val="16"/>
              </w:rPr>
              <w:t>Das Unternehmen hat seine festgelegten klimabezogenen Ziele anzugeben.</w:t>
            </w:r>
          </w:p>
        </w:tc>
        <w:tc>
          <w:tcPr>
            <w:tcW w:w="1849" w:type="dxa"/>
            <w:tcBorders>
              <w:top w:val="single" w:sz="4" w:space="0" w:color="auto"/>
            </w:tcBorders>
            <w:shd w:val="clear" w:color="auto" w:fill="auto"/>
          </w:tcPr>
          <w:p w:rsidR="0047207E" w:rsidRPr="00757904" w:rsidRDefault="0047207E" w:rsidP="006C35FE">
            <w:pPr>
              <w:spacing w:before="0"/>
              <w:contextualSpacing/>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757904" w:rsidRPr="000E0C5F" w:rsidTr="00CF7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5"/>
        </w:trPr>
        <w:tc>
          <w:tcPr>
            <w:cnfStyle w:val="001000000000" w:firstRow="0" w:lastRow="0" w:firstColumn="1" w:lastColumn="0" w:oddVBand="0" w:evenVBand="0" w:oddHBand="0" w:evenHBand="0" w:firstRowFirstColumn="0" w:firstRowLastColumn="0" w:lastRowFirstColumn="0" w:lastRowLastColumn="0"/>
            <w:tcW w:w="989" w:type="dxa"/>
            <w:shd w:val="clear" w:color="auto" w:fill="C5F1C5"/>
          </w:tcPr>
          <w:p w:rsidR="00757904" w:rsidRPr="0015165A" w:rsidRDefault="00757904" w:rsidP="006C35FE">
            <w:pPr>
              <w:spacing w:before="0"/>
              <w:contextualSpacing/>
              <w:jc w:val="center"/>
              <w:rPr>
                <w:sz w:val="16"/>
                <w:szCs w:val="16"/>
              </w:rPr>
            </w:pPr>
            <w:r w:rsidRPr="0015165A">
              <w:rPr>
                <w:sz w:val="16"/>
                <w:szCs w:val="16"/>
              </w:rPr>
              <w:t xml:space="preserve">Tz. </w:t>
            </w:r>
            <w:r>
              <w:rPr>
                <w:sz w:val="16"/>
                <w:szCs w:val="16"/>
              </w:rPr>
              <w:t>31</w:t>
            </w:r>
          </w:p>
        </w:tc>
        <w:tc>
          <w:tcPr>
            <w:tcW w:w="6239" w:type="dxa"/>
            <w:shd w:val="clear" w:color="auto" w:fill="auto"/>
          </w:tcPr>
          <w:p w:rsidR="00757904" w:rsidRPr="002B7BC2" w:rsidRDefault="00757904" w:rsidP="006C35FE">
            <w:pPr>
              <w:spacing w:before="0"/>
              <w:contextualSpacing/>
              <w:cnfStyle w:val="000000000000" w:firstRow="0" w:lastRow="0" w:firstColumn="0" w:lastColumn="0" w:oddVBand="0" w:evenVBand="0" w:oddHBand="0" w:evenHBand="0" w:firstRowFirstColumn="0" w:firstRowLastColumn="0" w:lastRowFirstColumn="0" w:lastRowLastColumn="0"/>
              <w:rPr>
                <w:sz w:val="16"/>
                <w:szCs w:val="16"/>
              </w:rPr>
            </w:pPr>
            <w:r w:rsidRPr="002B7BC2">
              <w:rPr>
                <w:sz w:val="16"/>
                <w:szCs w:val="16"/>
              </w:rPr>
              <w:t xml:space="preserve">Mit dieser </w:t>
            </w:r>
            <w:proofErr w:type="spellStart"/>
            <w:r w:rsidRPr="002B7BC2">
              <w:rPr>
                <w:sz w:val="16"/>
                <w:szCs w:val="16"/>
              </w:rPr>
              <w:t>Angabepflicht</w:t>
            </w:r>
            <w:proofErr w:type="spellEnd"/>
            <w:r w:rsidRPr="002B7BC2">
              <w:rPr>
                <w:sz w:val="16"/>
                <w:szCs w:val="16"/>
              </w:rPr>
              <w:t xml:space="preserve"> soll ein Verständnis für die </w:t>
            </w:r>
            <w:r w:rsidRPr="002B7BC2">
              <w:rPr>
                <w:b/>
                <w:bCs/>
                <w:sz w:val="16"/>
                <w:szCs w:val="16"/>
              </w:rPr>
              <w:t>Ziele</w:t>
            </w:r>
            <w:r w:rsidRPr="002B7BC2">
              <w:rPr>
                <w:sz w:val="16"/>
                <w:szCs w:val="16"/>
              </w:rPr>
              <w:t xml:space="preserve">, die sich das Unternehmen gesetzt hat, um seine </w:t>
            </w:r>
            <w:r w:rsidRPr="002B7BC2">
              <w:rPr>
                <w:b/>
                <w:bCs/>
                <w:sz w:val="16"/>
                <w:szCs w:val="16"/>
              </w:rPr>
              <w:t xml:space="preserve">Strategien </w:t>
            </w:r>
            <w:r w:rsidRPr="002B7BC2">
              <w:rPr>
                <w:sz w:val="16"/>
                <w:szCs w:val="16"/>
              </w:rPr>
              <w:t xml:space="preserve">zum </w:t>
            </w:r>
            <w:r w:rsidRPr="002B7BC2">
              <w:rPr>
                <w:b/>
                <w:bCs/>
                <w:sz w:val="16"/>
                <w:szCs w:val="16"/>
              </w:rPr>
              <w:t xml:space="preserve">Klimaschutz </w:t>
            </w:r>
            <w:r w:rsidRPr="002B7BC2">
              <w:rPr>
                <w:sz w:val="16"/>
                <w:szCs w:val="16"/>
              </w:rPr>
              <w:t xml:space="preserve">und zur </w:t>
            </w:r>
            <w:r w:rsidRPr="002B7BC2">
              <w:rPr>
                <w:b/>
                <w:bCs/>
                <w:sz w:val="16"/>
                <w:szCs w:val="16"/>
              </w:rPr>
              <w:t xml:space="preserve">Anpassung an den Klimawandel </w:t>
            </w:r>
            <w:r w:rsidRPr="002B7BC2">
              <w:rPr>
                <w:sz w:val="16"/>
                <w:szCs w:val="16"/>
              </w:rPr>
              <w:t xml:space="preserve">zu unterstützen, vermittelt und die wesentlichen klimabezogenen </w:t>
            </w:r>
            <w:r w:rsidRPr="002B7BC2">
              <w:rPr>
                <w:b/>
                <w:bCs/>
                <w:sz w:val="16"/>
                <w:szCs w:val="16"/>
              </w:rPr>
              <w:t>Auswirkungen</w:t>
            </w:r>
            <w:r w:rsidRPr="002B7BC2">
              <w:rPr>
                <w:sz w:val="16"/>
                <w:szCs w:val="16"/>
              </w:rPr>
              <w:t xml:space="preserve">, </w:t>
            </w:r>
            <w:r w:rsidRPr="002B7BC2">
              <w:rPr>
                <w:b/>
                <w:bCs/>
                <w:sz w:val="16"/>
                <w:szCs w:val="16"/>
              </w:rPr>
              <w:t xml:space="preserve">Risiken </w:t>
            </w:r>
            <w:r w:rsidRPr="002B7BC2">
              <w:rPr>
                <w:sz w:val="16"/>
                <w:szCs w:val="16"/>
              </w:rPr>
              <w:t xml:space="preserve">und </w:t>
            </w:r>
            <w:r w:rsidRPr="002B7BC2">
              <w:rPr>
                <w:b/>
                <w:bCs/>
                <w:sz w:val="16"/>
                <w:szCs w:val="16"/>
              </w:rPr>
              <w:t xml:space="preserve">Chancen </w:t>
            </w:r>
            <w:r w:rsidRPr="002B7BC2">
              <w:rPr>
                <w:sz w:val="16"/>
                <w:szCs w:val="16"/>
              </w:rPr>
              <w:t>angegangen werden.</w:t>
            </w:r>
          </w:p>
        </w:tc>
        <w:tc>
          <w:tcPr>
            <w:tcW w:w="1849" w:type="dxa"/>
            <w:shd w:val="clear" w:color="auto" w:fill="auto"/>
          </w:tcPr>
          <w:p w:rsidR="00757904" w:rsidRPr="000E0C5F" w:rsidRDefault="00757904" w:rsidP="006C35FE">
            <w:pPr>
              <w:spacing w:before="0"/>
              <w:contextualSpacing/>
              <w:cnfStyle w:val="000000000000" w:firstRow="0" w:lastRow="0" w:firstColumn="0" w:lastColumn="0" w:oddVBand="0" w:evenVBand="0" w:oddHBand="0" w:evenHBand="0" w:firstRowFirstColumn="0" w:firstRowLastColumn="0" w:lastRowFirstColumn="0" w:lastRowLastColumn="0"/>
              <w:rPr>
                <w:sz w:val="20"/>
              </w:rPr>
            </w:pPr>
          </w:p>
        </w:tc>
      </w:tr>
      <w:tr w:rsidR="00757904" w:rsidRPr="000E0C5F" w:rsidTr="00CF7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989" w:type="dxa"/>
            <w:shd w:val="clear" w:color="auto" w:fill="C5F1C5"/>
          </w:tcPr>
          <w:p w:rsidR="00757904" w:rsidRPr="0015165A" w:rsidRDefault="00757904" w:rsidP="006C35FE">
            <w:pPr>
              <w:spacing w:before="0"/>
              <w:contextualSpacing/>
              <w:jc w:val="center"/>
              <w:rPr>
                <w:sz w:val="16"/>
                <w:szCs w:val="16"/>
              </w:rPr>
            </w:pPr>
            <w:r>
              <w:rPr>
                <w:sz w:val="16"/>
                <w:szCs w:val="16"/>
              </w:rPr>
              <w:t>Tz. 32</w:t>
            </w:r>
          </w:p>
        </w:tc>
        <w:tc>
          <w:tcPr>
            <w:tcW w:w="6239" w:type="dxa"/>
            <w:shd w:val="clear" w:color="auto" w:fill="auto"/>
          </w:tcPr>
          <w:p w:rsidR="00757904" w:rsidRPr="002B7BC2" w:rsidRDefault="00757904" w:rsidP="006C35FE">
            <w:pPr>
              <w:spacing w:before="0"/>
              <w:contextualSpacing/>
              <w:cnfStyle w:val="000000100000" w:firstRow="0" w:lastRow="0" w:firstColumn="0" w:lastColumn="0" w:oddVBand="0" w:evenVBand="0" w:oddHBand="1" w:evenHBand="0" w:firstRowFirstColumn="0" w:firstRowLastColumn="0" w:lastRowFirstColumn="0" w:lastRowLastColumn="0"/>
              <w:rPr>
                <w:sz w:val="16"/>
                <w:szCs w:val="16"/>
              </w:rPr>
            </w:pPr>
            <w:r w:rsidRPr="002B7BC2">
              <w:rPr>
                <w:sz w:val="16"/>
                <w:szCs w:val="16"/>
              </w:rPr>
              <w:t xml:space="preserve">Die Angabe der </w:t>
            </w:r>
            <w:r w:rsidRPr="002B7BC2">
              <w:rPr>
                <w:b/>
                <w:bCs/>
                <w:sz w:val="16"/>
                <w:szCs w:val="16"/>
              </w:rPr>
              <w:t xml:space="preserve">Ziele </w:t>
            </w:r>
            <w:r w:rsidRPr="002B7BC2">
              <w:rPr>
                <w:sz w:val="16"/>
                <w:szCs w:val="16"/>
              </w:rPr>
              <w:t xml:space="preserve">nach Absatz 30 umfasst die gemäß ESRS 2 MDR-T </w:t>
            </w:r>
            <w:r w:rsidRPr="002B7BC2">
              <w:rPr>
                <w:i/>
                <w:iCs/>
                <w:sz w:val="16"/>
                <w:szCs w:val="16"/>
              </w:rPr>
              <w:t xml:space="preserve">Nachverfolgung der Wirksamkeit von Strategien und Maßnahmen durch Zielvorgaben </w:t>
            </w:r>
            <w:r w:rsidRPr="002B7BC2">
              <w:rPr>
                <w:sz w:val="16"/>
                <w:szCs w:val="16"/>
              </w:rPr>
              <w:t>erforderlichen Informationen.</w:t>
            </w:r>
          </w:p>
        </w:tc>
        <w:tc>
          <w:tcPr>
            <w:tcW w:w="1849" w:type="dxa"/>
            <w:shd w:val="clear" w:color="auto" w:fill="auto"/>
          </w:tcPr>
          <w:p w:rsidR="00757904" w:rsidRPr="000E0C5F" w:rsidRDefault="00757904" w:rsidP="006C35FE">
            <w:pPr>
              <w:spacing w:before="0"/>
              <w:contextualSpacing/>
              <w:cnfStyle w:val="000000100000" w:firstRow="0" w:lastRow="0" w:firstColumn="0" w:lastColumn="0" w:oddVBand="0" w:evenVBand="0" w:oddHBand="1" w:evenHBand="0" w:firstRowFirstColumn="0" w:firstRowLastColumn="0" w:lastRowFirstColumn="0" w:lastRowLastColumn="0"/>
              <w:rPr>
                <w:sz w:val="20"/>
              </w:rPr>
            </w:pPr>
          </w:p>
        </w:tc>
      </w:tr>
      <w:tr w:rsidR="00757904" w:rsidRPr="000E0C5F" w:rsidTr="00CF7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3"/>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shd w:val="clear" w:color="auto" w:fill="C5F1C5"/>
          </w:tcPr>
          <w:p w:rsidR="00757904" w:rsidRPr="0015165A" w:rsidRDefault="00757904" w:rsidP="006C35FE">
            <w:pPr>
              <w:spacing w:before="0"/>
              <w:contextualSpacing/>
              <w:jc w:val="center"/>
              <w:rPr>
                <w:sz w:val="16"/>
                <w:szCs w:val="16"/>
              </w:rPr>
            </w:pPr>
            <w:r>
              <w:rPr>
                <w:sz w:val="16"/>
                <w:szCs w:val="16"/>
              </w:rPr>
              <w:t>Tz. 33</w:t>
            </w:r>
          </w:p>
        </w:tc>
        <w:tc>
          <w:tcPr>
            <w:tcW w:w="6239" w:type="dxa"/>
            <w:tcBorders>
              <w:bottom w:val="single" w:sz="4" w:space="0" w:color="auto"/>
            </w:tcBorders>
            <w:shd w:val="clear" w:color="auto" w:fill="auto"/>
          </w:tcPr>
          <w:p w:rsidR="00757904" w:rsidRPr="002B7BC2" w:rsidRDefault="00757904" w:rsidP="006C35FE">
            <w:pPr>
              <w:spacing w:before="0"/>
              <w:contextualSpacing/>
              <w:cnfStyle w:val="000000000000" w:firstRow="0" w:lastRow="0" w:firstColumn="0" w:lastColumn="0" w:oddVBand="0" w:evenVBand="0" w:oddHBand="0" w:evenHBand="0" w:firstRowFirstColumn="0" w:firstRowLastColumn="0" w:lastRowFirstColumn="0" w:lastRowLastColumn="0"/>
              <w:rPr>
                <w:sz w:val="16"/>
                <w:szCs w:val="16"/>
              </w:rPr>
            </w:pPr>
            <w:r w:rsidRPr="002B7BC2">
              <w:rPr>
                <w:sz w:val="16"/>
                <w:szCs w:val="16"/>
              </w:rPr>
              <w:t>Im R</w:t>
            </w:r>
            <w:r w:rsidR="002B7BC2">
              <w:rPr>
                <w:sz w:val="16"/>
                <w:szCs w:val="16"/>
              </w:rPr>
              <w:t>a</w:t>
            </w:r>
            <w:r w:rsidRPr="002B7BC2">
              <w:rPr>
                <w:sz w:val="16"/>
                <w:szCs w:val="16"/>
              </w:rPr>
              <w:t xml:space="preserve">hmen der Angaben nach Absatz 30 gibt das Unternehmen an, ob und wie es </w:t>
            </w:r>
            <w:r w:rsidRPr="002B7BC2">
              <w:rPr>
                <w:b/>
                <w:bCs/>
                <w:sz w:val="16"/>
                <w:szCs w:val="16"/>
              </w:rPr>
              <w:t xml:space="preserve">THG-Emissionsreduktionsziele </w:t>
            </w:r>
            <w:r w:rsidRPr="002B7BC2">
              <w:rPr>
                <w:sz w:val="16"/>
                <w:szCs w:val="16"/>
              </w:rPr>
              <w:t xml:space="preserve">und/oder andere Ziele für das Management wesentlicher klimabezogener </w:t>
            </w:r>
            <w:r w:rsidRPr="002B7BC2">
              <w:rPr>
                <w:b/>
                <w:bCs/>
                <w:sz w:val="16"/>
                <w:szCs w:val="16"/>
              </w:rPr>
              <w:t>Auswirkungen</w:t>
            </w:r>
            <w:r w:rsidRPr="002B7BC2">
              <w:rPr>
                <w:sz w:val="16"/>
                <w:szCs w:val="16"/>
              </w:rPr>
              <w:t xml:space="preserve">, </w:t>
            </w:r>
            <w:r w:rsidRPr="002B7BC2">
              <w:rPr>
                <w:b/>
                <w:bCs/>
                <w:sz w:val="16"/>
                <w:szCs w:val="16"/>
              </w:rPr>
              <w:t xml:space="preserve">Risiken </w:t>
            </w:r>
            <w:r w:rsidRPr="002B7BC2">
              <w:rPr>
                <w:sz w:val="16"/>
                <w:szCs w:val="16"/>
              </w:rPr>
              <w:t xml:space="preserve">und </w:t>
            </w:r>
            <w:r w:rsidRPr="002B7BC2">
              <w:rPr>
                <w:b/>
                <w:bCs/>
                <w:sz w:val="16"/>
                <w:szCs w:val="16"/>
              </w:rPr>
              <w:t xml:space="preserve">Chancen </w:t>
            </w:r>
            <w:r w:rsidRPr="002B7BC2">
              <w:rPr>
                <w:sz w:val="16"/>
                <w:szCs w:val="16"/>
              </w:rPr>
              <w:t xml:space="preserve">festgelegt hat, z. B. den Einsatz </w:t>
            </w:r>
            <w:r w:rsidRPr="002B7BC2">
              <w:rPr>
                <w:b/>
                <w:bCs/>
                <w:sz w:val="16"/>
                <w:szCs w:val="16"/>
              </w:rPr>
              <w:t>erneuerbarer Energien</w:t>
            </w:r>
            <w:r w:rsidRPr="002B7BC2">
              <w:rPr>
                <w:sz w:val="16"/>
                <w:szCs w:val="16"/>
              </w:rPr>
              <w:t xml:space="preserve">, Energieeffizienz, die </w:t>
            </w:r>
            <w:r w:rsidRPr="002B7BC2">
              <w:rPr>
                <w:b/>
                <w:bCs/>
                <w:sz w:val="16"/>
                <w:szCs w:val="16"/>
              </w:rPr>
              <w:t xml:space="preserve">Anpassung an den Klimawandel </w:t>
            </w:r>
            <w:r w:rsidRPr="002B7BC2">
              <w:rPr>
                <w:sz w:val="16"/>
                <w:szCs w:val="16"/>
              </w:rPr>
              <w:t xml:space="preserve">und die Minderung der </w:t>
            </w:r>
            <w:r w:rsidRPr="002B7BC2">
              <w:rPr>
                <w:b/>
                <w:bCs/>
                <w:sz w:val="16"/>
                <w:szCs w:val="16"/>
              </w:rPr>
              <w:t xml:space="preserve">physischen Risiken </w:t>
            </w:r>
            <w:r w:rsidRPr="002B7BC2">
              <w:rPr>
                <w:sz w:val="16"/>
                <w:szCs w:val="16"/>
              </w:rPr>
              <w:t xml:space="preserve">oder der </w:t>
            </w:r>
            <w:r w:rsidRPr="002B7BC2">
              <w:rPr>
                <w:b/>
                <w:bCs/>
                <w:sz w:val="16"/>
                <w:szCs w:val="16"/>
              </w:rPr>
              <w:t>Übergangsrisiken</w:t>
            </w:r>
            <w:r w:rsidRPr="002B7BC2">
              <w:rPr>
                <w:sz w:val="16"/>
                <w:szCs w:val="16"/>
              </w:rPr>
              <w:t>.</w:t>
            </w:r>
          </w:p>
        </w:tc>
        <w:tc>
          <w:tcPr>
            <w:tcW w:w="1849" w:type="dxa"/>
            <w:tcBorders>
              <w:bottom w:val="single" w:sz="4" w:space="0" w:color="auto"/>
            </w:tcBorders>
            <w:shd w:val="clear" w:color="auto" w:fill="auto"/>
          </w:tcPr>
          <w:p w:rsidR="00757904" w:rsidRPr="000E0C5F" w:rsidRDefault="00757904" w:rsidP="006C35FE">
            <w:pPr>
              <w:spacing w:before="0"/>
              <w:contextualSpacing/>
              <w:cnfStyle w:val="000000000000" w:firstRow="0" w:lastRow="0" w:firstColumn="0" w:lastColumn="0" w:oddVBand="0" w:evenVBand="0" w:oddHBand="0" w:evenHBand="0" w:firstRowFirstColumn="0" w:firstRowLastColumn="0" w:lastRowFirstColumn="0" w:lastRowLastColumn="0"/>
              <w:rPr>
                <w:sz w:val="20"/>
              </w:rPr>
            </w:pPr>
          </w:p>
        </w:tc>
      </w:tr>
      <w:tr w:rsidR="0047207E" w:rsidRPr="000E0C5F" w:rsidTr="00CF7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4186"/>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C5F1C5"/>
          </w:tcPr>
          <w:p w:rsidR="0047207E" w:rsidRPr="0015165A" w:rsidRDefault="00757904" w:rsidP="006C35FE">
            <w:pPr>
              <w:spacing w:before="0"/>
              <w:contextualSpacing/>
              <w:jc w:val="center"/>
              <w:rPr>
                <w:sz w:val="16"/>
                <w:szCs w:val="16"/>
              </w:rPr>
            </w:pPr>
            <w:bookmarkStart w:id="0" w:name="_GoBack"/>
            <w:r>
              <w:rPr>
                <w:sz w:val="16"/>
                <w:szCs w:val="16"/>
              </w:rPr>
              <w:t>Tz. 34</w:t>
            </w:r>
          </w:p>
        </w:tc>
        <w:tc>
          <w:tcPr>
            <w:tcW w:w="6239" w:type="dxa"/>
            <w:tcBorders>
              <w:top w:val="single" w:sz="4" w:space="0" w:color="auto"/>
              <w:left w:val="single" w:sz="4" w:space="0" w:color="auto"/>
              <w:bottom w:val="single" w:sz="4" w:space="0" w:color="auto"/>
              <w:right w:val="single" w:sz="4" w:space="0" w:color="auto"/>
            </w:tcBorders>
            <w:shd w:val="clear" w:color="auto" w:fill="auto"/>
          </w:tcPr>
          <w:p w:rsidR="00757904" w:rsidRDefault="00757904" w:rsidP="006C35FE">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2B7BC2">
              <w:rPr>
                <w:rFonts w:ascii="Century Gothic" w:hAnsi="Century Gothic"/>
                <w:sz w:val="16"/>
                <w:szCs w:val="16"/>
              </w:rPr>
              <w:t xml:space="preserve">Hat das Unternehmen </w:t>
            </w:r>
            <w:r w:rsidRPr="002B7BC2">
              <w:rPr>
                <w:rFonts w:ascii="Century Gothic" w:hAnsi="Century Gothic"/>
                <w:b/>
                <w:bCs/>
                <w:sz w:val="16"/>
                <w:szCs w:val="16"/>
              </w:rPr>
              <w:t>THG-Emissionsreduktionsziele</w:t>
            </w:r>
            <w:r w:rsidR="00A307C6" w:rsidRPr="00A307C6">
              <w:rPr>
                <w:rStyle w:val="Funotenzeichen"/>
                <w:rFonts w:ascii="Century Gothic" w:hAnsi="Century Gothic"/>
                <w:bCs/>
                <w:sz w:val="16"/>
              </w:rPr>
              <w:footnoteReference w:id="1"/>
            </w:r>
            <w:r w:rsidR="002B7BC2">
              <w:rPr>
                <w:rFonts w:ascii="Century Gothic" w:hAnsi="Century Gothic"/>
                <w:sz w:val="16"/>
                <w:szCs w:val="16"/>
              </w:rPr>
              <w:t xml:space="preserve"> </w:t>
            </w:r>
            <w:r w:rsidRPr="002B7BC2">
              <w:rPr>
                <w:rFonts w:ascii="Century Gothic" w:hAnsi="Century Gothic"/>
                <w:sz w:val="16"/>
                <w:szCs w:val="16"/>
              </w:rPr>
              <w:t>festgelegt, gelten der ESRS 2 MDR-T und folgende Anforderungen:</w:t>
            </w:r>
          </w:p>
          <w:p w:rsidR="00757904" w:rsidRPr="002B7BC2" w:rsidRDefault="002B7BC2" w:rsidP="006C35FE">
            <w:pPr>
              <w:pStyle w:val="Default"/>
              <w:numPr>
                <w:ilvl w:val="0"/>
                <w:numId w:val="25"/>
              </w:numPr>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2B7BC2">
              <w:rPr>
                <w:rFonts w:ascii="Century Gothic" w:hAnsi="Century Gothic"/>
                <w:sz w:val="16"/>
                <w:szCs w:val="16"/>
              </w:rPr>
              <w:t>Die</w:t>
            </w:r>
            <w:r w:rsidR="00757904" w:rsidRPr="002B7BC2">
              <w:rPr>
                <w:rFonts w:ascii="Century Gothic" w:hAnsi="Century Gothic"/>
                <w:sz w:val="16"/>
                <w:szCs w:val="16"/>
              </w:rPr>
              <w:t xml:space="preserve"> THG-Emissionsreduktionsziele werden in absoluten Werten (entweder in Tonnen CO2-Äquivalent oder als Prozentsatz der </w:t>
            </w:r>
            <w:r w:rsidR="00757904" w:rsidRPr="002B7BC2">
              <w:rPr>
                <w:rFonts w:ascii="Century Gothic" w:hAnsi="Century Gothic"/>
                <w:b/>
                <w:bCs/>
                <w:sz w:val="16"/>
                <w:szCs w:val="16"/>
              </w:rPr>
              <w:t xml:space="preserve">Emissionen </w:t>
            </w:r>
            <w:r w:rsidR="00757904" w:rsidRPr="002B7BC2">
              <w:rPr>
                <w:rFonts w:ascii="Century Gothic" w:hAnsi="Century Gothic"/>
                <w:sz w:val="16"/>
                <w:szCs w:val="16"/>
              </w:rPr>
              <w:t>eines Basisjahres) und gegebenenfalls in Intensitätswerten angegeben,</w:t>
            </w:r>
          </w:p>
          <w:p w:rsidR="00757904" w:rsidRPr="002B7BC2" w:rsidRDefault="002B7BC2" w:rsidP="006C35FE">
            <w:pPr>
              <w:pStyle w:val="Default"/>
              <w:numPr>
                <w:ilvl w:val="0"/>
                <w:numId w:val="25"/>
              </w:numPr>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2B7BC2">
              <w:rPr>
                <w:rFonts w:ascii="Century Gothic" w:hAnsi="Century Gothic"/>
                <w:sz w:val="16"/>
                <w:szCs w:val="16"/>
              </w:rPr>
              <w:t>die</w:t>
            </w:r>
            <w:r w:rsidR="00757904" w:rsidRPr="002B7BC2">
              <w:rPr>
                <w:rFonts w:ascii="Century Gothic" w:hAnsi="Century Gothic"/>
                <w:sz w:val="16"/>
                <w:szCs w:val="16"/>
              </w:rPr>
              <w:t xml:space="preserve"> THG-Emissionsreduktionsziele werden für </w:t>
            </w:r>
            <w:r w:rsidR="00757904" w:rsidRPr="002B7BC2">
              <w:rPr>
                <w:rFonts w:ascii="Century Gothic" w:hAnsi="Century Gothic"/>
                <w:b/>
                <w:bCs/>
                <w:sz w:val="16"/>
                <w:szCs w:val="16"/>
              </w:rPr>
              <w:t xml:space="preserve">Treibhausgasemissionen der Kategorien </w:t>
            </w:r>
            <w:proofErr w:type="spellStart"/>
            <w:r w:rsidR="00757904" w:rsidRPr="002B7BC2">
              <w:rPr>
                <w:rFonts w:ascii="Century Gothic" w:hAnsi="Century Gothic"/>
                <w:b/>
                <w:bCs/>
                <w:sz w:val="16"/>
                <w:szCs w:val="16"/>
              </w:rPr>
              <w:t>Scope</w:t>
            </w:r>
            <w:proofErr w:type="spellEnd"/>
            <w:r w:rsidR="00757904" w:rsidRPr="002B7BC2">
              <w:rPr>
                <w:rFonts w:ascii="Century Gothic" w:hAnsi="Century Gothic"/>
                <w:b/>
                <w:bCs/>
                <w:sz w:val="16"/>
                <w:szCs w:val="16"/>
              </w:rPr>
              <w:t xml:space="preserve"> 1</w:t>
            </w:r>
            <w:r w:rsidR="00757904" w:rsidRPr="002B7BC2">
              <w:rPr>
                <w:rFonts w:ascii="Century Gothic" w:hAnsi="Century Gothic"/>
                <w:sz w:val="16"/>
                <w:szCs w:val="16"/>
              </w:rPr>
              <w:t xml:space="preserve">, </w:t>
            </w:r>
            <w:r w:rsidR="00757904" w:rsidRPr="002B7BC2">
              <w:rPr>
                <w:rFonts w:ascii="Century Gothic" w:hAnsi="Century Gothic"/>
                <w:b/>
                <w:bCs/>
                <w:sz w:val="16"/>
                <w:szCs w:val="16"/>
              </w:rPr>
              <w:t xml:space="preserve">2 </w:t>
            </w:r>
            <w:r w:rsidR="00757904" w:rsidRPr="002B7BC2">
              <w:rPr>
                <w:rFonts w:ascii="Century Gothic" w:hAnsi="Century Gothic"/>
                <w:sz w:val="16"/>
                <w:szCs w:val="16"/>
              </w:rPr>
              <w:t xml:space="preserve">und </w:t>
            </w:r>
            <w:r w:rsidR="00757904" w:rsidRPr="002B7BC2">
              <w:rPr>
                <w:rFonts w:ascii="Century Gothic" w:hAnsi="Century Gothic"/>
                <w:b/>
                <w:bCs/>
                <w:sz w:val="16"/>
                <w:szCs w:val="16"/>
              </w:rPr>
              <w:t xml:space="preserve">3 </w:t>
            </w:r>
            <w:r w:rsidR="00757904" w:rsidRPr="002B7BC2">
              <w:rPr>
                <w:rFonts w:ascii="Century Gothic" w:hAnsi="Century Gothic"/>
                <w:sz w:val="16"/>
                <w:szCs w:val="16"/>
              </w:rPr>
              <w:t xml:space="preserve">angegeben. Im Falle kombinierter </w:t>
            </w:r>
            <w:r w:rsidR="00757904" w:rsidRPr="002B7BC2">
              <w:rPr>
                <w:rFonts w:ascii="Century Gothic" w:hAnsi="Century Gothic"/>
                <w:b/>
                <w:bCs/>
                <w:sz w:val="16"/>
                <w:szCs w:val="16"/>
              </w:rPr>
              <w:t xml:space="preserve">THG-Emissionsreduktionsziele </w:t>
            </w:r>
            <w:r w:rsidR="00757904" w:rsidRPr="002B7BC2">
              <w:rPr>
                <w:rFonts w:ascii="Century Gothic" w:hAnsi="Century Gothic"/>
                <w:sz w:val="16"/>
                <w:szCs w:val="16"/>
              </w:rPr>
              <w:t>gibt das Unternehmen an, welche THG- Emissionskategorien (</w:t>
            </w:r>
            <w:proofErr w:type="spellStart"/>
            <w:r w:rsidR="00757904" w:rsidRPr="002B7BC2">
              <w:rPr>
                <w:rFonts w:ascii="Century Gothic" w:hAnsi="Century Gothic"/>
                <w:sz w:val="16"/>
                <w:szCs w:val="16"/>
              </w:rPr>
              <w:t>Scope</w:t>
            </w:r>
            <w:proofErr w:type="spellEnd"/>
            <w:r w:rsidR="00757904" w:rsidRPr="002B7BC2">
              <w:rPr>
                <w:rFonts w:ascii="Century Gothic" w:hAnsi="Century Gothic"/>
                <w:sz w:val="16"/>
                <w:szCs w:val="16"/>
              </w:rPr>
              <w:t xml:space="preserve"> 1, 2 und/oder 3) unter das Ziel fallen, welcher Anteil sich auf den jeweiligen </w:t>
            </w:r>
            <w:proofErr w:type="spellStart"/>
            <w:r w:rsidR="00757904" w:rsidRPr="002B7BC2">
              <w:rPr>
                <w:rFonts w:ascii="Century Gothic" w:hAnsi="Century Gothic"/>
                <w:sz w:val="16"/>
                <w:szCs w:val="16"/>
              </w:rPr>
              <w:t>Scope</w:t>
            </w:r>
            <w:proofErr w:type="spellEnd"/>
            <w:r w:rsidR="00757904" w:rsidRPr="002B7BC2">
              <w:rPr>
                <w:rFonts w:ascii="Century Gothic" w:hAnsi="Century Gothic"/>
                <w:sz w:val="16"/>
                <w:szCs w:val="16"/>
              </w:rPr>
              <w:t xml:space="preserve"> bezieht und welche Treibhausgase erfasst werden. Das Unternehmen erläutert, wie die Kohärenz dieser Ziele mit den Begrenzungen seines Treibhausgasinventars sichergestellt wird (wie in der </w:t>
            </w:r>
            <w:proofErr w:type="spellStart"/>
            <w:r w:rsidR="00757904" w:rsidRPr="002B7BC2">
              <w:rPr>
                <w:rFonts w:ascii="Century Gothic" w:hAnsi="Century Gothic"/>
                <w:sz w:val="16"/>
                <w:szCs w:val="16"/>
              </w:rPr>
              <w:t>Angabepflicht</w:t>
            </w:r>
            <w:proofErr w:type="spellEnd"/>
            <w:r w:rsidR="00757904" w:rsidRPr="002B7BC2">
              <w:rPr>
                <w:rFonts w:ascii="Century Gothic" w:hAnsi="Century Gothic"/>
                <w:sz w:val="16"/>
                <w:szCs w:val="16"/>
              </w:rPr>
              <w:t xml:space="preserve"> E1-6 vorgesehen). Die THG-Emissionsreduktionsziele sind Bruttoziele, d. h., das Unternehmen darf den Abbau von Treibhausgasen, </w:t>
            </w:r>
            <w:r w:rsidR="00757904" w:rsidRPr="002B7BC2">
              <w:rPr>
                <w:rFonts w:ascii="Century Gothic" w:hAnsi="Century Gothic"/>
                <w:b/>
                <w:bCs/>
                <w:sz w:val="16"/>
                <w:szCs w:val="16"/>
              </w:rPr>
              <w:t xml:space="preserve">CO2-Gutschriften </w:t>
            </w:r>
            <w:r w:rsidR="00757904" w:rsidRPr="002B7BC2">
              <w:rPr>
                <w:rFonts w:ascii="Century Gothic" w:hAnsi="Century Gothic"/>
                <w:sz w:val="16"/>
                <w:szCs w:val="16"/>
              </w:rPr>
              <w:t>oder vermiedene Emissionen nicht als Mittel zur Erreichung der THG-Emissionsreduktionsziele einbeziehen,</w:t>
            </w:r>
          </w:p>
          <w:p w:rsidR="0047207E" w:rsidRPr="005A69F6" w:rsidRDefault="00757904" w:rsidP="006C35FE">
            <w:pPr>
              <w:pStyle w:val="Default"/>
              <w:numPr>
                <w:ilvl w:val="0"/>
                <w:numId w:val="25"/>
              </w:numPr>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2B7BC2">
              <w:rPr>
                <w:rFonts w:ascii="Century Gothic" w:hAnsi="Century Gothic"/>
                <w:sz w:val="16"/>
                <w:szCs w:val="16"/>
              </w:rPr>
              <w:t>das Unternehmen gibt sein aktuelles Basisjahr und seinen Bezugswert an und aktualisiert ab 2030 das Basisjahr für seine THG-Emissionsreduktionsziele nach jedem darauffolgenden Fünfjahreszeitraum. Das Unternehmen kann die vor seinem</w:t>
            </w:r>
            <w:r w:rsidR="000E7D42">
              <w:rPr>
                <w:rFonts w:ascii="Century Gothic" w:hAnsi="Century Gothic"/>
                <w:sz w:val="16"/>
                <w:szCs w:val="16"/>
              </w:rPr>
              <w:t xml:space="preserve"> </w:t>
            </w:r>
            <w:r w:rsidRPr="002B7BC2">
              <w:rPr>
                <w:rFonts w:ascii="Century Gothic" w:hAnsi="Century Gothic"/>
                <w:sz w:val="16"/>
                <w:szCs w:val="16"/>
              </w:rPr>
              <w:t>aktuellen Basisjahr erzielten Fortschritte bei der Erreichung seiner Ziele angeben, sofern diese Informationen den Anforderungen dieses Standards entsprechen,</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47207E" w:rsidRPr="000E0C5F" w:rsidRDefault="0047207E" w:rsidP="006C35FE">
            <w:pPr>
              <w:spacing w:before="0"/>
              <w:contextualSpacing/>
              <w:cnfStyle w:val="000000100000" w:firstRow="0" w:lastRow="0" w:firstColumn="0" w:lastColumn="0" w:oddVBand="0" w:evenVBand="0" w:oddHBand="1" w:evenHBand="0" w:firstRowFirstColumn="0" w:firstRowLastColumn="0" w:lastRowFirstColumn="0" w:lastRowLastColumn="0"/>
              <w:rPr>
                <w:sz w:val="20"/>
                <w:szCs w:val="20"/>
              </w:rPr>
            </w:pPr>
          </w:p>
        </w:tc>
      </w:tr>
      <w:bookmarkEnd w:id="0"/>
      <w:tr w:rsidR="00E524C4" w:rsidRPr="00122B7B" w:rsidTr="00CF77F9">
        <w:trPr>
          <w:trHeight w:val="460"/>
        </w:trPr>
        <w:tc>
          <w:tcPr>
            <w:cnfStyle w:val="001000000000" w:firstRow="0" w:lastRow="0" w:firstColumn="1" w:lastColumn="0" w:oddVBand="0" w:evenVBand="0" w:oddHBand="0" w:evenHBand="0" w:firstRowFirstColumn="0" w:firstRowLastColumn="0" w:lastRowFirstColumn="0" w:lastRowLastColumn="0"/>
            <w:tcW w:w="9077" w:type="dxa"/>
            <w:gridSpan w:val="3"/>
            <w:shd w:val="clear" w:color="auto" w:fill="D9D9D9" w:themeFill="background1" w:themeFillShade="D9"/>
            <w:vAlign w:val="center"/>
          </w:tcPr>
          <w:p w:rsidR="00E524C4" w:rsidRPr="00122B7B" w:rsidRDefault="00E524C4" w:rsidP="006C35FE">
            <w:pPr>
              <w:spacing w:before="0"/>
              <w:contextualSpacing/>
              <w:jc w:val="left"/>
              <w:rPr>
                <w:color w:val="000000" w:themeColor="text1"/>
                <w:sz w:val="20"/>
                <w:szCs w:val="20"/>
              </w:rPr>
            </w:pPr>
            <w:r w:rsidRPr="00122B7B">
              <w:rPr>
                <w:color w:val="000000" w:themeColor="text1"/>
                <w:sz w:val="20"/>
                <w:szCs w:val="20"/>
              </w:rPr>
              <w:lastRenderedPageBreak/>
              <w:t>Teil 1:</w:t>
            </w:r>
            <w:r>
              <w:rPr>
                <w:color w:val="000000" w:themeColor="text1"/>
                <w:sz w:val="20"/>
                <w:szCs w:val="20"/>
              </w:rPr>
              <w:t xml:space="preserve"> </w:t>
            </w:r>
            <w:r w:rsidRPr="00122B7B">
              <w:rPr>
                <w:color w:val="000000" w:themeColor="text1"/>
                <w:sz w:val="20"/>
                <w:szCs w:val="20"/>
              </w:rPr>
              <w:t>Regulatorische Vorgabe</w:t>
            </w:r>
            <w:r>
              <w:rPr>
                <w:color w:val="000000" w:themeColor="text1"/>
                <w:sz w:val="20"/>
                <w:szCs w:val="20"/>
              </w:rPr>
              <w:t>n</w:t>
            </w:r>
            <w:r w:rsidR="00F01992">
              <w:rPr>
                <w:color w:val="000000" w:themeColor="text1"/>
                <w:sz w:val="20"/>
                <w:szCs w:val="20"/>
              </w:rPr>
              <w:t>;</w:t>
            </w:r>
            <w:r w:rsidR="004C3CBF">
              <w:rPr>
                <w:color w:val="000000" w:themeColor="text1"/>
                <w:sz w:val="20"/>
                <w:szCs w:val="20"/>
              </w:rPr>
              <w:t xml:space="preserve"> Forts.</w:t>
            </w:r>
          </w:p>
        </w:tc>
      </w:tr>
      <w:tr w:rsidR="00E524C4" w:rsidRPr="006C35FE" w:rsidTr="00CF7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cnfStyle w:val="000000100000" w:firstRow="0" w:lastRow="0" w:firstColumn="0" w:lastColumn="0" w:oddVBand="0" w:evenVBand="0" w:oddHBand="1"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89" w:type="dxa"/>
            <w:tcBorders>
              <w:top w:val="nil"/>
              <w:left w:val="nil"/>
              <w:bottom w:val="single" w:sz="4" w:space="0" w:color="auto"/>
              <w:right w:val="nil"/>
            </w:tcBorders>
            <w:shd w:val="clear" w:color="auto" w:fill="auto"/>
            <w:vAlign w:val="center"/>
          </w:tcPr>
          <w:p w:rsidR="00E524C4" w:rsidRPr="006C35FE" w:rsidRDefault="00E524C4" w:rsidP="006C35FE">
            <w:pPr>
              <w:spacing w:before="0"/>
              <w:contextualSpacing/>
              <w:jc w:val="center"/>
              <w:rPr>
                <w:sz w:val="2"/>
                <w:szCs w:val="2"/>
              </w:rPr>
            </w:pPr>
          </w:p>
        </w:tc>
        <w:tc>
          <w:tcPr>
            <w:tcW w:w="6239" w:type="dxa"/>
            <w:tcBorders>
              <w:top w:val="nil"/>
              <w:left w:val="nil"/>
              <w:bottom w:val="single" w:sz="4" w:space="0" w:color="auto"/>
              <w:right w:val="nil"/>
            </w:tcBorders>
            <w:shd w:val="clear" w:color="auto" w:fill="auto"/>
            <w:vAlign w:val="center"/>
          </w:tcPr>
          <w:p w:rsidR="00E524C4" w:rsidRPr="006C35FE" w:rsidRDefault="00E524C4" w:rsidP="006C35FE">
            <w:pPr>
              <w:spacing w:before="0"/>
              <w:contextualSpacing/>
              <w:jc w:val="center"/>
              <w:cnfStyle w:val="000000100000" w:firstRow="0" w:lastRow="0" w:firstColumn="0" w:lastColumn="0" w:oddVBand="0" w:evenVBand="0" w:oddHBand="1" w:evenHBand="0" w:firstRowFirstColumn="0" w:firstRowLastColumn="0" w:lastRowFirstColumn="0" w:lastRowLastColumn="0"/>
              <w:rPr>
                <w:sz w:val="2"/>
                <w:szCs w:val="2"/>
              </w:rPr>
            </w:pPr>
          </w:p>
        </w:tc>
        <w:tc>
          <w:tcPr>
            <w:tcW w:w="1849" w:type="dxa"/>
            <w:tcBorders>
              <w:top w:val="nil"/>
              <w:left w:val="nil"/>
              <w:bottom w:val="single" w:sz="4" w:space="0" w:color="auto"/>
              <w:right w:val="nil"/>
            </w:tcBorders>
            <w:shd w:val="clear" w:color="auto" w:fill="auto"/>
            <w:vAlign w:val="center"/>
          </w:tcPr>
          <w:p w:rsidR="00E524C4" w:rsidRPr="006C35FE" w:rsidRDefault="00E524C4" w:rsidP="006C35FE">
            <w:pPr>
              <w:spacing w:before="0"/>
              <w:contextualSpacing/>
              <w:jc w:val="center"/>
              <w:cnfStyle w:val="000000100000" w:firstRow="0" w:lastRow="0" w:firstColumn="0" w:lastColumn="0" w:oddVBand="0" w:evenVBand="0" w:oddHBand="1" w:evenHBand="0" w:firstRowFirstColumn="0" w:firstRowLastColumn="0" w:lastRowFirstColumn="0" w:lastRowLastColumn="0"/>
              <w:rPr>
                <w:sz w:val="2"/>
                <w:szCs w:val="2"/>
              </w:rPr>
            </w:pPr>
          </w:p>
        </w:tc>
      </w:tr>
      <w:tr w:rsidR="00E524C4" w:rsidRPr="00E524C4" w:rsidTr="00CF7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trHeight w:val="782"/>
          <w:tblHeader/>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228B22"/>
            <w:vAlign w:val="center"/>
          </w:tcPr>
          <w:p w:rsidR="005A69F6" w:rsidRPr="00E524C4" w:rsidRDefault="005A69F6" w:rsidP="006C35FE">
            <w:pPr>
              <w:spacing w:before="0"/>
              <w:contextualSpacing/>
              <w:jc w:val="center"/>
              <w:rPr>
                <w:color w:val="FFFFFF" w:themeColor="background1"/>
                <w:sz w:val="20"/>
                <w:szCs w:val="20"/>
              </w:rPr>
            </w:pPr>
            <w:r w:rsidRPr="00E524C4">
              <w:rPr>
                <w:color w:val="FFFFFF" w:themeColor="background1"/>
                <w:sz w:val="20"/>
                <w:szCs w:val="20"/>
              </w:rPr>
              <w:t>Quelle ESRS E1</w:t>
            </w:r>
          </w:p>
        </w:tc>
        <w:tc>
          <w:tcPr>
            <w:tcW w:w="6239" w:type="dxa"/>
            <w:tcBorders>
              <w:top w:val="single" w:sz="4" w:space="0" w:color="auto"/>
              <w:left w:val="single" w:sz="4" w:space="0" w:color="auto"/>
              <w:bottom w:val="single" w:sz="4" w:space="0" w:color="auto"/>
              <w:right w:val="single" w:sz="4" w:space="0" w:color="auto"/>
            </w:tcBorders>
            <w:shd w:val="clear" w:color="auto" w:fill="228B22"/>
            <w:vAlign w:val="center"/>
          </w:tcPr>
          <w:p w:rsidR="005A69F6" w:rsidRPr="00E524C4" w:rsidRDefault="00E72A93" w:rsidP="006C35FE">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E524C4">
              <w:rPr>
                <w:b/>
                <w:color w:val="FFFFFF" w:themeColor="background1"/>
                <w:sz w:val="20"/>
                <w:szCs w:val="20"/>
              </w:rPr>
              <w:t>Parameter und Ziele</w:t>
            </w:r>
          </w:p>
        </w:tc>
        <w:tc>
          <w:tcPr>
            <w:tcW w:w="1849" w:type="dxa"/>
            <w:tcBorders>
              <w:top w:val="single" w:sz="4" w:space="0" w:color="auto"/>
              <w:left w:val="single" w:sz="4" w:space="0" w:color="auto"/>
              <w:bottom w:val="single" w:sz="4" w:space="0" w:color="auto"/>
              <w:right w:val="single" w:sz="4" w:space="0" w:color="auto"/>
            </w:tcBorders>
            <w:shd w:val="clear" w:color="auto" w:fill="228B22"/>
            <w:vAlign w:val="center"/>
          </w:tcPr>
          <w:p w:rsidR="005A69F6" w:rsidRPr="00E524C4" w:rsidRDefault="005A69F6" w:rsidP="006C35FE">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E524C4">
              <w:rPr>
                <w:b/>
                <w:color w:val="FFFFFF" w:themeColor="background1"/>
                <w:sz w:val="16"/>
                <w:szCs w:val="16"/>
              </w:rPr>
              <w:t>Bemerkungen, ggf. Verweis auf Datenpunkte</w:t>
            </w:r>
          </w:p>
        </w:tc>
      </w:tr>
      <w:tr w:rsidR="005A69F6" w:rsidRPr="00757904" w:rsidTr="00CF7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tcBorders>
            <w:shd w:val="clear" w:color="auto" w:fill="C5F1C5"/>
          </w:tcPr>
          <w:p w:rsidR="005A69F6" w:rsidRPr="0015165A" w:rsidRDefault="005A69F6" w:rsidP="006C35FE">
            <w:pPr>
              <w:spacing w:before="0"/>
              <w:contextualSpacing/>
              <w:jc w:val="center"/>
              <w:rPr>
                <w:sz w:val="16"/>
                <w:szCs w:val="16"/>
              </w:rPr>
            </w:pPr>
            <w:r w:rsidRPr="0015165A">
              <w:rPr>
                <w:sz w:val="16"/>
                <w:szCs w:val="16"/>
              </w:rPr>
              <w:t xml:space="preserve">Tz. </w:t>
            </w:r>
            <w:r>
              <w:rPr>
                <w:sz w:val="16"/>
                <w:szCs w:val="16"/>
              </w:rPr>
              <w:t>34</w:t>
            </w:r>
          </w:p>
        </w:tc>
        <w:tc>
          <w:tcPr>
            <w:tcW w:w="6239" w:type="dxa"/>
            <w:tcBorders>
              <w:top w:val="single" w:sz="4" w:space="0" w:color="auto"/>
            </w:tcBorders>
            <w:shd w:val="clear" w:color="auto" w:fill="auto"/>
            <w:vAlign w:val="center"/>
          </w:tcPr>
          <w:p w:rsidR="005A69F6" w:rsidRPr="005A69F6" w:rsidRDefault="005A69F6" w:rsidP="006C35FE">
            <w:pPr>
              <w:pStyle w:val="Default"/>
              <w:numPr>
                <w:ilvl w:val="0"/>
                <w:numId w:val="25"/>
              </w:numPr>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A69F6">
              <w:rPr>
                <w:rFonts w:ascii="Century Gothic" w:hAnsi="Century Gothic"/>
                <w:sz w:val="16"/>
                <w:szCs w:val="16"/>
              </w:rPr>
              <w:t>die THG- Emissionsreduktionsziele umfassen mindestens Zielwerte für das Jahr 2030 und, sofern verfügbar, für das Jahr 2050. Ab 2030 werden nach jedem Fünfjahreszeitraum Zielwerte festgelegt,</w:t>
            </w:r>
          </w:p>
          <w:p w:rsidR="005A69F6" w:rsidRPr="005A69F6" w:rsidRDefault="005A69F6" w:rsidP="006C35FE">
            <w:pPr>
              <w:pStyle w:val="Default"/>
              <w:numPr>
                <w:ilvl w:val="0"/>
                <w:numId w:val="25"/>
              </w:numPr>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A69F6">
              <w:rPr>
                <w:rFonts w:ascii="Century Gothic" w:hAnsi="Century Gothic"/>
                <w:sz w:val="16"/>
                <w:szCs w:val="16"/>
              </w:rPr>
              <w:t xml:space="preserve">das Unternehmen gibt an, ob die THG-Emissionsreduktionsziele wissenschaftlich fundiert und mit der Begrenzung der Erderwärmung auf 1,5 °C vereinbar sind. Das Unternehmen gibt außerdem an, welche Leitlinien und Rahmen zur Festlegung dieser </w:t>
            </w:r>
            <w:r w:rsidRPr="005A69F6">
              <w:rPr>
                <w:rFonts w:ascii="Century Gothic" w:hAnsi="Century Gothic"/>
                <w:b/>
                <w:bCs/>
                <w:sz w:val="16"/>
                <w:szCs w:val="16"/>
              </w:rPr>
              <w:t xml:space="preserve">Ziele </w:t>
            </w:r>
            <w:r w:rsidRPr="005A69F6">
              <w:rPr>
                <w:rFonts w:ascii="Century Gothic" w:hAnsi="Century Gothic"/>
                <w:sz w:val="16"/>
                <w:szCs w:val="16"/>
              </w:rPr>
              <w:t xml:space="preserve">herangezogen wurden, einschließlich, ob sie anhand eines sektorspezifischen </w:t>
            </w:r>
            <w:proofErr w:type="spellStart"/>
            <w:r w:rsidRPr="005A69F6">
              <w:rPr>
                <w:rFonts w:ascii="Century Gothic" w:hAnsi="Century Gothic"/>
                <w:sz w:val="16"/>
                <w:szCs w:val="16"/>
              </w:rPr>
              <w:t>Dekarbonisierungspfads</w:t>
            </w:r>
            <w:proofErr w:type="spellEnd"/>
            <w:r w:rsidRPr="005A69F6">
              <w:rPr>
                <w:rFonts w:ascii="Century Gothic" w:hAnsi="Century Gothic"/>
                <w:sz w:val="16"/>
                <w:szCs w:val="16"/>
              </w:rPr>
              <w:t xml:space="preserve"> abgeleitet wurden, welche Klima- und </w:t>
            </w:r>
            <w:r w:rsidRPr="005A69F6">
              <w:rPr>
                <w:rFonts w:ascii="Century Gothic" w:hAnsi="Century Gothic"/>
                <w:b/>
                <w:bCs/>
                <w:sz w:val="16"/>
                <w:szCs w:val="16"/>
              </w:rPr>
              <w:t xml:space="preserve">Politikszenarien </w:t>
            </w:r>
            <w:r w:rsidRPr="005A69F6">
              <w:rPr>
                <w:rFonts w:ascii="Century Gothic" w:hAnsi="Century Gothic"/>
                <w:sz w:val="16"/>
                <w:szCs w:val="16"/>
              </w:rPr>
              <w:t>zugrunde liegen und ob die Ziele extern gesichert wurden. Als Teil der kritischen Annahmen für die Festlegung der THG-Emissionsreduktionsziele erläutert das Unternehmen kurz, wie es künftige Entwicklungen berücksichtigt hat (z. B. Veränderungen des Absatzvolumens, Verschiebungen hinsichtlich Kundenpräferenzen und Nachfrage, regulatorische Faktoren und neue Technologien) und wie sich diese möglicherweise sowohl auf seine Treibhausgasemissionen als auch auf die Emissionsreduktionen auswirken werden, und</w:t>
            </w:r>
          </w:p>
          <w:p w:rsidR="005A69F6" w:rsidRPr="005A69F6" w:rsidRDefault="005A69F6" w:rsidP="006C35FE">
            <w:pPr>
              <w:pStyle w:val="Default"/>
              <w:numPr>
                <w:ilvl w:val="0"/>
                <w:numId w:val="25"/>
              </w:numPr>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Pr>
                <w:rFonts w:ascii="Century Gothic" w:hAnsi="Century Gothic"/>
                <w:sz w:val="16"/>
                <w:szCs w:val="16"/>
              </w:rPr>
              <w:t xml:space="preserve">das </w:t>
            </w:r>
            <w:r w:rsidRPr="002B7BC2">
              <w:rPr>
                <w:rFonts w:ascii="Century Gothic" w:hAnsi="Century Gothic"/>
                <w:sz w:val="16"/>
                <w:szCs w:val="16"/>
              </w:rPr>
              <w:t xml:space="preserve">Unternehmen beschreibt die erwarteten </w:t>
            </w:r>
            <w:proofErr w:type="spellStart"/>
            <w:r w:rsidRPr="002B7BC2">
              <w:rPr>
                <w:rFonts w:ascii="Century Gothic" w:hAnsi="Century Gothic"/>
                <w:b/>
                <w:bCs/>
                <w:sz w:val="16"/>
                <w:szCs w:val="16"/>
              </w:rPr>
              <w:t>Dekarbonisierungshebel</w:t>
            </w:r>
            <w:proofErr w:type="spellEnd"/>
            <w:r w:rsidRPr="002B7BC2">
              <w:rPr>
                <w:rFonts w:ascii="Century Gothic" w:hAnsi="Century Gothic"/>
                <w:b/>
                <w:bCs/>
                <w:sz w:val="16"/>
                <w:szCs w:val="16"/>
              </w:rPr>
              <w:t xml:space="preserve"> </w:t>
            </w:r>
            <w:r w:rsidRPr="002B7BC2">
              <w:rPr>
                <w:rFonts w:ascii="Century Gothic" w:hAnsi="Century Gothic"/>
                <w:sz w:val="16"/>
                <w:szCs w:val="16"/>
              </w:rPr>
              <w:t xml:space="preserve">und deren quantitativen Gesamtbeitrag zur Erreichung der THG-Emissionsreduktionsziele (z. B. Energie- oder Materialeffizienz und Verbrauchssenkung, Brennstoffwechsel, Nutzung </w:t>
            </w:r>
            <w:r w:rsidRPr="002B7BC2">
              <w:rPr>
                <w:rFonts w:ascii="Century Gothic" w:hAnsi="Century Gothic"/>
                <w:b/>
                <w:bCs/>
                <w:sz w:val="16"/>
                <w:szCs w:val="16"/>
              </w:rPr>
              <w:t>erneuerbarer Energien</w:t>
            </w:r>
            <w:r w:rsidRPr="002B7BC2">
              <w:rPr>
                <w:rFonts w:ascii="Century Gothic" w:hAnsi="Century Gothic"/>
                <w:sz w:val="16"/>
                <w:szCs w:val="16"/>
              </w:rPr>
              <w:t>, Ausstieg aus oder Ersetzung von Produkten und Verfahren).</w:t>
            </w:r>
          </w:p>
        </w:tc>
        <w:tc>
          <w:tcPr>
            <w:tcW w:w="1849" w:type="dxa"/>
            <w:tcBorders>
              <w:top w:val="single" w:sz="4" w:space="0" w:color="auto"/>
            </w:tcBorders>
            <w:shd w:val="clear" w:color="auto" w:fill="auto"/>
          </w:tcPr>
          <w:p w:rsidR="005A69F6" w:rsidRPr="00757904" w:rsidRDefault="005A69F6" w:rsidP="006C35FE">
            <w:pPr>
              <w:spacing w:before="0"/>
              <w:contextualSpacing/>
              <w:jc w:val="center"/>
              <w:cnfStyle w:val="000000100000" w:firstRow="0" w:lastRow="0" w:firstColumn="0" w:lastColumn="0" w:oddVBand="0" w:evenVBand="0" w:oddHBand="1" w:evenHBand="0" w:firstRowFirstColumn="0" w:firstRowLastColumn="0" w:lastRowFirstColumn="0" w:lastRowLastColumn="0"/>
              <w:rPr>
                <w:sz w:val="16"/>
                <w:szCs w:val="16"/>
              </w:rPr>
            </w:pPr>
          </w:p>
        </w:tc>
      </w:tr>
    </w:tbl>
    <w:p w:rsidR="0092653E" w:rsidRDefault="005A69F6" w:rsidP="003A3E64">
      <w:pPr>
        <w:pStyle w:val="Standardeinzug"/>
      </w:pPr>
      <w:r>
        <w:br w:type="page"/>
      </w:r>
    </w:p>
    <w:tbl>
      <w:tblPr>
        <w:tblStyle w:val="Gitternetztabelle4Akzent6"/>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989"/>
        <w:gridCol w:w="6240"/>
        <w:gridCol w:w="1848"/>
      </w:tblGrid>
      <w:tr w:rsidR="00E524C4" w:rsidRPr="00122B7B" w:rsidTr="00BA7FFA">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7"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524C4" w:rsidRPr="00122B7B" w:rsidRDefault="00E524C4" w:rsidP="003D25EC">
            <w:pPr>
              <w:spacing w:before="0"/>
              <w:contextualSpacing/>
              <w:jc w:val="left"/>
              <w:rPr>
                <w:color w:val="000000" w:themeColor="text1"/>
                <w:sz w:val="20"/>
                <w:szCs w:val="20"/>
              </w:rPr>
            </w:pPr>
            <w:r w:rsidRPr="00122B7B">
              <w:rPr>
                <w:color w:val="000000" w:themeColor="text1"/>
                <w:sz w:val="20"/>
                <w:szCs w:val="20"/>
              </w:rPr>
              <w:lastRenderedPageBreak/>
              <w:t xml:space="preserve">Teil </w:t>
            </w:r>
            <w:r>
              <w:rPr>
                <w:color w:val="000000" w:themeColor="text1"/>
                <w:sz w:val="20"/>
                <w:szCs w:val="20"/>
              </w:rPr>
              <w:t>2</w:t>
            </w:r>
            <w:r w:rsidRPr="00122B7B">
              <w:rPr>
                <w:color w:val="000000" w:themeColor="text1"/>
                <w:sz w:val="20"/>
                <w:szCs w:val="20"/>
              </w:rPr>
              <w:t>:</w:t>
            </w:r>
            <w:r>
              <w:rPr>
                <w:color w:val="000000" w:themeColor="text1"/>
                <w:sz w:val="20"/>
                <w:szCs w:val="20"/>
              </w:rPr>
              <w:t xml:space="preserve">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p>
        </w:tc>
      </w:tr>
      <w:tr w:rsidR="00E524C4" w:rsidRPr="00FF116A" w:rsidTr="00BA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89" w:type="dxa"/>
            <w:tcBorders>
              <w:left w:val="nil"/>
              <w:bottom w:val="nil"/>
            </w:tcBorders>
            <w:shd w:val="clear" w:color="auto" w:fill="auto"/>
            <w:vAlign w:val="center"/>
          </w:tcPr>
          <w:p w:rsidR="00E524C4" w:rsidRPr="00FF116A" w:rsidRDefault="00E524C4" w:rsidP="003D25EC">
            <w:pPr>
              <w:spacing w:before="0"/>
              <w:contextualSpacing/>
              <w:jc w:val="center"/>
              <w:rPr>
                <w:sz w:val="2"/>
                <w:szCs w:val="2"/>
              </w:rPr>
            </w:pPr>
          </w:p>
        </w:tc>
        <w:tc>
          <w:tcPr>
            <w:tcW w:w="6240" w:type="dxa"/>
            <w:tcBorders>
              <w:bottom w:val="nil"/>
            </w:tcBorders>
            <w:shd w:val="clear" w:color="auto" w:fill="auto"/>
            <w:vAlign w:val="center"/>
          </w:tcPr>
          <w:p w:rsidR="00E524C4" w:rsidRPr="00FF116A" w:rsidRDefault="00E524C4" w:rsidP="003D25EC">
            <w:pPr>
              <w:spacing w:before="0"/>
              <w:contextualSpacing/>
              <w:jc w:val="center"/>
              <w:cnfStyle w:val="100000000000" w:firstRow="1" w:lastRow="0" w:firstColumn="0" w:lastColumn="0" w:oddVBand="0" w:evenVBand="0" w:oddHBand="0" w:evenHBand="0" w:firstRowFirstColumn="0" w:firstRowLastColumn="0" w:lastRowFirstColumn="0" w:lastRowLastColumn="0"/>
              <w:rPr>
                <w:sz w:val="2"/>
                <w:szCs w:val="2"/>
              </w:rPr>
            </w:pPr>
          </w:p>
        </w:tc>
        <w:tc>
          <w:tcPr>
            <w:tcW w:w="1848" w:type="dxa"/>
            <w:tcBorders>
              <w:bottom w:val="nil"/>
              <w:right w:val="nil"/>
            </w:tcBorders>
            <w:shd w:val="clear" w:color="auto" w:fill="auto"/>
            <w:vAlign w:val="center"/>
          </w:tcPr>
          <w:p w:rsidR="00E524C4" w:rsidRPr="00FF116A" w:rsidRDefault="00E524C4" w:rsidP="003D25EC">
            <w:pPr>
              <w:spacing w:before="0"/>
              <w:contextualSpacing/>
              <w:jc w:val="center"/>
              <w:cnfStyle w:val="100000000000" w:firstRow="1" w:lastRow="0" w:firstColumn="0" w:lastColumn="0" w:oddVBand="0" w:evenVBand="0" w:oddHBand="0" w:evenHBand="0" w:firstRowFirstColumn="0" w:firstRowLastColumn="0" w:lastRowFirstColumn="0" w:lastRowLastColumn="0"/>
              <w:rPr>
                <w:sz w:val="2"/>
                <w:szCs w:val="2"/>
              </w:rPr>
            </w:pPr>
          </w:p>
        </w:tc>
      </w:tr>
      <w:tr w:rsidR="00E524C4" w:rsidRPr="00E524C4" w:rsidTr="00BA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cnfStyle w:val="100000000000" w:firstRow="1" w:lastRow="0" w:firstColumn="0" w:lastColumn="0" w:oddVBand="0" w:evenVBand="0" w:oddHBand="0" w:evenHBand="0" w:firstRowFirstColumn="0" w:firstRowLastColumn="0" w:lastRowFirstColumn="0" w:lastRowLastColumn="0"/>
          <w:trHeight w:val="782"/>
          <w:tblHeader/>
        </w:trPr>
        <w:tc>
          <w:tcPr>
            <w:cnfStyle w:val="001000000000" w:firstRow="0" w:lastRow="0" w:firstColumn="1" w:lastColumn="0" w:oddVBand="0" w:evenVBand="0" w:oddHBand="0" w:evenHBand="0" w:firstRowFirstColumn="0" w:firstRowLastColumn="0" w:lastRowFirstColumn="0" w:lastRowLastColumn="0"/>
            <w:tcW w:w="989" w:type="dxa"/>
            <w:tcBorders>
              <w:left w:val="single" w:sz="4" w:space="0" w:color="auto"/>
              <w:bottom w:val="single" w:sz="4" w:space="0" w:color="auto"/>
              <w:right w:val="single" w:sz="4" w:space="0" w:color="auto"/>
            </w:tcBorders>
            <w:shd w:val="clear" w:color="auto" w:fill="228B22"/>
            <w:vAlign w:val="center"/>
          </w:tcPr>
          <w:p w:rsidR="0015165A" w:rsidRPr="00E524C4" w:rsidRDefault="0015165A" w:rsidP="003D25EC">
            <w:pPr>
              <w:spacing w:before="0"/>
              <w:contextualSpacing/>
              <w:jc w:val="center"/>
              <w:rPr>
                <w:sz w:val="20"/>
                <w:szCs w:val="20"/>
              </w:rPr>
            </w:pPr>
            <w:r w:rsidRPr="00E524C4">
              <w:rPr>
                <w:sz w:val="20"/>
                <w:szCs w:val="20"/>
              </w:rPr>
              <w:t>Quelle ESRS E1</w:t>
            </w:r>
          </w:p>
        </w:tc>
        <w:tc>
          <w:tcPr>
            <w:tcW w:w="6240" w:type="dxa"/>
            <w:tcBorders>
              <w:left w:val="single" w:sz="4" w:space="0" w:color="auto"/>
              <w:bottom w:val="single" w:sz="4" w:space="0" w:color="auto"/>
              <w:right w:val="single" w:sz="4" w:space="0" w:color="auto"/>
            </w:tcBorders>
            <w:shd w:val="clear" w:color="auto" w:fill="228B22"/>
            <w:vAlign w:val="center"/>
          </w:tcPr>
          <w:p w:rsidR="0015165A" w:rsidRPr="00E524C4" w:rsidRDefault="00E72A93" w:rsidP="003D25EC">
            <w:pPr>
              <w:spacing w:before="0"/>
              <w:contextualSpacing/>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E524C4">
              <w:rPr>
                <w:sz w:val="20"/>
                <w:szCs w:val="20"/>
              </w:rPr>
              <w:t>Parameter und Ziele</w:t>
            </w:r>
          </w:p>
        </w:tc>
        <w:tc>
          <w:tcPr>
            <w:tcW w:w="1848" w:type="dxa"/>
            <w:tcBorders>
              <w:left w:val="single" w:sz="4" w:space="0" w:color="auto"/>
              <w:bottom w:val="single" w:sz="4" w:space="0" w:color="auto"/>
              <w:right w:val="single" w:sz="4" w:space="0" w:color="auto"/>
            </w:tcBorders>
            <w:shd w:val="clear" w:color="auto" w:fill="228B22"/>
            <w:vAlign w:val="center"/>
          </w:tcPr>
          <w:p w:rsidR="0015165A" w:rsidRPr="00E524C4" w:rsidRDefault="0015165A" w:rsidP="003D25EC">
            <w:pPr>
              <w:spacing w:before="0"/>
              <w:contextualSpacing/>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E524C4">
              <w:rPr>
                <w:sz w:val="16"/>
                <w:szCs w:val="16"/>
              </w:rPr>
              <w:t>Bemerkungen, ggf. Verweis auf Datenpunkte</w:t>
            </w:r>
          </w:p>
        </w:tc>
      </w:tr>
      <w:tr w:rsidR="00C31157" w:rsidRPr="00C31157" w:rsidTr="00FF116A">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165A" w:rsidRPr="00E22C75" w:rsidRDefault="0015165A" w:rsidP="003D25EC">
            <w:pPr>
              <w:spacing w:before="0"/>
              <w:contextualSpacing/>
              <w:jc w:val="center"/>
              <w:rPr>
                <w:sz w:val="16"/>
                <w:szCs w:val="16"/>
              </w:rPr>
            </w:pPr>
            <w:r w:rsidRPr="00E22C75">
              <w:rPr>
                <w:sz w:val="16"/>
                <w:szCs w:val="16"/>
              </w:rPr>
              <w:t xml:space="preserve">AR </w:t>
            </w:r>
            <w:r w:rsidR="003A3E64">
              <w:rPr>
                <w:sz w:val="16"/>
                <w:szCs w:val="16"/>
              </w:rPr>
              <w:t>23</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rsidR="0015165A" w:rsidRPr="003A3E64" w:rsidRDefault="003A3E64" w:rsidP="003D25EC">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3A3E64">
              <w:rPr>
                <w:rFonts w:ascii="Century Gothic" w:hAnsi="Century Gothic"/>
                <w:sz w:val="16"/>
                <w:szCs w:val="16"/>
              </w:rPr>
              <w:t xml:space="preserve">Gemäß Absatz 34 Buchstabe a kann das Unternehmen </w:t>
            </w:r>
            <w:r w:rsidRPr="003A3E64">
              <w:rPr>
                <w:rFonts w:ascii="Century Gothic" w:hAnsi="Century Gothic"/>
                <w:b/>
                <w:bCs/>
                <w:sz w:val="16"/>
                <w:szCs w:val="16"/>
              </w:rPr>
              <w:t xml:space="preserve">THG-Emissionsreduktionsziele </w:t>
            </w:r>
            <w:r w:rsidRPr="003A3E64">
              <w:rPr>
                <w:rFonts w:ascii="Century Gothic" w:hAnsi="Century Gothic"/>
                <w:sz w:val="16"/>
                <w:szCs w:val="16"/>
              </w:rPr>
              <w:t xml:space="preserve">in Intensitätswerten angeben. Die Intensitätsziele werden als Verhältnis der </w:t>
            </w:r>
            <w:r w:rsidRPr="003A3E64">
              <w:rPr>
                <w:rFonts w:ascii="Century Gothic" w:hAnsi="Century Gothic"/>
                <w:b/>
                <w:bCs/>
                <w:sz w:val="16"/>
                <w:szCs w:val="16"/>
              </w:rPr>
              <w:t xml:space="preserve">Treibhausgasemissionen </w:t>
            </w:r>
            <w:r w:rsidRPr="003A3E64">
              <w:rPr>
                <w:rFonts w:ascii="Century Gothic" w:hAnsi="Century Gothic"/>
                <w:sz w:val="16"/>
                <w:szCs w:val="16"/>
              </w:rPr>
              <w:t>zu einer Einheit der physischen Aktivität oder des Outputs formuliert. Relevante Einheiten der Aktivität oder des Outputs werden in den sektorspezifischen ESRS genannt. In Fällen, in denen das Unternehmen lediglich ein Ziel für die Verringerung der Treibhausgasintensität festgelegt hat, gibt es dennoch die entsprechenden absoluten Werte für das Zieljahr und das/die Zwischenzieljahr(e) an. Dies kann dazu führen, dass ein Unternehmen verpflichtet ist, einen Anstieg der absoluten Treibhausgasemissionen für das Zieljahr und das/die Zwischenzieljahr(e) anzugeben, z. B. weil es ein organisches Wachstum seiner Geschäftstätigkeit erwartet.</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15165A" w:rsidRPr="00C31157" w:rsidRDefault="0015165A" w:rsidP="003D25EC">
            <w:pPr>
              <w:spacing w:before="0"/>
              <w:contextualSpacing/>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r>
      <w:tr w:rsidR="00C31157" w:rsidRPr="00C31157" w:rsidTr="00FF116A">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4040" w:rsidRPr="00E22C75" w:rsidRDefault="00494040" w:rsidP="003D25EC">
            <w:pPr>
              <w:spacing w:before="0"/>
              <w:contextualSpacing/>
              <w:jc w:val="center"/>
              <w:rPr>
                <w:sz w:val="16"/>
                <w:szCs w:val="16"/>
              </w:rPr>
            </w:pPr>
            <w:r w:rsidRPr="00E22C75">
              <w:rPr>
                <w:sz w:val="16"/>
                <w:szCs w:val="16"/>
              </w:rPr>
              <w:t xml:space="preserve">AR </w:t>
            </w:r>
            <w:r w:rsidR="003A3E64">
              <w:rPr>
                <w:sz w:val="16"/>
                <w:szCs w:val="16"/>
              </w:rPr>
              <w:t>24</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rsidR="00494040" w:rsidRPr="003A3E64" w:rsidRDefault="003A3E64" w:rsidP="003D25EC">
            <w:pPr>
              <w:spacing w:before="0"/>
              <w:contextualSpacing/>
              <w:jc w:val="lef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3A3E64">
              <w:rPr>
                <w:sz w:val="16"/>
                <w:szCs w:val="16"/>
              </w:rPr>
              <w:t xml:space="preserve">Bei der Angabe der nach Absatz 34 Buchstabe b erforderlichen Informationen nennt das Unternehmen den Anteil des Ziels, der für die jeweilige Kategorie der </w:t>
            </w:r>
            <w:r w:rsidRPr="003A3E64">
              <w:rPr>
                <w:b/>
                <w:bCs/>
                <w:sz w:val="16"/>
                <w:szCs w:val="16"/>
              </w:rPr>
              <w:t xml:space="preserve">Treibhausgasemissionen </w:t>
            </w:r>
            <w:r w:rsidRPr="003A3E64">
              <w:rPr>
                <w:sz w:val="16"/>
                <w:szCs w:val="16"/>
              </w:rPr>
              <w:t>(</w:t>
            </w:r>
            <w:proofErr w:type="spellStart"/>
            <w:r w:rsidRPr="003A3E64">
              <w:rPr>
                <w:sz w:val="16"/>
                <w:szCs w:val="16"/>
              </w:rPr>
              <w:t>Scope</w:t>
            </w:r>
            <w:proofErr w:type="spellEnd"/>
            <w:r w:rsidRPr="003A3E64">
              <w:rPr>
                <w:sz w:val="16"/>
                <w:szCs w:val="16"/>
              </w:rPr>
              <w:t xml:space="preserve"> 1, 2 oder 3) gilt. Das Unternehmen nennt die Methode, die zur Berechnung der in die Zielvorgabe einbezogenen Scope-2-Treibhausgasemissionen verwendet wird (d. h. entweder die standortbezogene oder die marktbezogene Methode). Weicht die Grenze des THG-Emissionsreduktionsziels von der Grenze der unter der </w:t>
            </w:r>
            <w:proofErr w:type="spellStart"/>
            <w:r w:rsidRPr="003A3E64">
              <w:rPr>
                <w:sz w:val="16"/>
                <w:szCs w:val="16"/>
              </w:rPr>
              <w:t>Angabepflicht</w:t>
            </w:r>
            <w:proofErr w:type="spellEnd"/>
            <w:r w:rsidRPr="003A3E64">
              <w:rPr>
                <w:sz w:val="16"/>
                <w:szCs w:val="16"/>
              </w:rPr>
              <w:t xml:space="preserve"> E1-6 übermittelten Treibhausgasemissionen ab, so gibt das Unternehmen die abgedeckten Gase, den jeweiligen Prozentsatz der unter die Zielvorgabe fallenden Treibhausgasemissionen der Kategorien </w:t>
            </w:r>
            <w:proofErr w:type="spellStart"/>
            <w:r w:rsidRPr="003A3E64">
              <w:rPr>
                <w:sz w:val="16"/>
                <w:szCs w:val="16"/>
              </w:rPr>
              <w:t>Scope</w:t>
            </w:r>
            <w:proofErr w:type="spellEnd"/>
            <w:r w:rsidRPr="003A3E64">
              <w:rPr>
                <w:sz w:val="16"/>
                <w:szCs w:val="16"/>
              </w:rPr>
              <w:t xml:space="preserve"> 1, 2 und 3 sowie der Gesamtemissionen an. Für die THG-Emissionsreduktionsziele seiner Tochterunternehmen wendet das Unternehmen diese Anforderungen dementsprechend auf der Ebene des Tochterunternehmens an.</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494040" w:rsidRPr="00C31157" w:rsidRDefault="00494040" w:rsidP="003D25EC">
            <w:pPr>
              <w:spacing w:before="0"/>
              <w:contextualSpacing/>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r>
      <w:tr w:rsidR="003A3E64" w:rsidRPr="00C31157" w:rsidTr="00FF116A">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3E64" w:rsidRPr="00E22C75" w:rsidRDefault="003A3E64" w:rsidP="003D25EC">
            <w:pPr>
              <w:spacing w:before="0"/>
              <w:contextualSpacing/>
              <w:jc w:val="center"/>
              <w:rPr>
                <w:sz w:val="16"/>
                <w:szCs w:val="16"/>
              </w:rPr>
            </w:pPr>
            <w:r>
              <w:rPr>
                <w:sz w:val="16"/>
                <w:szCs w:val="16"/>
              </w:rPr>
              <w:t>A 25</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rsidR="00E25427" w:rsidRPr="003A3E64" w:rsidRDefault="003A3E64" w:rsidP="003D25EC">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3A3E64">
              <w:rPr>
                <w:rFonts w:ascii="Century Gothic" w:hAnsi="Century Gothic"/>
                <w:sz w:val="16"/>
                <w:szCs w:val="16"/>
              </w:rPr>
              <w:t>Bei der Angabe der nach Absatz 34 Buchstabe c erforderlichen Informationen zum Basisjahr und zum Bezugswert</w:t>
            </w:r>
          </w:p>
          <w:p w:rsidR="003A3E64" w:rsidRPr="003A3E64" w:rsidRDefault="003A3E64" w:rsidP="00FF116A">
            <w:pPr>
              <w:pStyle w:val="Default"/>
              <w:numPr>
                <w:ilvl w:val="0"/>
                <w:numId w:val="27"/>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3A3E64">
              <w:rPr>
                <w:rFonts w:ascii="Century Gothic" w:hAnsi="Century Gothic"/>
                <w:sz w:val="16"/>
                <w:szCs w:val="16"/>
              </w:rPr>
              <w:t>erläutert das Unternehmen kurz, wie es sichergestellt hat, dass der Bezugswert, anhand dessen der Fortschritt im Hinblick auf die Zielvorgabe gemessen wird, für die abgedeckten Tätigkeiten und die Einflüsse externer Faktoren (z. B. Temperaturanomalien in einem bestimmten Jahr, die den Energieverbrauch und die damit verbundenen Treibhausgasemissionen beeinflussen) repräsentativ ist. Dies kann durch die Normalisierung des Bezugswerts erfolgen, oder indem ein Bezugswert verwendet wird, der aus einem Dreijahresdurchschnitt abgeleitet wird, wenn dies die Repräsentativität erhöht und eine genauere Darstellung ermöglicht,</w:t>
            </w:r>
          </w:p>
          <w:p w:rsidR="003A3E64" w:rsidRPr="003A3E64" w:rsidRDefault="003A3E64" w:rsidP="00FF116A">
            <w:pPr>
              <w:pStyle w:val="Default"/>
              <w:numPr>
                <w:ilvl w:val="0"/>
                <w:numId w:val="27"/>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3A3E64">
              <w:rPr>
                <w:rFonts w:ascii="Century Gothic" w:hAnsi="Century Gothic"/>
                <w:sz w:val="16"/>
                <w:szCs w:val="16"/>
              </w:rPr>
              <w:t xml:space="preserve">dürfen der Bezugswert und das Basisjahr nicht geändert werden, es sei denn, es kommt zu wesentlichen Änderungen der Ziel- oder der Berichtsgrenze. In diesem Fall erläutert das Unternehmen, wie sich der neue Bezugswert auf das neue Ziel, dessen Erreichung und die Darstellung der Fortschritte im Laufe der Zeit auswirkt. Zur Förderung der Vergleichbarkeit wählt das Unternehmen bei der Festlegung neuer </w:t>
            </w:r>
            <w:r w:rsidRPr="003A3E64">
              <w:rPr>
                <w:rFonts w:ascii="Century Gothic" w:hAnsi="Century Gothic"/>
                <w:b/>
                <w:bCs/>
                <w:sz w:val="16"/>
                <w:szCs w:val="16"/>
              </w:rPr>
              <w:t xml:space="preserve">Ziele </w:t>
            </w:r>
            <w:r w:rsidRPr="003A3E64">
              <w:rPr>
                <w:rFonts w:ascii="Century Gothic" w:hAnsi="Century Gothic"/>
                <w:sz w:val="16"/>
                <w:szCs w:val="16"/>
              </w:rPr>
              <w:t>ein aktuelles Basisjahr aus, das nicht länger als drei Jahre vor dem ersten Berichtsjahr des neuen Zielzeitraums liegt. So wird beispielsweise für 2030 als Zieljahr und einen Zielzeitraum zwischen 2025 und 2030 ein Basisjahr aus dem Zeitraum 2022–2025 ausgewählt,</w:t>
            </w:r>
          </w:p>
          <w:p w:rsidR="003A3E64" w:rsidRPr="003A3E64" w:rsidRDefault="003A3E64" w:rsidP="00FF116A">
            <w:pPr>
              <w:pStyle w:val="Default"/>
              <w:numPr>
                <w:ilvl w:val="0"/>
                <w:numId w:val="27"/>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3A3E64">
              <w:rPr>
                <w:rFonts w:ascii="Century Gothic" w:hAnsi="Century Gothic"/>
                <w:sz w:val="16"/>
                <w:szCs w:val="16"/>
              </w:rPr>
              <w:t>aktualisiert das Unternehmen sein Basisjahr ab 2030 und danach alle fünf Jahre. Das bedeutet, dass vor 2030 die von den Unternehmen gewählten Basisjahre entweder das derzeit geltende Basisjahr für bestehende Ziele oder das erste Jahr der Anwendung der Nachhaltigkeitsberichterstattung gemäß Artikel 5 Absatz 2 der Richtlinie (EU) 2022/2464 (2024, 2025 oder 2026) und nach 2030 alle fünf Jahre (2030, 2035 usw.) sein können, und</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3A3E64" w:rsidRPr="00C31157" w:rsidRDefault="003A3E64" w:rsidP="003D25EC">
            <w:pPr>
              <w:spacing w:before="0"/>
              <w:contextualSpacing/>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r>
      <w:tr w:rsidR="00273964" w:rsidRPr="00122B7B" w:rsidTr="003D25EC">
        <w:trPr>
          <w:trHeight w:val="460"/>
        </w:trPr>
        <w:tc>
          <w:tcPr>
            <w:cnfStyle w:val="001000000000" w:firstRow="0" w:lastRow="0" w:firstColumn="1" w:lastColumn="0" w:oddVBand="0" w:evenVBand="0" w:oddHBand="0" w:evenHBand="0" w:firstRowFirstColumn="0" w:firstRowLastColumn="0" w:lastRowFirstColumn="0" w:lastRowLastColumn="0"/>
            <w:tcW w:w="9077" w:type="dxa"/>
            <w:gridSpan w:val="3"/>
            <w:shd w:val="clear" w:color="auto" w:fill="D9D9D9" w:themeFill="background1" w:themeFillShade="D9"/>
            <w:vAlign w:val="center"/>
          </w:tcPr>
          <w:p w:rsidR="00273964" w:rsidRPr="00122B7B" w:rsidRDefault="00273964" w:rsidP="00FF116A">
            <w:pPr>
              <w:spacing w:before="0"/>
              <w:contextualSpacing/>
              <w:jc w:val="left"/>
              <w:rPr>
                <w:color w:val="000000" w:themeColor="text1"/>
                <w:sz w:val="20"/>
                <w:szCs w:val="20"/>
              </w:rPr>
            </w:pPr>
            <w:r w:rsidRPr="00122B7B">
              <w:rPr>
                <w:color w:val="000000" w:themeColor="text1"/>
                <w:sz w:val="20"/>
                <w:szCs w:val="20"/>
              </w:rPr>
              <w:lastRenderedPageBreak/>
              <w:t xml:space="preserve">Teil </w:t>
            </w:r>
            <w:r>
              <w:rPr>
                <w:color w:val="000000" w:themeColor="text1"/>
                <w:sz w:val="20"/>
                <w:szCs w:val="20"/>
              </w:rPr>
              <w:t>2</w:t>
            </w:r>
            <w:r w:rsidRPr="00122B7B">
              <w:rPr>
                <w:color w:val="000000" w:themeColor="text1"/>
                <w:sz w:val="20"/>
                <w:szCs w:val="20"/>
              </w:rPr>
              <w:t>:</w:t>
            </w:r>
            <w:r>
              <w:rPr>
                <w:color w:val="000000" w:themeColor="text1"/>
                <w:sz w:val="20"/>
                <w:szCs w:val="20"/>
              </w:rPr>
              <w:t xml:space="preserve">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r w:rsidR="00F01992">
              <w:rPr>
                <w:color w:val="000000" w:themeColor="text1"/>
                <w:sz w:val="20"/>
                <w:szCs w:val="20"/>
              </w:rPr>
              <w:t>;</w:t>
            </w:r>
            <w:r>
              <w:rPr>
                <w:color w:val="000000" w:themeColor="text1"/>
                <w:sz w:val="20"/>
                <w:szCs w:val="20"/>
              </w:rPr>
              <w:t xml:space="preserve"> Forts.</w:t>
            </w:r>
          </w:p>
        </w:tc>
      </w:tr>
      <w:tr w:rsidR="00273964" w:rsidRPr="00FF116A" w:rsidTr="00BA7FFA">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9077" w:type="dxa"/>
            <w:gridSpan w:val="3"/>
            <w:tcBorders>
              <w:top w:val="nil"/>
              <w:left w:val="nil"/>
              <w:bottom w:val="single" w:sz="4" w:space="0" w:color="auto"/>
              <w:right w:val="nil"/>
            </w:tcBorders>
            <w:shd w:val="clear" w:color="auto" w:fill="auto"/>
          </w:tcPr>
          <w:p w:rsidR="00273964" w:rsidRPr="00FF116A" w:rsidRDefault="00273964" w:rsidP="00FF116A">
            <w:pPr>
              <w:spacing w:before="0"/>
              <w:contextualSpacing/>
              <w:rPr>
                <w:color w:val="000000" w:themeColor="text1"/>
                <w:sz w:val="2"/>
                <w:szCs w:val="2"/>
              </w:rPr>
            </w:pPr>
          </w:p>
        </w:tc>
      </w:tr>
      <w:tr w:rsidR="00273964" w:rsidRPr="00E524C4" w:rsidTr="00BA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trHeight w:val="690"/>
          <w:tblHeader/>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228B22"/>
            <w:vAlign w:val="center"/>
          </w:tcPr>
          <w:p w:rsidR="00273964" w:rsidRPr="00E524C4" w:rsidRDefault="00273964" w:rsidP="00FF116A">
            <w:pPr>
              <w:spacing w:before="0"/>
              <w:contextualSpacing/>
              <w:jc w:val="center"/>
              <w:rPr>
                <w:color w:val="FFFFFF" w:themeColor="background1"/>
                <w:sz w:val="20"/>
                <w:szCs w:val="20"/>
              </w:rPr>
            </w:pPr>
            <w:r w:rsidRPr="00E524C4">
              <w:rPr>
                <w:color w:val="FFFFFF" w:themeColor="background1"/>
                <w:sz w:val="20"/>
                <w:szCs w:val="20"/>
              </w:rPr>
              <w:t>Quelle ESRS E1</w:t>
            </w:r>
          </w:p>
        </w:tc>
        <w:tc>
          <w:tcPr>
            <w:tcW w:w="6240" w:type="dxa"/>
            <w:tcBorders>
              <w:top w:val="single" w:sz="4" w:space="0" w:color="auto"/>
              <w:left w:val="single" w:sz="4" w:space="0" w:color="auto"/>
              <w:bottom w:val="single" w:sz="4" w:space="0" w:color="auto"/>
              <w:right w:val="single" w:sz="4" w:space="0" w:color="auto"/>
            </w:tcBorders>
            <w:shd w:val="clear" w:color="auto" w:fill="228B22"/>
            <w:vAlign w:val="center"/>
          </w:tcPr>
          <w:p w:rsidR="00273964" w:rsidRPr="00E524C4" w:rsidRDefault="00273964" w:rsidP="00FF116A">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E524C4">
              <w:rPr>
                <w:b/>
                <w:color w:val="FFFFFF" w:themeColor="background1"/>
                <w:sz w:val="20"/>
                <w:szCs w:val="20"/>
              </w:rPr>
              <w:t>Parameter und Ziele</w:t>
            </w:r>
          </w:p>
        </w:tc>
        <w:tc>
          <w:tcPr>
            <w:tcW w:w="1848" w:type="dxa"/>
            <w:tcBorders>
              <w:top w:val="single" w:sz="4" w:space="0" w:color="auto"/>
              <w:left w:val="single" w:sz="4" w:space="0" w:color="auto"/>
              <w:bottom w:val="single" w:sz="4" w:space="0" w:color="auto"/>
              <w:right w:val="single" w:sz="4" w:space="0" w:color="auto"/>
            </w:tcBorders>
            <w:shd w:val="clear" w:color="auto" w:fill="228B22"/>
            <w:vAlign w:val="center"/>
          </w:tcPr>
          <w:p w:rsidR="00273964" w:rsidRPr="00E524C4" w:rsidRDefault="00273964" w:rsidP="00FF116A">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E524C4">
              <w:rPr>
                <w:b/>
                <w:color w:val="FFFFFF" w:themeColor="background1"/>
                <w:sz w:val="16"/>
                <w:szCs w:val="16"/>
              </w:rPr>
              <w:t>Bemerkungen, ggf. Verweis auf Datenpunkte</w:t>
            </w:r>
          </w:p>
        </w:tc>
      </w:tr>
      <w:tr w:rsidR="009C0BF0" w:rsidRPr="00C31157" w:rsidTr="00BA7FFA">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0BF0" w:rsidRDefault="00FF116A" w:rsidP="00FF116A">
            <w:pPr>
              <w:spacing w:before="0"/>
              <w:contextualSpacing/>
              <w:jc w:val="center"/>
              <w:rPr>
                <w:sz w:val="16"/>
                <w:szCs w:val="16"/>
              </w:rPr>
            </w:pPr>
            <w:r>
              <w:rPr>
                <w:sz w:val="16"/>
                <w:szCs w:val="16"/>
              </w:rPr>
              <w:t>A 25</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rsidR="009C0BF0" w:rsidRPr="004C3CBF" w:rsidRDefault="004C3CBF" w:rsidP="00FF116A">
            <w:pPr>
              <w:pStyle w:val="Default"/>
              <w:numPr>
                <w:ilvl w:val="0"/>
                <w:numId w:val="27"/>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4C3CBF">
              <w:rPr>
                <w:rFonts w:ascii="Century Gothic" w:hAnsi="Century Gothic"/>
                <w:sz w:val="16"/>
                <w:szCs w:val="16"/>
              </w:rPr>
              <w:t>kann das Unternehmen bei der Vorlage klimabezogener Ziele die Fortschritte bei der Erreichung dieser Ziele vor seinem aktuellen Basisjahr angeben. Dabei sorgt das Unternehmen so weit wie möglich dafür, dass die Informationen über frühere Fortschritte den Anforderungen dieses Standards entsprechen. Bei methodischen Unterschieden, beispielsweise in Bezug auf die Zielgrenzen, erläutert das Unternehmen diese Unterschiede kurz.</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9C0BF0" w:rsidRPr="00C31157" w:rsidRDefault="009C0BF0" w:rsidP="00FF116A">
            <w:pPr>
              <w:spacing w:before="0"/>
              <w:contextualSpacing/>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r>
      <w:tr w:rsidR="003A3E64" w:rsidRPr="00C31157" w:rsidTr="00BA7FFA">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3E64" w:rsidRPr="00E22C75" w:rsidRDefault="003A3E64" w:rsidP="00FF116A">
            <w:pPr>
              <w:spacing w:before="0"/>
              <w:contextualSpacing/>
              <w:jc w:val="center"/>
              <w:rPr>
                <w:sz w:val="16"/>
                <w:szCs w:val="16"/>
              </w:rPr>
            </w:pPr>
            <w:r>
              <w:rPr>
                <w:sz w:val="16"/>
                <w:szCs w:val="16"/>
              </w:rPr>
              <w:t>A 26</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rsidR="003A3E64" w:rsidRPr="003A3E64" w:rsidRDefault="003A3E64" w:rsidP="00FF116A">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3A3E64">
              <w:rPr>
                <w:rFonts w:ascii="Century Gothic" w:hAnsi="Century Gothic"/>
                <w:sz w:val="16"/>
                <w:szCs w:val="16"/>
              </w:rPr>
              <w:t xml:space="preserve">Bei der Angabe der nach Absatz 34 Buchstaben d und e erforderlichen Informationen legt das Unternehmen die Informationen für den Zielzeitraum unter Bezugnahme auf einen sektorspezifischen, sofern verfügbar, oder einen sektorübergreifenden Emissionspfad im Einklang mit der Begrenzung der Erderwärmung auf 1,5 °C vor. Zu diesem Zweck berechnet das Unternehmen einen an das 1,5-Grad-Ziel angepassten Referenzwert für die Kategorien der Treibhausgasemissionen </w:t>
            </w:r>
            <w:proofErr w:type="spellStart"/>
            <w:r w:rsidRPr="003A3E64">
              <w:rPr>
                <w:rFonts w:ascii="Century Gothic" w:hAnsi="Century Gothic"/>
                <w:sz w:val="16"/>
                <w:szCs w:val="16"/>
              </w:rPr>
              <w:t>Scope</w:t>
            </w:r>
            <w:proofErr w:type="spellEnd"/>
            <w:r w:rsidRPr="003A3E64">
              <w:rPr>
                <w:rFonts w:ascii="Century Gothic" w:hAnsi="Century Gothic"/>
                <w:sz w:val="16"/>
                <w:szCs w:val="16"/>
              </w:rPr>
              <w:t xml:space="preserve"> 1 und </w:t>
            </w:r>
            <w:proofErr w:type="spellStart"/>
            <w:r w:rsidRPr="003A3E64">
              <w:rPr>
                <w:rFonts w:ascii="Century Gothic" w:hAnsi="Century Gothic"/>
                <w:sz w:val="16"/>
                <w:szCs w:val="16"/>
              </w:rPr>
              <w:t>Scope</w:t>
            </w:r>
            <w:proofErr w:type="spellEnd"/>
            <w:r w:rsidRPr="003A3E64">
              <w:rPr>
                <w:rFonts w:ascii="Century Gothic" w:hAnsi="Century Gothic"/>
                <w:sz w:val="16"/>
                <w:szCs w:val="16"/>
              </w:rPr>
              <w:t xml:space="preserve"> 2 (und gegebenenfalls einen separaten für </w:t>
            </w:r>
            <w:proofErr w:type="spellStart"/>
            <w:r w:rsidRPr="003A3E64">
              <w:rPr>
                <w:rFonts w:ascii="Century Gothic" w:hAnsi="Century Gothic"/>
                <w:sz w:val="16"/>
                <w:szCs w:val="16"/>
              </w:rPr>
              <w:t>Scope</w:t>
            </w:r>
            <w:proofErr w:type="spellEnd"/>
            <w:r w:rsidRPr="003A3E64">
              <w:rPr>
                <w:rFonts w:ascii="Century Gothic" w:hAnsi="Century Gothic"/>
                <w:sz w:val="16"/>
                <w:szCs w:val="16"/>
              </w:rPr>
              <w:t xml:space="preserve"> 3), mit dem seine eigenen </w:t>
            </w:r>
            <w:r w:rsidRPr="003A3E64">
              <w:rPr>
                <w:rFonts w:ascii="Century Gothic" w:hAnsi="Century Gothic"/>
                <w:b/>
                <w:bCs/>
                <w:sz w:val="16"/>
                <w:szCs w:val="16"/>
              </w:rPr>
              <w:t xml:space="preserve">THG-Emissionsreduktionsziele </w:t>
            </w:r>
            <w:r w:rsidRPr="003A3E64">
              <w:rPr>
                <w:rFonts w:ascii="Century Gothic" w:hAnsi="Century Gothic"/>
                <w:sz w:val="16"/>
                <w:szCs w:val="16"/>
              </w:rPr>
              <w:t>oder Zwischenziele innerhalb der jeweiligen Kategorien verglichen werden können.</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3A3E64" w:rsidRPr="00C31157" w:rsidRDefault="003A3E64" w:rsidP="00FF116A">
            <w:pPr>
              <w:spacing w:before="0"/>
              <w:contextualSpacing/>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r>
      <w:tr w:rsidR="003A3E64" w:rsidRPr="00C31157" w:rsidTr="00FF116A">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3E64" w:rsidRPr="00E22C75" w:rsidRDefault="003A3E64" w:rsidP="00FF116A">
            <w:pPr>
              <w:spacing w:before="0"/>
              <w:contextualSpacing/>
              <w:jc w:val="center"/>
              <w:rPr>
                <w:sz w:val="16"/>
                <w:szCs w:val="16"/>
              </w:rPr>
            </w:pPr>
            <w:r>
              <w:rPr>
                <w:sz w:val="16"/>
                <w:szCs w:val="16"/>
              </w:rPr>
              <w:t>A 27</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rsidR="003A3E64" w:rsidRPr="003A3E64" w:rsidRDefault="003A3E64" w:rsidP="00FF116A">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6"/>
                <w:szCs w:val="16"/>
              </w:rPr>
            </w:pPr>
            <w:r w:rsidRPr="003A3E64">
              <w:rPr>
                <w:rFonts w:ascii="Century Gothic" w:hAnsi="Century Gothic"/>
                <w:sz w:val="16"/>
                <w:szCs w:val="16"/>
              </w:rPr>
              <w:t xml:space="preserve">Der Referenzzielwert kann berechnet werden, indem die Treibhausgasemissionen im Basisjahr entweder mit einem sektorspezifischen (sektorale </w:t>
            </w:r>
            <w:proofErr w:type="spellStart"/>
            <w:r w:rsidRPr="003A3E64">
              <w:rPr>
                <w:rFonts w:ascii="Century Gothic" w:hAnsi="Century Gothic"/>
                <w:sz w:val="16"/>
                <w:szCs w:val="16"/>
              </w:rPr>
              <w:t>Dekarbonisierungsmethode</w:t>
            </w:r>
            <w:proofErr w:type="spellEnd"/>
            <w:r w:rsidRPr="003A3E64">
              <w:rPr>
                <w:rFonts w:ascii="Century Gothic" w:hAnsi="Century Gothic"/>
                <w:sz w:val="16"/>
                <w:szCs w:val="16"/>
              </w:rPr>
              <w:t xml:space="preserve">) oder sektorübergreifenden (Methode der absoluten Emissionsminderung (absolute </w:t>
            </w:r>
            <w:proofErr w:type="spellStart"/>
            <w:r w:rsidRPr="003A3E64">
              <w:rPr>
                <w:rFonts w:ascii="Century Gothic" w:hAnsi="Century Gothic"/>
                <w:sz w:val="16"/>
                <w:szCs w:val="16"/>
              </w:rPr>
              <w:t>contraction</w:t>
            </w:r>
            <w:proofErr w:type="spellEnd"/>
            <w:r w:rsidRPr="003A3E64">
              <w:rPr>
                <w:rFonts w:ascii="Century Gothic" w:hAnsi="Century Gothic"/>
                <w:sz w:val="16"/>
                <w:szCs w:val="16"/>
              </w:rPr>
              <w:t xml:space="preserve"> </w:t>
            </w:r>
            <w:proofErr w:type="spellStart"/>
            <w:r w:rsidRPr="003A3E64">
              <w:rPr>
                <w:rFonts w:ascii="Century Gothic" w:hAnsi="Century Gothic"/>
                <w:sz w:val="16"/>
                <w:szCs w:val="16"/>
              </w:rPr>
              <w:t>methodology</w:t>
            </w:r>
            <w:proofErr w:type="spellEnd"/>
            <w:r w:rsidRPr="003A3E64">
              <w:rPr>
                <w:rFonts w:ascii="Century Gothic" w:hAnsi="Century Gothic"/>
                <w:sz w:val="16"/>
                <w:szCs w:val="16"/>
              </w:rPr>
              <w:t>)) Emissionsreduktionsfaktor multipliziert werden. Diese Emissionsreduktionsfaktoren können aus verschiedenen Quellen abgeleitet werden. Das Unternehmen sollte sicherstellen, dass die verwendete Quelle auf einem Emissionsreduktionspfad beruht, der mit der Begrenzung der Erderwärmung auf 1,5 °C vereinbar ist.</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3A3E64" w:rsidRPr="00C31157" w:rsidRDefault="003A3E64" w:rsidP="00FF116A">
            <w:pPr>
              <w:spacing w:before="0"/>
              <w:contextualSpacing/>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r>
      <w:tr w:rsidR="003A3E64" w:rsidRPr="00C31157" w:rsidTr="00FF116A">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3E64" w:rsidRPr="00E22C75" w:rsidRDefault="003A3E64" w:rsidP="00FF116A">
            <w:pPr>
              <w:spacing w:before="0"/>
              <w:contextualSpacing/>
              <w:jc w:val="center"/>
              <w:rPr>
                <w:sz w:val="16"/>
                <w:szCs w:val="16"/>
              </w:rPr>
            </w:pPr>
            <w:r>
              <w:rPr>
                <w:sz w:val="16"/>
                <w:szCs w:val="16"/>
              </w:rPr>
              <w:t>A 28</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rsidR="003A3E64" w:rsidRDefault="003A3E64" w:rsidP="00FF116A">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3A3E64">
              <w:rPr>
                <w:rFonts w:ascii="Century Gothic" w:hAnsi="Century Gothic"/>
                <w:sz w:val="16"/>
                <w:szCs w:val="16"/>
              </w:rPr>
              <w:t>Die Emissionsreduktionsfaktoren werden laufend weiterentwickelt. Den Unternehmen wird daher nahegelegt, nur aktualisierte öffentlich zugängliche Informationen zu verwenden.</w:t>
            </w:r>
          </w:p>
          <w:p w:rsidR="00A80F95" w:rsidRPr="003A3E64" w:rsidRDefault="006B4A4A" w:rsidP="00FF116A">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6"/>
                <w:szCs w:val="16"/>
              </w:rPr>
            </w:pPr>
            <w:r>
              <w:rPr>
                <w:rFonts w:ascii="Century Gothic" w:hAnsi="Century Gothic"/>
                <w:noProof/>
                <w:color w:val="000000" w:themeColor="text1"/>
                <w:sz w:val="16"/>
                <w:szCs w:val="16"/>
              </w:rPr>
              <w:drawing>
                <wp:inline distT="0" distB="0" distL="0" distR="0" wp14:anchorId="3D8DC7D5" wp14:editId="033816D1">
                  <wp:extent cx="3826510" cy="72453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6510" cy="724535"/>
                          </a:xfrm>
                          <a:prstGeom prst="rect">
                            <a:avLst/>
                          </a:prstGeom>
                          <a:noFill/>
                          <a:ln>
                            <a:noFill/>
                          </a:ln>
                        </pic:spPr>
                      </pic:pic>
                    </a:graphicData>
                  </a:graphic>
                </wp:inline>
              </w:drawing>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3A3E64" w:rsidRPr="00C31157" w:rsidRDefault="003A3E64" w:rsidP="00FF116A">
            <w:pPr>
              <w:spacing w:before="0"/>
              <w:contextualSpacing/>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r>
      <w:tr w:rsidR="00864BB0" w:rsidRPr="00C31157" w:rsidTr="00FF116A">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4BB0" w:rsidRDefault="00864BB0" w:rsidP="00FF116A">
            <w:pPr>
              <w:spacing w:before="0"/>
              <w:contextualSpacing/>
              <w:jc w:val="center"/>
              <w:rPr>
                <w:sz w:val="16"/>
                <w:szCs w:val="16"/>
              </w:rPr>
            </w:pPr>
            <w:r>
              <w:rPr>
                <w:sz w:val="16"/>
                <w:szCs w:val="16"/>
              </w:rPr>
              <w:t>A 29</w:t>
            </w: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rsidR="00864BB0" w:rsidRPr="00AD1C9A" w:rsidRDefault="00864BB0" w:rsidP="00FF116A">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AD1C9A">
              <w:rPr>
                <w:rFonts w:ascii="Century Gothic" w:hAnsi="Century Gothic"/>
                <w:sz w:val="16"/>
                <w:szCs w:val="16"/>
              </w:rPr>
              <w:t xml:space="preserve">Der Referenzzielwert hängt von dem Basisjahr und den Ausgangswerten des </w:t>
            </w:r>
            <w:r w:rsidRPr="00AD1C9A">
              <w:rPr>
                <w:rFonts w:ascii="Century Gothic" w:hAnsi="Century Gothic"/>
                <w:b/>
                <w:bCs/>
                <w:sz w:val="16"/>
                <w:szCs w:val="16"/>
              </w:rPr>
              <w:t xml:space="preserve">Emissionsreduktionsziels </w:t>
            </w:r>
            <w:r w:rsidRPr="00AD1C9A">
              <w:rPr>
                <w:rFonts w:ascii="Century Gothic" w:hAnsi="Century Gothic"/>
                <w:sz w:val="16"/>
                <w:szCs w:val="16"/>
              </w:rPr>
              <w:t xml:space="preserve">des Unternehmens ab. Infolgedessen kann der Referenzzielwert für Unternehmen mit einem aktuellen Basisjahr oder höheren Basisemissionen leichter erreichbar sein als für Unternehmen, die in der Vergangenheit bereits ehrgeizige </w:t>
            </w:r>
            <w:r w:rsidRPr="00AD1C9A">
              <w:rPr>
                <w:rFonts w:ascii="Century Gothic" w:hAnsi="Century Gothic"/>
                <w:b/>
                <w:bCs/>
                <w:sz w:val="16"/>
                <w:szCs w:val="16"/>
              </w:rPr>
              <w:t xml:space="preserve">Maßnahmen </w:t>
            </w:r>
            <w:r w:rsidRPr="00AD1C9A">
              <w:rPr>
                <w:rFonts w:ascii="Century Gothic" w:hAnsi="Century Gothic"/>
                <w:sz w:val="16"/>
                <w:szCs w:val="16"/>
              </w:rPr>
              <w:t>zur Reduktion der Treibhausgasemissionen ergriffen haben. Daher können Unternehmen, die in der Vergangenheit Emissionsreduktionen im Einklang mit einem an das 1,5-Grad-Ziel angepassten sektorübergreifenden oder sektorspezifischen Pfad erzielt haben, ihre Basisemissionen entsprechend anpassen, um den Referenzzielwert zu bestimmen. Wenn das Unternehmen dementsprechend die Basisemissionen anpasst, um den Referenzzielwert festzulegen, berücksichtigt es keine Emissionsreduktionen vor dem Jahr 2020 und legt geeignete Nachweise für die in der Vergangenheit erzielte Reduktion der Treibhausgasemissionen vor.</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864BB0" w:rsidRPr="00C31157" w:rsidRDefault="00864BB0" w:rsidP="00FF116A">
            <w:pPr>
              <w:spacing w:before="0"/>
              <w:contextualSpacing/>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r>
    </w:tbl>
    <w:p w:rsidR="00273964" w:rsidRDefault="00273964">
      <w:r>
        <w:rPr>
          <w:b/>
          <w:bCs/>
        </w:rPr>
        <w:br w:type="page"/>
      </w:r>
    </w:p>
    <w:tbl>
      <w:tblPr>
        <w:tblStyle w:val="Gitternetztabelle4Akzent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979"/>
        <w:gridCol w:w="10"/>
        <w:gridCol w:w="6230"/>
        <w:gridCol w:w="10"/>
        <w:gridCol w:w="1843"/>
      </w:tblGrid>
      <w:tr w:rsidR="00273964" w:rsidRPr="00122B7B" w:rsidTr="00BA7FFA">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5"/>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273964" w:rsidRPr="00122B7B" w:rsidRDefault="00273964" w:rsidP="00C96727">
            <w:pPr>
              <w:spacing w:before="0"/>
              <w:contextualSpacing/>
              <w:jc w:val="left"/>
              <w:rPr>
                <w:color w:val="000000" w:themeColor="text1"/>
                <w:sz w:val="20"/>
                <w:szCs w:val="20"/>
              </w:rPr>
            </w:pPr>
            <w:r w:rsidRPr="00122B7B">
              <w:rPr>
                <w:color w:val="000000" w:themeColor="text1"/>
                <w:sz w:val="20"/>
                <w:szCs w:val="20"/>
              </w:rPr>
              <w:lastRenderedPageBreak/>
              <w:t xml:space="preserve">Teil </w:t>
            </w:r>
            <w:r>
              <w:rPr>
                <w:color w:val="000000" w:themeColor="text1"/>
                <w:sz w:val="20"/>
                <w:szCs w:val="20"/>
              </w:rPr>
              <w:t>2</w:t>
            </w:r>
            <w:r w:rsidRPr="00122B7B">
              <w:rPr>
                <w:color w:val="000000" w:themeColor="text1"/>
                <w:sz w:val="20"/>
                <w:szCs w:val="20"/>
              </w:rPr>
              <w:t>:</w:t>
            </w:r>
            <w:r>
              <w:rPr>
                <w:color w:val="000000" w:themeColor="text1"/>
                <w:sz w:val="20"/>
                <w:szCs w:val="20"/>
              </w:rPr>
              <w:t xml:space="preserve">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r w:rsidR="00F01992">
              <w:rPr>
                <w:color w:val="000000" w:themeColor="text1"/>
                <w:sz w:val="20"/>
                <w:szCs w:val="20"/>
              </w:rPr>
              <w:t>;</w:t>
            </w:r>
            <w:r>
              <w:rPr>
                <w:color w:val="000000" w:themeColor="text1"/>
                <w:sz w:val="20"/>
                <w:szCs w:val="20"/>
              </w:rPr>
              <w:t xml:space="preserve"> Forts.</w:t>
            </w:r>
          </w:p>
        </w:tc>
      </w:tr>
      <w:tr w:rsidR="00273964" w:rsidRPr="00C96727" w:rsidTr="00BA7FFA">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9" w:type="dxa"/>
            <w:tcBorders>
              <w:top w:val="nil"/>
              <w:left w:val="nil"/>
              <w:bottom w:val="single" w:sz="4" w:space="0" w:color="auto"/>
              <w:right w:val="nil"/>
            </w:tcBorders>
            <w:shd w:val="clear" w:color="auto" w:fill="auto"/>
          </w:tcPr>
          <w:p w:rsidR="00273964" w:rsidRPr="00C96727" w:rsidRDefault="00273964" w:rsidP="00C96727">
            <w:pPr>
              <w:spacing w:before="0"/>
              <w:contextualSpacing/>
              <w:rPr>
                <w:color w:val="000000" w:themeColor="text1"/>
                <w:sz w:val="2"/>
                <w:szCs w:val="2"/>
              </w:rPr>
            </w:pPr>
          </w:p>
        </w:tc>
        <w:tc>
          <w:tcPr>
            <w:tcW w:w="6240" w:type="dxa"/>
            <w:gridSpan w:val="2"/>
            <w:tcBorders>
              <w:top w:val="nil"/>
              <w:left w:val="nil"/>
              <w:bottom w:val="single" w:sz="4" w:space="0" w:color="auto"/>
              <w:right w:val="nil"/>
            </w:tcBorders>
            <w:shd w:val="clear" w:color="auto" w:fill="auto"/>
            <w:vAlign w:val="center"/>
          </w:tcPr>
          <w:p w:rsidR="00273964" w:rsidRPr="00C96727" w:rsidRDefault="00273964" w:rsidP="00C96727">
            <w:pPr>
              <w:spacing w:before="0"/>
              <w:contextualSpacing/>
              <w:cnfStyle w:val="000000100000" w:firstRow="0" w:lastRow="0" w:firstColumn="0" w:lastColumn="0" w:oddVBand="0" w:evenVBand="0" w:oddHBand="1" w:evenHBand="0" w:firstRowFirstColumn="0" w:firstRowLastColumn="0" w:lastRowFirstColumn="0" w:lastRowLastColumn="0"/>
              <w:rPr>
                <w:color w:val="000000" w:themeColor="text1"/>
                <w:sz w:val="2"/>
                <w:szCs w:val="2"/>
              </w:rPr>
            </w:pPr>
          </w:p>
        </w:tc>
        <w:tc>
          <w:tcPr>
            <w:tcW w:w="1853" w:type="dxa"/>
            <w:gridSpan w:val="2"/>
            <w:tcBorders>
              <w:top w:val="nil"/>
              <w:left w:val="nil"/>
              <w:bottom w:val="single" w:sz="4" w:space="0" w:color="auto"/>
              <w:right w:val="nil"/>
            </w:tcBorders>
            <w:shd w:val="clear" w:color="auto" w:fill="auto"/>
            <w:vAlign w:val="center"/>
          </w:tcPr>
          <w:p w:rsidR="00273964" w:rsidRPr="00C96727" w:rsidRDefault="00273964" w:rsidP="00C96727">
            <w:pPr>
              <w:spacing w:before="0"/>
              <w:contextualSpacing/>
              <w:cnfStyle w:val="000000100000" w:firstRow="0" w:lastRow="0" w:firstColumn="0" w:lastColumn="0" w:oddVBand="0" w:evenVBand="0" w:oddHBand="1" w:evenHBand="0" w:firstRowFirstColumn="0" w:firstRowLastColumn="0" w:lastRowFirstColumn="0" w:lastRowLastColumn="0"/>
              <w:rPr>
                <w:color w:val="000000" w:themeColor="text1"/>
                <w:sz w:val="2"/>
                <w:szCs w:val="2"/>
              </w:rPr>
            </w:pPr>
          </w:p>
        </w:tc>
      </w:tr>
      <w:tr w:rsidR="00273964" w:rsidRPr="00E524C4" w:rsidTr="00BA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trHeight w:val="734"/>
          <w:tblHeader/>
        </w:trPr>
        <w:tc>
          <w:tcPr>
            <w:cnfStyle w:val="001000000000" w:firstRow="0" w:lastRow="0" w:firstColumn="1" w:lastColumn="0" w:oddVBand="0" w:evenVBand="0" w:oddHBand="0" w:evenHBand="0" w:firstRowFirstColumn="0" w:firstRowLastColumn="0" w:lastRowFirstColumn="0" w:lastRowLastColumn="0"/>
            <w:tcW w:w="979" w:type="dxa"/>
            <w:tcBorders>
              <w:top w:val="single" w:sz="4" w:space="0" w:color="auto"/>
              <w:left w:val="single" w:sz="4" w:space="0" w:color="auto"/>
              <w:bottom w:val="single" w:sz="4" w:space="0" w:color="auto"/>
              <w:right w:val="single" w:sz="4" w:space="0" w:color="auto"/>
            </w:tcBorders>
            <w:shd w:val="clear" w:color="auto" w:fill="228B22"/>
            <w:vAlign w:val="center"/>
          </w:tcPr>
          <w:p w:rsidR="00273964" w:rsidRPr="00E524C4" w:rsidRDefault="00273964" w:rsidP="00C96727">
            <w:pPr>
              <w:spacing w:before="0"/>
              <w:contextualSpacing/>
              <w:jc w:val="center"/>
              <w:rPr>
                <w:color w:val="FFFFFF" w:themeColor="background1"/>
                <w:sz w:val="20"/>
                <w:szCs w:val="20"/>
              </w:rPr>
            </w:pPr>
            <w:r w:rsidRPr="00E524C4">
              <w:rPr>
                <w:color w:val="FFFFFF" w:themeColor="background1"/>
                <w:sz w:val="20"/>
                <w:szCs w:val="20"/>
              </w:rPr>
              <w:t>Quelle ESRS E1</w:t>
            </w:r>
          </w:p>
        </w:tc>
        <w:tc>
          <w:tcPr>
            <w:tcW w:w="6240" w:type="dxa"/>
            <w:gridSpan w:val="2"/>
            <w:tcBorders>
              <w:top w:val="single" w:sz="4" w:space="0" w:color="auto"/>
              <w:left w:val="single" w:sz="4" w:space="0" w:color="auto"/>
              <w:bottom w:val="single" w:sz="4" w:space="0" w:color="auto"/>
              <w:right w:val="single" w:sz="4" w:space="0" w:color="auto"/>
            </w:tcBorders>
            <w:shd w:val="clear" w:color="auto" w:fill="228B22"/>
            <w:vAlign w:val="center"/>
          </w:tcPr>
          <w:p w:rsidR="00273964" w:rsidRPr="00E524C4" w:rsidRDefault="00273964" w:rsidP="00C96727">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E524C4">
              <w:rPr>
                <w:b/>
                <w:color w:val="FFFFFF" w:themeColor="background1"/>
                <w:sz w:val="20"/>
                <w:szCs w:val="20"/>
              </w:rPr>
              <w:t>Parameter und Ziele</w:t>
            </w:r>
          </w:p>
        </w:tc>
        <w:tc>
          <w:tcPr>
            <w:tcW w:w="1853" w:type="dxa"/>
            <w:gridSpan w:val="2"/>
            <w:tcBorders>
              <w:top w:val="single" w:sz="4" w:space="0" w:color="auto"/>
              <w:left w:val="single" w:sz="4" w:space="0" w:color="auto"/>
              <w:bottom w:val="single" w:sz="4" w:space="0" w:color="auto"/>
              <w:right w:val="single" w:sz="4" w:space="0" w:color="auto"/>
            </w:tcBorders>
            <w:shd w:val="clear" w:color="auto" w:fill="228B22"/>
            <w:vAlign w:val="center"/>
          </w:tcPr>
          <w:p w:rsidR="00273964" w:rsidRPr="00E524C4" w:rsidRDefault="00273964" w:rsidP="00C96727">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E524C4">
              <w:rPr>
                <w:b/>
                <w:color w:val="FFFFFF" w:themeColor="background1"/>
                <w:sz w:val="16"/>
                <w:szCs w:val="16"/>
              </w:rPr>
              <w:t>Bemerkungen, ggf. Verweis auf Datenpunkte</w:t>
            </w:r>
          </w:p>
        </w:tc>
      </w:tr>
      <w:tr w:rsidR="00C31157" w:rsidRPr="00C31157" w:rsidTr="00BA7FFA">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4040" w:rsidRPr="00E22C75" w:rsidRDefault="00547D5B" w:rsidP="00C96727">
            <w:pPr>
              <w:spacing w:before="0"/>
              <w:contextualSpacing/>
              <w:jc w:val="center"/>
              <w:rPr>
                <w:sz w:val="16"/>
                <w:szCs w:val="16"/>
              </w:rPr>
            </w:pPr>
            <w:r>
              <w:rPr>
                <w:sz w:val="16"/>
                <w:szCs w:val="16"/>
              </w:rPr>
              <w:t xml:space="preserve">A </w:t>
            </w:r>
            <w:r w:rsidR="00ED0BF8">
              <w:rPr>
                <w:sz w:val="16"/>
                <w:szCs w:val="16"/>
              </w:rPr>
              <w:t>30</w:t>
            </w:r>
          </w:p>
        </w:tc>
        <w:tc>
          <w:tcPr>
            <w:tcW w:w="6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BF8" w:rsidRPr="00ED0BF8" w:rsidRDefault="00ED0BF8" w:rsidP="00C96727">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D0BF8">
              <w:rPr>
                <w:rFonts w:ascii="Century Gothic" w:hAnsi="Century Gothic"/>
                <w:sz w:val="16"/>
                <w:szCs w:val="16"/>
              </w:rPr>
              <w:t>Bei der Angabe der nach Absatz 34 Buchstabe f erforderlichen Informationen erläutert das Unternehmen Folgendes:</w:t>
            </w:r>
          </w:p>
          <w:p w:rsidR="00ED0BF8" w:rsidRPr="00ED0BF8" w:rsidRDefault="00ED0BF8" w:rsidP="00C96727">
            <w:pPr>
              <w:pStyle w:val="Default"/>
              <w:numPr>
                <w:ilvl w:val="0"/>
                <w:numId w:val="29"/>
              </w:numPr>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D0BF8">
              <w:rPr>
                <w:rFonts w:ascii="Century Gothic" w:hAnsi="Century Gothic"/>
                <w:sz w:val="16"/>
                <w:szCs w:val="16"/>
              </w:rPr>
              <w:t xml:space="preserve">unter Bezugnahme auf seine </w:t>
            </w:r>
            <w:r w:rsidRPr="00ED0BF8">
              <w:rPr>
                <w:rFonts w:ascii="Century Gothic" w:hAnsi="Century Gothic"/>
                <w:b/>
                <w:bCs/>
                <w:sz w:val="16"/>
                <w:szCs w:val="16"/>
              </w:rPr>
              <w:t xml:space="preserve">Klimaschutzmaßnahmen </w:t>
            </w:r>
            <w:r w:rsidRPr="00ED0BF8">
              <w:rPr>
                <w:rFonts w:ascii="Century Gothic" w:hAnsi="Century Gothic"/>
                <w:sz w:val="16"/>
                <w:szCs w:val="16"/>
              </w:rPr>
              <w:t xml:space="preserve">die </w:t>
            </w:r>
            <w:proofErr w:type="spellStart"/>
            <w:r w:rsidRPr="00ED0BF8">
              <w:rPr>
                <w:rFonts w:ascii="Century Gothic" w:hAnsi="Century Gothic"/>
                <w:b/>
                <w:bCs/>
                <w:sz w:val="16"/>
                <w:szCs w:val="16"/>
              </w:rPr>
              <w:t>Dekarbonisierungshebel</w:t>
            </w:r>
            <w:proofErr w:type="spellEnd"/>
            <w:r w:rsidRPr="00ED0BF8">
              <w:rPr>
                <w:rFonts w:ascii="Century Gothic" w:hAnsi="Century Gothic"/>
                <w:b/>
                <w:bCs/>
                <w:sz w:val="16"/>
                <w:szCs w:val="16"/>
              </w:rPr>
              <w:t xml:space="preserve"> </w:t>
            </w:r>
            <w:r w:rsidRPr="00ED0BF8">
              <w:rPr>
                <w:rFonts w:ascii="Century Gothic" w:hAnsi="Century Gothic"/>
                <w:sz w:val="16"/>
                <w:szCs w:val="16"/>
              </w:rPr>
              <w:t>und ihren geschätzten quantitativen Beitrag zur Erreichung der THG-Emissionsreduktionsziele, aufgeschlüsselt nach Kategorien (</w:t>
            </w:r>
            <w:proofErr w:type="spellStart"/>
            <w:r w:rsidRPr="00ED0BF8">
              <w:rPr>
                <w:rFonts w:ascii="Century Gothic" w:hAnsi="Century Gothic"/>
                <w:sz w:val="16"/>
                <w:szCs w:val="16"/>
              </w:rPr>
              <w:t>Scope</w:t>
            </w:r>
            <w:proofErr w:type="spellEnd"/>
            <w:r w:rsidRPr="00ED0BF8">
              <w:rPr>
                <w:rFonts w:ascii="Century Gothic" w:hAnsi="Century Gothic"/>
                <w:sz w:val="16"/>
                <w:szCs w:val="16"/>
              </w:rPr>
              <w:t xml:space="preserve"> 1, 2 und 3),</w:t>
            </w:r>
          </w:p>
          <w:p w:rsidR="00ED0BF8" w:rsidRPr="00ED0BF8" w:rsidRDefault="00ED0BF8" w:rsidP="00C96727">
            <w:pPr>
              <w:pStyle w:val="Default"/>
              <w:numPr>
                <w:ilvl w:val="0"/>
                <w:numId w:val="29"/>
              </w:numPr>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D0BF8">
              <w:rPr>
                <w:rFonts w:ascii="Century Gothic" w:hAnsi="Century Gothic"/>
                <w:sz w:val="16"/>
                <w:szCs w:val="16"/>
              </w:rPr>
              <w:t>ob es beabsichtigt, neue Technologien einzuführen, und welche Rolle diese dabei spielen sollen, seine THG- Emissionsreduktionsziele zu erreichen, und</w:t>
            </w:r>
          </w:p>
          <w:p w:rsidR="00494040" w:rsidRPr="00AD1C9A" w:rsidRDefault="00ED0BF8" w:rsidP="00C96727">
            <w:pPr>
              <w:pStyle w:val="Default"/>
              <w:numPr>
                <w:ilvl w:val="0"/>
                <w:numId w:val="29"/>
              </w:numPr>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6"/>
                <w:szCs w:val="16"/>
              </w:rPr>
            </w:pPr>
            <w:r w:rsidRPr="00ED0BF8">
              <w:rPr>
                <w:rFonts w:ascii="Century Gothic" w:hAnsi="Century Gothic"/>
                <w:sz w:val="16"/>
                <w:szCs w:val="16"/>
              </w:rPr>
              <w:t xml:space="preserve">ob und wie es unterschiedliche Klimaszenarien berücksichtigt hat, die zumindest ein </w:t>
            </w:r>
            <w:r w:rsidRPr="00ED0BF8">
              <w:rPr>
                <w:rFonts w:ascii="Century Gothic" w:hAnsi="Century Gothic"/>
                <w:b/>
                <w:bCs/>
                <w:sz w:val="16"/>
                <w:szCs w:val="16"/>
              </w:rPr>
              <w:t xml:space="preserve">Klimaszenario </w:t>
            </w:r>
            <w:r w:rsidRPr="00ED0BF8">
              <w:rPr>
                <w:rFonts w:ascii="Century Gothic" w:hAnsi="Century Gothic"/>
                <w:sz w:val="16"/>
                <w:szCs w:val="16"/>
              </w:rPr>
              <w:t xml:space="preserve">im Einklang mit der Begrenzung der Erderwärmung auf 1,5 °C umfassen, um relevante umwelt-, gesellschafts-, technologie-, markt- und politikbezogene Entwicklungen zu ermitteln und seine </w:t>
            </w:r>
            <w:proofErr w:type="spellStart"/>
            <w:r w:rsidRPr="00ED0BF8">
              <w:rPr>
                <w:rFonts w:ascii="Century Gothic" w:hAnsi="Century Gothic"/>
                <w:sz w:val="16"/>
                <w:szCs w:val="16"/>
              </w:rPr>
              <w:t>Dekarbonisierungshebel</w:t>
            </w:r>
            <w:proofErr w:type="spellEnd"/>
            <w:r w:rsidRPr="00ED0BF8">
              <w:rPr>
                <w:rFonts w:ascii="Century Gothic" w:hAnsi="Century Gothic"/>
                <w:sz w:val="16"/>
                <w:szCs w:val="16"/>
              </w:rPr>
              <w:t xml:space="preserve"> festzulegen.</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040" w:rsidRPr="00C31157" w:rsidRDefault="00494040" w:rsidP="00C96727">
            <w:pPr>
              <w:spacing w:before="0"/>
              <w:contextualSpacing/>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r>
      <w:tr w:rsidR="00187E46" w:rsidRPr="00C31157" w:rsidTr="00BA7FFA">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trHeight w:val="782"/>
        </w:trPr>
        <w:tc>
          <w:tcPr>
            <w:cnfStyle w:val="001000000000" w:firstRow="0" w:lastRow="0" w:firstColumn="1" w:lastColumn="0" w:oddVBand="0" w:evenVBand="0" w:oddHBand="0" w:evenHBand="0" w:firstRowFirstColumn="0" w:firstRowLastColumn="0" w:lastRowFirstColumn="0" w:lastRowLastColumn="0"/>
            <w:tcW w:w="9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7E46" w:rsidRPr="009343B2" w:rsidRDefault="00187E46" w:rsidP="00C96727">
            <w:pPr>
              <w:spacing w:before="0"/>
              <w:contextualSpacing/>
              <w:jc w:val="center"/>
              <w:rPr>
                <w:sz w:val="16"/>
                <w:szCs w:val="16"/>
              </w:rPr>
            </w:pPr>
            <w:r w:rsidRPr="009343B2">
              <w:rPr>
                <w:sz w:val="16"/>
                <w:szCs w:val="16"/>
              </w:rPr>
              <w:t xml:space="preserve">AR </w:t>
            </w:r>
            <w:r w:rsidR="00FA3696">
              <w:rPr>
                <w:sz w:val="16"/>
                <w:szCs w:val="16"/>
              </w:rPr>
              <w:t>31</w:t>
            </w:r>
          </w:p>
        </w:tc>
        <w:tc>
          <w:tcPr>
            <w:tcW w:w="6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488F" w:rsidRPr="0059488F" w:rsidRDefault="00FA3696" w:rsidP="00C96727">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FA3696">
              <w:rPr>
                <w:rFonts w:ascii="Century Gothic" w:hAnsi="Century Gothic"/>
                <w:sz w:val="16"/>
                <w:szCs w:val="16"/>
              </w:rPr>
              <w:t xml:space="preserve">Das Unternehmen kann seine THG-Emissionsreduktionsziele zusammen mit seinen </w:t>
            </w:r>
            <w:r w:rsidRPr="00FA3696">
              <w:rPr>
                <w:rFonts w:ascii="Century Gothic" w:hAnsi="Century Gothic"/>
                <w:b/>
                <w:bCs/>
                <w:sz w:val="16"/>
                <w:szCs w:val="16"/>
              </w:rPr>
              <w:t xml:space="preserve">Klimaschutzmaßnahmen </w:t>
            </w:r>
            <w:r w:rsidRPr="00FA3696">
              <w:rPr>
                <w:rFonts w:ascii="Century Gothic" w:hAnsi="Century Gothic"/>
                <w:sz w:val="16"/>
                <w:szCs w:val="16"/>
              </w:rPr>
              <w:t xml:space="preserve">(siehe Abschnitt AR 19) als Tabelle oder grafischen Pfad vorlegen, aus denen die Entwicklungen im Laufe der Zeit hervorgehen. Die folgende Abbildung und Tabelle enthalten Beispiele für die Kombination von Zielen und </w:t>
            </w:r>
            <w:proofErr w:type="spellStart"/>
            <w:r w:rsidRPr="00FA3696">
              <w:rPr>
                <w:rFonts w:ascii="Century Gothic" w:hAnsi="Century Gothic"/>
                <w:sz w:val="16"/>
                <w:szCs w:val="16"/>
              </w:rPr>
              <w:t>Dekarbonisierungshebeln</w:t>
            </w:r>
            <w:proofErr w:type="spellEnd"/>
            <w:r w:rsidRPr="00FA3696">
              <w:rPr>
                <w:rFonts w:ascii="Century Gothic" w:hAnsi="Century Gothic"/>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87E46" w:rsidRPr="00C31157" w:rsidRDefault="00187E46" w:rsidP="00C96727">
            <w:pPr>
              <w:spacing w:before="0"/>
              <w:contextualSpacing/>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r>
    </w:tbl>
    <w:p w:rsidR="0059488F" w:rsidRDefault="0059488F">
      <w:pPr>
        <w:rPr>
          <w:b/>
          <w:bCs/>
        </w:rPr>
      </w:pPr>
    </w:p>
    <w:p w:rsidR="00193E2F" w:rsidRDefault="00193E2F">
      <w:pPr>
        <w:rPr>
          <w:b/>
          <w:bCs/>
        </w:rPr>
      </w:pPr>
    </w:p>
    <w:p w:rsidR="0059488F" w:rsidRDefault="0059488F">
      <w:pPr>
        <w:rPr>
          <w:b/>
          <w:bCs/>
        </w:rPr>
      </w:pPr>
      <w:r>
        <w:rPr>
          <w:b/>
          <w:bCs/>
          <w:noProof/>
        </w:rPr>
        <w:drawing>
          <wp:inline distT="0" distB="0" distL="0" distR="0">
            <wp:extent cx="5760720" cy="28346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834640"/>
                    </a:xfrm>
                    <a:prstGeom prst="rect">
                      <a:avLst/>
                    </a:prstGeom>
                    <a:noFill/>
                    <a:ln>
                      <a:noFill/>
                    </a:ln>
                  </pic:spPr>
                </pic:pic>
              </a:graphicData>
            </a:graphic>
          </wp:inline>
        </w:drawing>
      </w:r>
    </w:p>
    <w:p w:rsidR="00896F3B" w:rsidRDefault="00896F3B">
      <w:pPr>
        <w:spacing w:before="0"/>
        <w:jc w:val="left"/>
      </w:pPr>
      <w:r>
        <w:br w:type="page"/>
      </w:r>
    </w:p>
    <w:tbl>
      <w:tblPr>
        <w:tblStyle w:val="Gitternetztabelle4Akzent6"/>
        <w:tblW w:w="9095"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
        <w:gridCol w:w="3956"/>
        <w:gridCol w:w="1134"/>
        <w:gridCol w:w="1134"/>
        <w:gridCol w:w="1134"/>
        <w:gridCol w:w="287"/>
        <w:gridCol w:w="280"/>
        <w:gridCol w:w="434"/>
        <w:gridCol w:w="723"/>
      </w:tblGrid>
      <w:tr w:rsidR="001B70F1" w:rsidRPr="00122B7B" w:rsidTr="00BA7FFA">
        <w:trPr>
          <w:gridBefore w:val="1"/>
          <w:cnfStyle w:val="100000000000" w:firstRow="1" w:lastRow="0" w:firstColumn="0" w:lastColumn="0" w:oddVBand="0" w:evenVBand="0" w:oddHBand="0" w:evenHBand="0" w:firstRowFirstColumn="0" w:firstRowLastColumn="0" w:lastRowFirstColumn="0" w:lastRowLastColumn="0"/>
          <w:wBefore w:w="13" w:type="dxa"/>
          <w:trHeight w:val="460"/>
        </w:trPr>
        <w:tc>
          <w:tcPr>
            <w:cnfStyle w:val="001000000000" w:firstRow="0" w:lastRow="0" w:firstColumn="1" w:lastColumn="0" w:oddVBand="0" w:evenVBand="0" w:oddHBand="0" w:evenHBand="0" w:firstRowFirstColumn="0" w:firstRowLastColumn="0" w:lastRowFirstColumn="0" w:lastRowLastColumn="0"/>
            <w:tcW w:w="9082" w:type="dxa"/>
            <w:gridSpan w:val="8"/>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1B70F1" w:rsidRPr="00122B7B" w:rsidRDefault="001B70F1" w:rsidP="00E66BA0">
            <w:pPr>
              <w:spacing w:before="60" w:after="60"/>
              <w:jc w:val="left"/>
              <w:rPr>
                <w:color w:val="000000" w:themeColor="text1"/>
                <w:sz w:val="20"/>
                <w:szCs w:val="20"/>
              </w:rPr>
            </w:pPr>
            <w:r w:rsidRPr="00122B7B">
              <w:rPr>
                <w:color w:val="000000" w:themeColor="text1"/>
                <w:sz w:val="20"/>
                <w:szCs w:val="20"/>
              </w:rPr>
              <w:lastRenderedPageBreak/>
              <w:t xml:space="preserve">Teil </w:t>
            </w:r>
            <w:r>
              <w:rPr>
                <w:color w:val="000000" w:themeColor="text1"/>
                <w:sz w:val="20"/>
                <w:szCs w:val="20"/>
              </w:rPr>
              <w:t>2</w:t>
            </w:r>
            <w:r w:rsidRPr="00122B7B">
              <w:rPr>
                <w:color w:val="000000" w:themeColor="text1"/>
                <w:sz w:val="20"/>
                <w:szCs w:val="20"/>
              </w:rPr>
              <w:t>:</w:t>
            </w:r>
            <w:r>
              <w:rPr>
                <w:color w:val="000000" w:themeColor="text1"/>
                <w:sz w:val="20"/>
                <w:szCs w:val="20"/>
              </w:rPr>
              <w:t xml:space="preserve">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r w:rsidR="00F01992">
              <w:rPr>
                <w:color w:val="000000" w:themeColor="text1"/>
                <w:sz w:val="20"/>
                <w:szCs w:val="20"/>
              </w:rPr>
              <w:t>;</w:t>
            </w:r>
            <w:r>
              <w:rPr>
                <w:color w:val="000000" w:themeColor="text1"/>
                <w:sz w:val="20"/>
                <w:szCs w:val="20"/>
              </w:rPr>
              <w:t xml:space="preserve"> Forts.</w:t>
            </w:r>
          </w:p>
        </w:tc>
      </w:tr>
      <w:tr w:rsidR="009A5B98" w:rsidTr="00BA7FFA">
        <w:tblPrEx>
          <w:shd w:val="clear" w:color="auto" w:fill="228B22"/>
        </w:tblPrEx>
        <w:trPr>
          <w:gridBefore w:val="1"/>
          <w:cnfStyle w:val="000000100000" w:firstRow="0" w:lastRow="0" w:firstColumn="0" w:lastColumn="0" w:oddVBand="0" w:evenVBand="0" w:oddHBand="1" w:evenHBand="0" w:firstRowFirstColumn="0" w:firstRowLastColumn="0" w:lastRowFirstColumn="0" w:lastRowLastColumn="0"/>
          <w:wBefore w:w="13" w:type="dxa"/>
          <w:trHeight w:val="559"/>
        </w:trPr>
        <w:tc>
          <w:tcPr>
            <w:cnfStyle w:val="001000000000" w:firstRow="0" w:lastRow="0" w:firstColumn="1" w:lastColumn="0" w:oddVBand="0" w:evenVBand="0" w:oddHBand="0" w:evenHBand="0" w:firstRowFirstColumn="0" w:firstRowLastColumn="0" w:lastRowFirstColumn="0" w:lastRowLastColumn="0"/>
            <w:tcW w:w="7645" w:type="dxa"/>
            <w:gridSpan w:val="5"/>
            <w:shd w:val="clear" w:color="auto" w:fill="auto"/>
          </w:tcPr>
          <w:p w:rsidR="009A5B98" w:rsidRDefault="009A5B98" w:rsidP="001B70F1">
            <w:pPr>
              <w:spacing w:before="0"/>
              <w:rPr>
                <w:color w:val="000000" w:themeColor="text1"/>
              </w:rPr>
            </w:pPr>
          </w:p>
        </w:tc>
        <w:tc>
          <w:tcPr>
            <w:tcW w:w="714" w:type="dxa"/>
            <w:gridSpan w:val="2"/>
            <w:shd w:val="clear" w:color="auto" w:fill="auto"/>
          </w:tcPr>
          <w:p w:rsidR="009A5B98" w:rsidRPr="003C0F68" w:rsidRDefault="009A5B98" w:rsidP="001B70F1">
            <w:pPr>
              <w:spacing w:before="0"/>
              <w:cnfStyle w:val="000000100000" w:firstRow="0" w:lastRow="0" w:firstColumn="0" w:lastColumn="0" w:oddVBand="0" w:evenVBand="0" w:oddHBand="1" w:evenHBand="0" w:firstRowFirstColumn="0" w:firstRowLastColumn="0" w:lastRowFirstColumn="0" w:lastRowLastColumn="0"/>
              <w:rPr>
                <w:b/>
                <w:bCs/>
                <w:color w:val="000000" w:themeColor="text1"/>
                <w:sz w:val="16"/>
              </w:rPr>
            </w:pPr>
          </w:p>
        </w:tc>
        <w:tc>
          <w:tcPr>
            <w:tcW w:w="723" w:type="dxa"/>
            <w:shd w:val="clear" w:color="auto" w:fill="auto"/>
            <w:vAlign w:val="center"/>
          </w:tcPr>
          <w:p w:rsidR="009A5B98" w:rsidRPr="00572574" w:rsidRDefault="009A5B98" w:rsidP="001B70F1">
            <w:pPr>
              <w:spacing w:before="0"/>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994A69" w:rsidRPr="005101D4" w:rsidTr="001B70F1">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trHeight w:val="324"/>
        </w:trPr>
        <w:tc>
          <w:tcPr>
            <w:cnfStyle w:val="001000000000" w:firstRow="0" w:lastRow="0" w:firstColumn="1" w:lastColumn="0" w:oddVBand="0" w:evenVBand="0" w:oddHBand="0" w:evenHBand="0" w:firstRowFirstColumn="0" w:firstRowLastColumn="0" w:lastRowFirstColumn="0" w:lastRowLastColumn="0"/>
            <w:tcW w:w="3969" w:type="dxa"/>
            <w:gridSpan w:val="2"/>
            <w:tcBorders>
              <w:top w:val="nil"/>
              <w:left w:val="nil"/>
              <w:bottom w:val="single" w:sz="18" w:space="0" w:color="FFFFFF" w:themeColor="background1"/>
              <w:right w:val="single" w:sz="18" w:space="0" w:color="FFFFFF" w:themeColor="background1"/>
            </w:tcBorders>
            <w:shd w:val="clear" w:color="auto" w:fill="auto"/>
            <w:vAlign w:val="center"/>
          </w:tcPr>
          <w:p w:rsidR="00994A69" w:rsidRPr="00994A69" w:rsidRDefault="00994A69" w:rsidP="00994A69">
            <w:pPr>
              <w:spacing w:before="60" w:after="60"/>
              <w:jc w:val="center"/>
              <w:rPr>
                <w:bCs w:val="0"/>
                <w:sz w:val="14"/>
                <w:szCs w:val="14"/>
              </w:rPr>
            </w:pPr>
          </w:p>
        </w:tc>
        <w:tc>
          <w:tcPr>
            <w:tcW w:w="1134" w:type="dxa"/>
            <w:tcBorders>
              <w:top w:val="nil"/>
              <w:left w:val="single" w:sz="18" w:space="0" w:color="FFFFFF" w:themeColor="background1"/>
              <w:bottom w:val="single" w:sz="18" w:space="0" w:color="FFFFFF" w:themeColor="background1"/>
            </w:tcBorders>
            <w:shd w:val="clear" w:color="auto" w:fill="0070C0"/>
            <w:vAlign w:val="center"/>
          </w:tcPr>
          <w:p w:rsidR="00994A69" w:rsidRPr="00994A69" w:rsidRDefault="00994A69" w:rsidP="00994A69">
            <w:pPr>
              <w:spacing w:before="60" w:after="60"/>
              <w:jc w:val="center"/>
              <w:cnfStyle w:val="000000000000" w:firstRow="0" w:lastRow="0" w:firstColumn="0" w:lastColumn="0" w:oddVBand="0" w:evenVBand="0" w:oddHBand="0" w:evenHBand="0" w:firstRowFirstColumn="0" w:firstRowLastColumn="0" w:lastRowFirstColumn="0" w:lastRowLastColumn="0"/>
              <w:rPr>
                <w:bCs/>
                <w:sz w:val="14"/>
                <w:szCs w:val="14"/>
              </w:rPr>
            </w:pPr>
            <w:r>
              <w:rPr>
                <w:sz w:val="14"/>
                <w:szCs w:val="14"/>
              </w:rPr>
              <w:t>Basisjahr</w:t>
            </w:r>
            <w:r>
              <w:rPr>
                <w:sz w:val="14"/>
                <w:szCs w:val="14"/>
              </w:rPr>
              <w:br/>
              <w:t>(z.B. 2025)</w:t>
            </w:r>
          </w:p>
        </w:tc>
        <w:tc>
          <w:tcPr>
            <w:tcW w:w="1134" w:type="dxa"/>
            <w:tcBorders>
              <w:top w:val="nil"/>
              <w:bottom w:val="single" w:sz="18" w:space="0" w:color="FFFFFF" w:themeColor="background1"/>
            </w:tcBorders>
            <w:shd w:val="clear" w:color="auto" w:fill="00B0F0"/>
            <w:vAlign w:val="center"/>
          </w:tcPr>
          <w:p w:rsidR="00994A69" w:rsidRPr="00994A69" w:rsidRDefault="00994A69" w:rsidP="00994A69">
            <w:pPr>
              <w:spacing w:before="60" w:after="60"/>
              <w:jc w:val="center"/>
              <w:cnfStyle w:val="000000000000" w:firstRow="0" w:lastRow="0" w:firstColumn="0" w:lastColumn="0" w:oddVBand="0" w:evenVBand="0" w:oddHBand="0" w:evenHBand="0" w:firstRowFirstColumn="0" w:firstRowLastColumn="0" w:lastRowFirstColumn="0" w:lastRowLastColumn="0"/>
              <w:rPr>
                <w:bCs/>
                <w:sz w:val="14"/>
                <w:szCs w:val="14"/>
              </w:rPr>
            </w:pPr>
            <w:r>
              <w:rPr>
                <w:sz w:val="14"/>
                <w:szCs w:val="14"/>
              </w:rPr>
              <w:t>Ziel für 2030</w:t>
            </w:r>
          </w:p>
        </w:tc>
        <w:tc>
          <w:tcPr>
            <w:tcW w:w="1134" w:type="dxa"/>
            <w:tcBorders>
              <w:top w:val="nil"/>
              <w:bottom w:val="single" w:sz="18" w:space="0" w:color="FFFFFF" w:themeColor="background1"/>
            </w:tcBorders>
            <w:shd w:val="clear" w:color="auto" w:fill="00B0F0"/>
            <w:vAlign w:val="center"/>
          </w:tcPr>
          <w:p w:rsidR="00994A69" w:rsidRPr="00994A69" w:rsidRDefault="00994A69" w:rsidP="00994A69">
            <w:pPr>
              <w:spacing w:before="60" w:after="60"/>
              <w:jc w:val="center"/>
              <w:cnfStyle w:val="000000000000" w:firstRow="0" w:lastRow="0" w:firstColumn="0" w:lastColumn="0" w:oddVBand="0" w:evenVBand="0" w:oddHBand="0" w:evenHBand="0" w:firstRowFirstColumn="0" w:firstRowLastColumn="0" w:lastRowFirstColumn="0" w:lastRowLastColumn="0"/>
              <w:rPr>
                <w:sz w:val="14"/>
                <w:szCs w:val="14"/>
              </w:rPr>
            </w:pPr>
            <w:r w:rsidRPr="00994A69">
              <w:rPr>
                <w:sz w:val="14"/>
                <w:szCs w:val="14"/>
              </w:rPr>
              <w:t>Ziel für 2035</w:t>
            </w:r>
          </w:p>
        </w:tc>
        <w:tc>
          <w:tcPr>
            <w:tcW w:w="567" w:type="dxa"/>
            <w:gridSpan w:val="2"/>
            <w:tcBorders>
              <w:top w:val="nil"/>
              <w:bottom w:val="single" w:sz="18" w:space="0" w:color="FFFFFF" w:themeColor="background1"/>
            </w:tcBorders>
            <w:shd w:val="clear" w:color="auto" w:fill="00B0F0"/>
            <w:vAlign w:val="center"/>
          </w:tcPr>
          <w:p w:rsidR="00994A69" w:rsidRPr="00EE1EF1" w:rsidRDefault="00994A69" w:rsidP="00994A69">
            <w:pPr>
              <w:spacing w:before="60" w:after="60"/>
              <w:jc w:val="center"/>
              <w:cnfStyle w:val="000000000000" w:firstRow="0" w:lastRow="0" w:firstColumn="0" w:lastColumn="0" w:oddVBand="0" w:evenVBand="0" w:oddHBand="0" w:evenHBand="0" w:firstRowFirstColumn="0" w:firstRowLastColumn="0" w:lastRowFirstColumn="0" w:lastRowLastColumn="0"/>
              <w:rPr>
                <w:b/>
                <w:sz w:val="14"/>
                <w:szCs w:val="14"/>
              </w:rPr>
            </w:pPr>
            <w:r>
              <w:rPr>
                <w:sz w:val="14"/>
                <w:szCs w:val="14"/>
              </w:rPr>
              <w:t>…</w:t>
            </w:r>
          </w:p>
        </w:tc>
        <w:tc>
          <w:tcPr>
            <w:tcW w:w="1157" w:type="dxa"/>
            <w:gridSpan w:val="2"/>
            <w:tcBorders>
              <w:top w:val="nil"/>
              <w:bottom w:val="single" w:sz="18" w:space="0" w:color="FFFFFF" w:themeColor="background1"/>
              <w:right w:val="single" w:sz="18" w:space="0" w:color="FFFFFF" w:themeColor="background1"/>
            </w:tcBorders>
            <w:shd w:val="clear" w:color="auto" w:fill="00B0F0"/>
            <w:vAlign w:val="center"/>
          </w:tcPr>
          <w:p w:rsidR="00994A69" w:rsidRPr="00994A69" w:rsidRDefault="00994A69" w:rsidP="00994A69">
            <w:pPr>
              <w:spacing w:before="60" w:after="60"/>
              <w:jc w:val="center"/>
              <w:cnfStyle w:val="000000000000" w:firstRow="0" w:lastRow="0" w:firstColumn="0" w:lastColumn="0" w:oddVBand="0" w:evenVBand="0" w:oddHBand="0" w:evenHBand="0" w:firstRowFirstColumn="0" w:firstRowLastColumn="0" w:lastRowFirstColumn="0" w:lastRowLastColumn="0"/>
              <w:rPr>
                <w:sz w:val="14"/>
                <w:szCs w:val="14"/>
              </w:rPr>
            </w:pPr>
            <w:r w:rsidRPr="00994A69">
              <w:rPr>
                <w:sz w:val="14"/>
                <w:szCs w:val="14"/>
              </w:rPr>
              <w:t>Ziel bis 2050</w:t>
            </w:r>
          </w:p>
        </w:tc>
      </w:tr>
      <w:tr w:rsidR="00994A69" w:rsidRPr="0059514F" w:rsidTr="001B70F1">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96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ECFF"/>
            <w:vAlign w:val="center"/>
          </w:tcPr>
          <w:p w:rsidR="00994A69" w:rsidRPr="005F30C5" w:rsidRDefault="00B24281" w:rsidP="00B24281">
            <w:pPr>
              <w:spacing w:before="60" w:after="60"/>
              <w:jc w:val="left"/>
              <w:rPr>
                <w:b w:val="0"/>
                <w:bCs w:val="0"/>
                <w:sz w:val="16"/>
                <w:szCs w:val="16"/>
              </w:rPr>
            </w:pPr>
            <w:r>
              <w:rPr>
                <w:b w:val="0"/>
                <w:bCs w:val="0"/>
                <w:sz w:val="16"/>
                <w:szCs w:val="16"/>
              </w:rPr>
              <w:t>THG-Emiss</w:t>
            </w:r>
            <w:r w:rsidR="00061DFD">
              <w:rPr>
                <w:b w:val="0"/>
                <w:bCs w:val="0"/>
                <w:sz w:val="16"/>
                <w:szCs w:val="16"/>
              </w:rPr>
              <w:t>i</w:t>
            </w:r>
            <w:r>
              <w:rPr>
                <w:b w:val="0"/>
                <w:bCs w:val="0"/>
                <w:sz w:val="16"/>
                <w:szCs w:val="16"/>
              </w:rPr>
              <w:t>onen (in Tausend Tonnen CO</w:t>
            </w:r>
            <w:r w:rsidRPr="00B24281">
              <w:rPr>
                <w:b w:val="0"/>
                <w:bCs w:val="0"/>
                <w:sz w:val="16"/>
                <w:szCs w:val="16"/>
                <w:vertAlign w:val="subscript"/>
              </w:rPr>
              <w:t>2</w:t>
            </w:r>
            <w:r>
              <w:rPr>
                <w:b w:val="0"/>
                <w:bCs w:val="0"/>
                <w:sz w:val="16"/>
                <w:szCs w:val="16"/>
              </w:rPr>
              <w:t>e)</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Pr="005F30C5" w:rsidRDefault="00194FDC"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r>
              <w:rPr>
                <w:bCs/>
                <w:sz w:val="16"/>
                <w:szCs w:val="16"/>
              </w:rPr>
              <w:t>100</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Pr="005F30C5" w:rsidRDefault="00994A69"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r>
              <w:rPr>
                <w:bCs/>
                <w:sz w:val="16"/>
                <w:szCs w:val="16"/>
              </w:rPr>
              <w:t>60</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Pr="005F30C5" w:rsidRDefault="00994A69"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r>
              <w:rPr>
                <w:bCs/>
                <w:sz w:val="16"/>
                <w:szCs w:val="16"/>
              </w:rPr>
              <w:t>40</w:t>
            </w:r>
          </w:p>
        </w:tc>
        <w:tc>
          <w:tcPr>
            <w:tcW w:w="56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994A69" w:rsidRPr="005F30C5" w:rsidRDefault="00994A69"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p>
        </w:tc>
        <w:tc>
          <w:tcPr>
            <w:tcW w:w="115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994A69" w:rsidRPr="005F30C5" w:rsidRDefault="00994A69"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p>
        </w:tc>
      </w:tr>
      <w:tr w:rsidR="00994A69" w:rsidRPr="0059514F" w:rsidTr="001B70F1">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trHeight w:val="247"/>
        </w:trPr>
        <w:tc>
          <w:tcPr>
            <w:cnfStyle w:val="001000000000" w:firstRow="0" w:lastRow="0" w:firstColumn="1" w:lastColumn="0" w:oddVBand="0" w:evenVBand="0" w:oddHBand="0" w:evenHBand="0" w:firstRowFirstColumn="0" w:firstRowLastColumn="0" w:lastRowFirstColumn="0" w:lastRowLastColumn="0"/>
            <w:tcW w:w="396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ECFF"/>
            <w:vAlign w:val="center"/>
          </w:tcPr>
          <w:p w:rsidR="00994A69" w:rsidRPr="005F30C5" w:rsidRDefault="00061DFD" w:rsidP="00B24281">
            <w:pPr>
              <w:spacing w:before="60" w:after="60"/>
              <w:jc w:val="left"/>
              <w:rPr>
                <w:b w:val="0"/>
                <w:sz w:val="16"/>
                <w:szCs w:val="16"/>
              </w:rPr>
            </w:pPr>
            <w:r>
              <w:rPr>
                <w:b w:val="0"/>
                <w:sz w:val="16"/>
                <w:szCs w:val="16"/>
              </w:rPr>
              <w:t>Energieeffizienz und Verbrauchssenkung</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Pr="005F30C5" w:rsidRDefault="00744577" w:rsidP="00A56BDD">
            <w:pPr>
              <w:spacing w:before="60" w:after="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Pr="005F30C5" w:rsidRDefault="00994A69" w:rsidP="00A56BDD">
            <w:pPr>
              <w:spacing w:before="60" w:after="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Pr="005F30C5" w:rsidRDefault="00994A69" w:rsidP="00A56BDD">
            <w:pPr>
              <w:spacing w:before="60" w:after="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w:t>
            </w:r>
          </w:p>
        </w:tc>
        <w:tc>
          <w:tcPr>
            <w:tcW w:w="56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994A69" w:rsidRPr="005F30C5" w:rsidRDefault="00994A69" w:rsidP="00A56BDD">
            <w:pPr>
              <w:spacing w:before="60" w:after="6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5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994A69" w:rsidRPr="005F30C5" w:rsidRDefault="00994A69" w:rsidP="00A56BDD">
            <w:pPr>
              <w:spacing w:before="60" w:after="60"/>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94A69" w:rsidRPr="0059514F" w:rsidTr="001B70F1">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96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ECFF"/>
            <w:vAlign w:val="center"/>
          </w:tcPr>
          <w:p w:rsidR="00994A69" w:rsidRPr="005F30C5" w:rsidRDefault="00061DFD" w:rsidP="00B24281">
            <w:pPr>
              <w:spacing w:before="60" w:after="60"/>
              <w:jc w:val="left"/>
              <w:rPr>
                <w:b w:val="0"/>
                <w:bCs w:val="0"/>
                <w:sz w:val="16"/>
                <w:szCs w:val="16"/>
              </w:rPr>
            </w:pPr>
            <w:r>
              <w:rPr>
                <w:b w:val="0"/>
                <w:sz w:val="16"/>
                <w:szCs w:val="16"/>
              </w:rPr>
              <w:t>Materialeffizienz und Verbrauchssenkung</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Pr="005F30C5" w:rsidRDefault="00744577"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r>
              <w:rPr>
                <w:bCs/>
                <w:sz w:val="16"/>
                <w:szCs w:val="16"/>
              </w:rPr>
              <w:t>-</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Pr="005F30C5" w:rsidRDefault="00994A69"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r>
              <w:rPr>
                <w:bCs/>
                <w:sz w:val="16"/>
                <w:szCs w:val="16"/>
              </w:rPr>
              <w:t>-5</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Pr="005F30C5" w:rsidRDefault="00994A69"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r>
              <w:rPr>
                <w:bCs/>
                <w:sz w:val="16"/>
                <w:szCs w:val="16"/>
              </w:rPr>
              <w:t>-</w:t>
            </w:r>
          </w:p>
        </w:tc>
        <w:tc>
          <w:tcPr>
            <w:tcW w:w="56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994A69" w:rsidRPr="005F30C5" w:rsidRDefault="00994A69"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p>
        </w:tc>
        <w:tc>
          <w:tcPr>
            <w:tcW w:w="115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994A69" w:rsidRPr="005F30C5" w:rsidRDefault="00994A69"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p>
        </w:tc>
      </w:tr>
      <w:tr w:rsidR="00994A69" w:rsidRPr="0059514F" w:rsidTr="001B70F1">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trHeight w:val="330"/>
        </w:trPr>
        <w:tc>
          <w:tcPr>
            <w:cnfStyle w:val="001000000000" w:firstRow="0" w:lastRow="0" w:firstColumn="1" w:lastColumn="0" w:oddVBand="0" w:evenVBand="0" w:oddHBand="0" w:evenHBand="0" w:firstRowFirstColumn="0" w:firstRowLastColumn="0" w:lastRowFirstColumn="0" w:lastRowLastColumn="0"/>
            <w:tcW w:w="396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ECFF"/>
            <w:vAlign w:val="center"/>
          </w:tcPr>
          <w:p w:rsidR="00994A69" w:rsidRPr="005F30C5" w:rsidRDefault="00061DFD" w:rsidP="00B24281">
            <w:pPr>
              <w:spacing w:before="60" w:after="60"/>
              <w:jc w:val="left"/>
              <w:rPr>
                <w:b w:val="0"/>
                <w:bCs w:val="0"/>
                <w:sz w:val="16"/>
                <w:szCs w:val="16"/>
              </w:rPr>
            </w:pPr>
            <w:r>
              <w:rPr>
                <w:b w:val="0"/>
                <w:bCs w:val="0"/>
                <w:sz w:val="16"/>
                <w:szCs w:val="16"/>
              </w:rPr>
              <w:t>Brennstoffwechsel</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Pr="005F30C5" w:rsidRDefault="00744577"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Pr="005F30C5" w:rsidRDefault="00994A69"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-2</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Pr="005F30C5" w:rsidRDefault="00994A69"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w:t>
            </w:r>
          </w:p>
        </w:tc>
        <w:tc>
          <w:tcPr>
            <w:tcW w:w="56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994A69" w:rsidRPr="005F30C5" w:rsidRDefault="00994A69"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6"/>
                <w:szCs w:val="16"/>
              </w:rPr>
            </w:pPr>
          </w:p>
        </w:tc>
        <w:tc>
          <w:tcPr>
            <w:tcW w:w="115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994A69" w:rsidRPr="005F30C5" w:rsidRDefault="00994A69"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6"/>
                <w:szCs w:val="16"/>
              </w:rPr>
            </w:pPr>
          </w:p>
        </w:tc>
      </w:tr>
      <w:tr w:rsidR="00994A69" w:rsidRPr="0026484F" w:rsidTr="001B70F1">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96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ECFF"/>
            <w:vAlign w:val="center"/>
          </w:tcPr>
          <w:p w:rsidR="00994A69" w:rsidRPr="005F30C5" w:rsidRDefault="00061DFD" w:rsidP="00B24281">
            <w:pPr>
              <w:spacing w:before="60" w:after="60"/>
              <w:jc w:val="left"/>
              <w:rPr>
                <w:b w:val="0"/>
                <w:bCs w:val="0"/>
                <w:sz w:val="16"/>
                <w:szCs w:val="16"/>
              </w:rPr>
            </w:pPr>
            <w:r>
              <w:rPr>
                <w:b w:val="0"/>
                <w:bCs w:val="0"/>
                <w:sz w:val="16"/>
                <w:szCs w:val="16"/>
              </w:rPr>
              <w:t>Elektrifizierung</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Pr="005F30C5" w:rsidRDefault="00744577"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r>
              <w:rPr>
                <w:bCs/>
                <w:sz w:val="16"/>
                <w:szCs w:val="16"/>
              </w:rPr>
              <w:t>-</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Pr="005F30C5" w:rsidRDefault="00994A69"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r>
              <w:rPr>
                <w:bCs/>
                <w:sz w:val="16"/>
                <w:szCs w:val="16"/>
              </w:rPr>
              <w:t>-</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Pr="005F30C5" w:rsidRDefault="00994A69"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r>
              <w:rPr>
                <w:bCs/>
                <w:sz w:val="16"/>
                <w:szCs w:val="16"/>
              </w:rPr>
              <w:t>-10</w:t>
            </w:r>
          </w:p>
        </w:tc>
        <w:tc>
          <w:tcPr>
            <w:tcW w:w="56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994A69" w:rsidRPr="005F30C5" w:rsidRDefault="00994A69"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p>
        </w:tc>
        <w:tc>
          <w:tcPr>
            <w:tcW w:w="115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994A69" w:rsidRPr="005F30C5" w:rsidRDefault="00994A69"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p>
        </w:tc>
      </w:tr>
      <w:tr w:rsidR="00994A69" w:rsidRPr="0026484F" w:rsidTr="001B70F1">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trHeight w:val="225"/>
        </w:trPr>
        <w:tc>
          <w:tcPr>
            <w:cnfStyle w:val="001000000000" w:firstRow="0" w:lastRow="0" w:firstColumn="1" w:lastColumn="0" w:oddVBand="0" w:evenVBand="0" w:oddHBand="0" w:evenHBand="0" w:firstRowFirstColumn="0" w:firstRowLastColumn="0" w:lastRowFirstColumn="0" w:lastRowLastColumn="0"/>
            <w:tcW w:w="396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ECFF"/>
            <w:vAlign w:val="center"/>
          </w:tcPr>
          <w:p w:rsidR="00994A69" w:rsidRPr="005F30C5" w:rsidRDefault="00061DFD" w:rsidP="00B24281">
            <w:pPr>
              <w:spacing w:before="60" w:after="60"/>
              <w:jc w:val="left"/>
              <w:rPr>
                <w:b w:val="0"/>
                <w:bCs w:val="0"/>
                <w:sz w:val="16"/>
                <w:szCs w:val="16"/>
              </w:rPr>
            </w:pPr>
            <w:r>
              <w:rPr>
                <w:b w:val="0"/>
                <w:bCs w:val="0"/>
                <w:sz w:val="16"/>
                <w:szCs w:val="16"/>
              </w:rPr>
              <w:t>Nutzung erneuerbarer Energien</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Pr="005F30C5" w:rsidRDefault="00744577"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Pr="005F30C5" w:rsidRDefault="00994A69"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-10</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Default="00994A69"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-3</w:t>
            </w:r>
          </w:p>
        </w:tc>
        <w:tc>
          <w:tcPr>
            <w:tcW w:w="56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994A69" w:rsidRPr="005F30C5" w:rsidRDefault="00994A69"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6"/>
                <w:szCs w:val="16"/>
              </w:rPr>
            </w:pPr>
          </w:p>
        </w:tc>
        <w:tc>
          <w:tcPr>
            <w:tcW w:w="115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994A69" w:rsidRPr="005F30C5" w:rsidRDefault="00994A69"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6"/>
                <w:szCs w:val="16"/>
              </w:rPr>
            </w:pPr>
          </w:p>
        </w:tc>
      </w:tr>
      <w:tr w:rsidR="00994A69" w:rsidRPr="0026484F" w:rsidTr="001B70F1">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96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ECFF"/>
            <w:vAlign w:val="center"/>
          </w:tcPr>
          <w:p w:rsidR="00994A69" w:rsidRPr="005F30C5" w:rsidRDefault="00061DFD" w:rsidP="00B24281">
            <w:pPr>
              <w:spacing w:before="60" w:after="60"/>
              <w:jc w:val="left"/>
              <w:rPr>
                <w:b w:val="0"/>
                <w:bCs w:val="0"/>
                <w:sz w:val="16"/>
                <w:szCs w:val="16"/>
              </w:rPr>
            </w:pPr>
            <w:r>
              <w:rPr>
                <w:b w:val="0"/>
                <w:bCs w:val="0"/>
                <w:sz w:val="16"/>
                <w:szCs w:val="16"/>
              </w:rPr>
              <w:t>Schrittweise Einstellung, Ersetzung oder Änderung des Produkts</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Pr="005F30C5" w:rsidRDefault="00744577"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r>
              <w:rPr>
                <w:bCs/>
                <w:sz w:val="16"/>
                <w:szCs w:val="16"/>
              </w:rPr>
              <w:t>-</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Pr="005F30C5" w:rsidRDefault="00994A69"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r>
              <w:rPr>
                <w:bCs/>
                <w:sz w:val="16"/>
                <w:szCs w:val="16"/>
              </w:rPr>
              <w:t>-8</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Default="00994A69"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r>
              <w:rPr>
                <w:bCs/>
                <w:sz w:val="16"/>
                <w:szCs w:val="16"/>
              </w:rPr>
              <w:t>-</w:t>
            </w:r>
          </w:p>
        </w:tc>
        <w:tc>
          <w:tcPr>
            <w:tcW w:w="56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994A69" w:rsidRPr="005F30C5" w:rsidRDefault="00994A69"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p>
        </w:tc>
        <w:tc>
          <w:tcPr>
            <w:tcW w:w="115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994A69" w:rsidRPr="005F30C5" w:rsidRDefault="00994A69"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p>
        </w:tc>
      </w:tr>
      <w:tr w:rsidR="00994A69" w:rsidRPr="0026484F" w:rsidTr="001B70F1">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trHeight w:val="225"/>
        </w:trPr>
        <w:tc>
          <w:tcPr>
            <w:cnfStyle w:val="001000000000" w:firstRow="0" w:lastRow="0" w:firstColumn="1" w:lastColumn="0" w:oddVBand="0" w:evenVBand="0" w:oddHBand="0" w:evenHBand="0" w:firstRowFirstColumn="0" w:firstRowLastColumn="0" w:lastRowFirstColumn="0" w:lastRowLastColumn="0"/>
            <w:tcW w:w="396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ECFF"/>
            <w:vAlign w:val="center"/>
          </w:tcPr>
          <w:p w:rsidR="00994A69" w:rsidRPr="005F30C5" w:rsidRDefault="00061DFD" w:rsidP="00B24281">
            <w:pPr>
              <w:spacing w:before="60" w:after="60"/>
              <w:jc w:val="left"/>
              <w:rPr>
                <w:b w:val="0"/>
                <w:bCs w:val="0"/>
                <w:sz w:val="16"/>
                <w:szCs w:val="16"/>
              </w:rPr>
            </w:pPr>
            <w:r>
              <w:rPr>
                <w:b w:val="0"/>
                <w:bCs w:val="0"/>
                <w:sz w:val="16"/>
                <w:szCs w:val="16"/>
              </w:rPr>
              <w:t>Schrittweise Einstellung, Ersetzung oder Änderung des Verfahrens</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Pr="005F30C5" w:rsidRDefault="00744577"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Pr="005F30C5" w:rsidRDefault="00994A69"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-5</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Default="00994A69"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-3</w:t>
            </w:r>
          </w:p>
        </w:tc>
        <w:tc>
          <w:tcPr>
            <w:tcW w:w="56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994A69" w:rsidRPr="005F30C5" w:rsidRDefault="00994A69"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6"/>
                <w:szCs w:val="16"/>
              </w:rPr>
            </w:pPr>
          </w:p>
        </w:tc>
        <w:tc>
          <w:tcPr>
            <w:tcW w:w="115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994A69" w:rsidRPr="005F30C5" w:rsidRDefault="00994A69"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6"/>
                <w:szCs w:val="16"/>
              </w:rPr>
            </w:pPr>
          </w:p>
        </w:tc>
      </w:tr>
      <w:tr w:rsidR="00994A69" w:rsidRPr="0026484F" w:rsidTr="001B70F1">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96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ECFF"/>
            <w:vAlign w:val="center"/>
          </w:tcPr>
          <w:p w:rsidR="00994A69" w:rsidRPr="005F30C5" w:rsidRDefault="00061DFD" w:rsidP="00B24281">
            <w:pPr>
              <w:spacing w:before="60" w:after="60"/>
              <w:jc w:val="left"/>
              <w:rPr>
                <w:b w:val="0"/>
                <w:bCs w:val="0"/>
                <w:sz w:val="16"/>
                <w:szCs w:val="16"/>
              </w:rPr>
            </w:pPr>
            <w:r>
              <w:rPr>
                <w:b w:val="0"/>
                <w:bCs w:val="0"/>
                <w:sz w:val="16"/>
                <w:szCs w:val="16"/>
              </w:rPr>
              <w:t>Sonstiges</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Pr="005F30C5" w:rsidRDefault="00744577"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r>
              <w:rPr>
                <w:bCs/>
                <w:sz w:val="16"/>
                <w:szCs w:val="16"/>
              </w:rPr>
              <w:t>-</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Pr="005F30C5" w:rsidRDefault="00994A69"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r>
              <w:rPr>
                <w:bCs/>
                <w:sz w:val="16"/>
                <w:szCs w:val="16"/>
              </w:rPr>
              <w:t>-</w:t>
            </w:r>
          </w:p>
        </w:tc>
        <w:tc>
          <w:tcPr>
            <w:tcW w:w="1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994A69" w:rsidRDefault="00994A69"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p>
        </w:tc>
        <w:tc>
          <w:tcPr>
            <w:tcW w:w="56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994A69" w:rsidRPr="005F30C5" w:rsidRDefault="00994A69"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p>
        </w:tc>
        <w:tc>
          <w:tcPr>
            <w:tcW w:w="115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994A69" w:rsidRPr="005F30C5" w:rsidRDefault="00994A69"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6"/>
                <w:szCs w:val="16"/>
              </w:rPr>
            </w:pPr>
          </w:p>
        </w:tc>
      </w:tr>
    </w:tbl>
    <w:p w:rsidR="00555A08" w:rsidRPr="0026484F" w:rsidRDefault="00555A08" w:rsidP="00EF64CE">
      <w:pPr>
        <w:spacing w:before="60" w:after="60"/>
        <w:jc w:val="left"/>
        <w:rPr>
          <w:rFonts w:eastAsiaTheme="minorHAnsi" w:cstheme="minorBidi"/>
          <w:b/>
          <w:bCs/>
          <w:color w:val="FFFFFF" w:themeColor="background1"/>
          <w:sz w:val="20"/>
          <w:lang w:eastAsia="en-US"/>
        </w:rPr>
      </w:pPr>
    </w:p>
    <w:sectPr w:rsidR="00555A08" w:rsidRPr="0026484F" w:rsidSect="00626D27">
      <w:headerReference w:type="default" r:id="rId11"/>
      <w:footerReference w:type="default" r:id="rId12"/>
      <w:headerReference w:type="first" r:id="rId13"/>
      <w:footerReference w:type="first" r:id="rId14"/>
      <w:footnotePr>
        <w:numStart w:val="36"/>
      </w:footnotePr>
      <w:type w:val="continuous"/>
      <w:pgSz w:w="11907" w:h="16839" w:code="9"/>
      <w:pgMar w:top="1099" w:right="1701" w:bottom="1134" w:left="1134" w:header="1134"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C29" w:rsidRDefault="009E6C29">
      <w:pPr>
        <w:spacing w:before="0"/>
      </w:pPr>
      <w:r>
        <w:separator/>
      </w:r>
    </w:p>
  </w:endnote>
  <w:endnote w:type="continuationSeparator" w:id="0">
    <w:p w:rsidR="009E6C29" w:rsidRDefault="009E6C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utura Md BT">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Book">
    <w:altName w:val="Vrinda"/>
    <w:charset w:val="00"/>
    <w:family w:val="swiss"/>
    <w:pitch w:val="variable"/>
    <w:sig w:usb0="00000003" w:usb1="00000000" w:usb2="00000000" w:usb3="00000000" w:csb0="00000001"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265"/>
      <w:gridCol w:w="2266"/>
      <w:gridCol w:w="2265"/>
      <w:gridCol w:w="2266"/>
    </w:tblGrid>
    <w:tr w:rsidR="00626D27" w:rsidTr="0001466E">
      <w:trPr>
        <w:trHeight w:hRule="exact" w:val="1191"/>
      </w:trPr>
      <w:tc>
        <w:tcPr>
          <w:tcW w:w="2265" w:type="dxa"/>
          <w:vAlign w:val="bottom"/>
          <w:hideMark/>
        </w:tcPr>
        <w:p w:rsidR="00626D27" w:rsidRDefault="00626D27" w:rsidP="00626D27">
          <w:pPr>
            <w:tabs>
              <w:tab w:val="left" w:pos="2100"/>
            </w:tabs>
            <w:spacing w:before="0"/>
            <w:jc w:val="left"/>
            <w:rPr>
              <w:rFonts w:eastAsiaTheme="minorHAnsi" w:cstheme="minorBidi"/>
              <w:sz w:val="20"/>
              <w:lang w:eastAsia="en-US"/>
            </w:rPr>
          </w:pPr>
          <w:r>
            <w:rPr>
              <w:sz w:val="20"/>
            </w:rPr>
            <w:t xml:space="preserve">Seite </w:t>
          </w:r>
          <w:r>
            <w:rPr>
              <w:rFonts w:eastAsiaTheme="minorHAnsi" w:cstheme="minorBidi"/>
              <w:sz w:val="20"/>
              <w:lang w:eastAsia="en-US"/>
            </w:rPr>
            <w:fldChar w:fldCharType="begin"/>
          </w:r>
          <w:r>
            <w:rPr>
              <w:rFonts w:eastAsiaTheme="minorHAnsi" w:cstheme="minorBidi"/>
              <w:sz w:val="20"/>
              <w:lang w:eastAsia="en-US"/>
            </w:rPr>
            <w:instrText>PAGE   \* MERGEFORMAT</w:instrText>
          </w:r>
          <w:r>
            <w:rPr>
              <w:rFonts w:eastAsiaTheme="minorHAnsi" w:cstheme="minorBidi"/>
              <w:sz w:val="20"/>
              <w:lang w:eastAsia="en-US"/>
            </w:rPr>
            <w:fldChar w:fldCharType="separate"/>
          </w:r>
          <w:r>
            <w:rPr>
              <w:rFonts w:eastAsiaTheme="minorHAnsi" w:cstheme="minorBidi"/>
              <w:sz w:val="20"/>
              <w:lang w:eastAsia="en-US"/>
            </w:rPr>
            <w:t>1</w:t>
          </w:r>
          <w:r>
            <w:rPr>
              <w:rFonts w:eastAsiaTheme="minorHAnsi" w:cstheme="minorBidi"/>
              <w:sz w:val="20"/>
              <w:lang w:eastAsia="en-US"/>
            </w:rPr>
            <w:fldChar w:fldCharType="end"/>
          </w:r>
          <w:r>
            <w:rPr>
              <w:rFonts w:eastAsiaTheme="minorHAnsi" w:cstheme="minorBidi"/>
              <w:sz w:val="20"/>
              <w:lang w:eastAsia="en-US"/>
            </w:rPr>
            <w:t xml:space="preserve"> </w:t>
          </w:r>
          <w:sdt>
            <w:sdtPr>
              <w:rPr>
                <w:rFonts w:eastAsiaTheme="minorHAnsi" w:cstheme="minorBidi"/>
                <w:sz w:val="20"/>
                <w:lang w:eastAsia="en-US"/>
              </w:rPr>
              <w:id w:val="1911733744"/>
              <w:docPartObj>
                <w:docPartGallery w:val="Page Numbers (Top of Page)"/>
                <w:docPartUnique/>
              </w:docPartObj>
            </w:sdtPr>
            <w:sdtContent>
              <w:r>
                <w:rPr>
                  <w:rFonts w:eastAsiaTheme="minorHAnsi" w:cstheme="minorBidi"/>
                  <w:sz w:val="20"/>
                  <w:lang w:eastAsia="en-US"/>
                </w:rPr>
                <w:t xml:space="preserve">von </w:t>
              </w:r>
              <w:r>
                <w:rPr>
                  <w:rFonts w:eastAsiaTheme="minorHAnsi" w:cstheme="minorBidi"/>
                  <w:sz w:val="20"/>
                  <w:lang w:eastAsia="en-US"/>
                </w:rPr>
                <w:fldChar w:fldCharType="begin"/>
              </w:r>
              <w:r>
                <w:rPr>
                  <w:rFonts w:eastAsiaTheme="minorHAnsi" w:cstheme="minorBidi"/>
                  <w:sz w:val="20"/>
                  <w:lang w:eastAsia="en-US"/>
                </w:rPr>
                <w:instrText xml:space="preserve"> NUMPAGES  \* Arabic  \* MERGEFORMAT </w:instrText>
              </w:r>
              <w:r>
                <w:rPr>
                  <w:rFonts w:eastAsiaTheme="minorHAnsi" w:cstheme="minorBidi"/>
                  <w:sz w:val="20"/>
                  <w:lang w:eastAsia="en-US"/>
                </w:rPr>
                <w:fldChar w:fldCharType="separate"/>
              </w:r>
              <w:r>
                <w:rPr>
                  <w:rFonts w:eastAsiaTheme="minorHAnsi" w:cstheme="minorBidi"/>
                  <w:sz w:val="20"/>
                  <w:lang w:eastAsia="en-US"/>
                </w:rPr>
                <w:t>26</w:t>
              </w:r>
              <w:r>
                <w:rPr>
                  <w:rFonts w:eastAsiaTheme="minorHAnsi" w:cstheme="minorBidi"/>
                  <w:sz w:val="20"/>
                  <w:lang w:eastAsia="en-US"/>
                </w:rPr>
                <w:fldChar w:fldCharType="end"/>
              </w:r>
            </w:sdtContent>
          </w:sdt>
        </w:p>
        <w:p w:rsidR="00626D27" w:rsidRDefault="00626D27" w:rsidP="00626D27">
          <w:pPr>
            <w:tabs>
              <w:tab w:val="left" w:pos="2100"/>
            </w:tabs>
            <w:spacing w:before="0"/>
            <w:jc w:val="left"/>
            <w:rPr>
              <w:sz w:val="20"/>
            </w:rPr>
          </w:pPr>
          <w:r>
            <w:rPr>
              <w:rFonts w:eastAsiaTheme="minorHAnsi" w:cstheme="minorBidi"/>
              <w:b/>
              <w:color w:val="228B22"/>
              <w:sz w:val="20"/>
              <w:lang w:eastAsia="en-US"/>
            </w:rPr>
            <w:t>ESG 4 2024</w:t>
          </w:r>
        </w:p>
      </w:tc>
      <w:tc>
        <w:tcPr>
          <w:tcW w:w="2266" w:type="dxa"/>
          <w:vAlign w:val="bottom"/>
          <w:hideMark/>
        </w:tcPr>
        <w:p w:rsidR="00626D27" w:rsidRDefault="00626D27" w:rsidP="00626D27">
          <w:pPr>
            <w:tabs>
              <w:tab w:val="center" w:pos="4536"/>
              <w:tab w:val="right" w:pos="9072"/>
              <w:tab w:val="left" w:pos="9781"/>
            </w:tabs>
            <w:spacing w:before="0"/>
            <w:jc w:val="center"/>
            <w:rPr>
              <w:sz w:val="20"/>
            </w:rPr>
          </w:pPr>
          <w:r>
            <w:rPr>
              <w:rFonts w:eastAsiaTheme="minorHAnsi" w:cstheme="minorBidi"/>
              <w:noProof/>
              <w:sz w:val="20"/>
            </w:rPr>
            <w:drawing>
              <wp:inline distT="0" distB="0" distL="0" distR="0" wp14:anchorId="5099822E" wp14:editId="2C240058">
                <wp:extent cx="1125855" cy="43180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431800"/>
                        </a:xfrm>
                        <a:prstGeom prst="rect">
                          <a:avLst/>
                        </a:prstGeom>
                        <a:noFill/>
                        <a:ln>
                          <a:noFill/>
                        </a:ln>
                      </pic:spPr>
                    </pic:pic>
                  </a:graphicData>
                </a:graphic>
              </wp:inline>
            </w:drawing>
          </w:r>
        </w:p>
      </w:tc>
      <w:tc>
        <w:tcPr>
          <w:tcW w:w="2265" w:type="dxa"/>
          <w:vAlign w:val="bottom"/>
          <w:hideMark/>
        </w:tcPr>
        <w:p w:rsidR="00626D27" w:rsidRDefault="00626D27" w:rsidP="00626D27">
          <w:pPr>
            <w:tabs>
              <w:tab w:val="left" w:pos="2100"/>
            </w:tabs>
            <w:spacing w:before="0"/>
            <w:jc w:val="center"/>
            <w:rPr>
              <w:rFonts w:eastAsiaTheme="minorHAnsi" w:cstheme="minorBidi"/>
              <w:b/>
              <w:color w:val="228B22"/>
              <w:sz w:val="20"/>
              <w:lang w:eastAsia="en-US"/>
            </w:rPr>
          </w:pPr>
          <w:r>
            <w:rPr>
              <w:rFonts w:eastAsiaTheme="minorHAnsi" w:cstheme="minorBidi"/>
              <w:b/>
              <w:noProof/>
              <w:color w:val="228B22"/>
              <w:sz w:val="20"/>
              <w:lang w:eastAsia="en-US"/>
            </w:rPr>
            <w:drawing>
              <wp:inline distT="0" distB="0" distL="0" distR="0" wp14:anchorId="7C2DFD71" wp14:editId="0B60D137">
                <wp:extent cx="1151255" cy="431800"/>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1255" cy="431800"/>
                        </a:xfrm>
                        <a:prstGeom prst="rect">
                          <a:avLst/>
                        </a:prstGeom>
                        <a:noFill/>
                        <a:ln>
                          <a:noFill/>
                        </a:ln>
                      </pic:spPr>
                    </pic:pic>
                  </a:graphicData>
                </a:graphic>
              </wp:inline>
            </w:drawing>
          </w:r>
        </w:p>
      </w:tc>
      <w:tc>
        <w:tcPr>
          <w:tcW w:w="2266" w:type="dxa"/>
          <w:vAlign w:val="bottom"/>
          <w:hideMark/>
        </w:tcPr>
        <w:p w:rsidR="00626D27" w:rsidRDefault="00626D27" w:rsidP="00626D27">
          <w:pPr>
            <w:tabs>
              <w:tab w:val="left" w:pos="2100"/>
            </w:tabs>
            <w:spacing w:before="0"/>
            <w:jc w:val="right"/>
            <w:rPr>
              <w:rFonts w:eastAsiaTheme="minorHAnsi" w:cstheme="minorBidi"/>
              <w:b/>
              <w:color w:val="228B22"/>
              <w:sz w:val="20"/>
              <w:lang w:eastAsia="en-US"/>
            </w:rPr>
          </w:pPr>
          <w:r>
            <w:rPr>
              <w:rFonts w:eastAsiaTheme="minorHAnsi" w:cstheme="minorBidi"/>
              <w:b/>
              <w:color w:val="228B22"/>
              <w:sz w:val="20"/>
              <w:lang w:eastAsia="en-US"/>
            </w:rPr>
            <w:t>Praxishilfe 5/1</w:t>
          </w:r>
          <w:r>
            <w:rPr>
              <w:rFonts w:eastAsiaTheme="minorHAnsi" w:cstheme="minorBidi"/>
              <w:b/>
              <w:color w:val="228B22"/>
              <w:sz w:val="20"/>
              <w:lang w:eastAsia="en-US"/>
            </w:rPr>
            <w:t>4</w:t>
          </w:r>
        </w:p>
        <w:p w:rsidR="00626D27" w:rsidRDefault="00626D27" w:rsidP="00626D27">
          <w:pPr>
            <w:tabs>
              <w:tab w:val="left" w:pos="2100"/>
            </w:tabs>
            <w:spacing w:before="0"/>
            <w:jc w:val="right"/>
            <w:rPr>
              <w:sz w:val="20"/>
            </w:rPr>
          </w:pPr>
          <w:r>
            <w:rPr>
              <w:rFonts w:eastAsiaTheme="minorHAnsi" w:cstheme="minorBidi"/>
              <w:sz w:val="20"/>
              <w:lang w:eastAsia="en-US"/>
            </w:rPr>
            <w:t>Stand: 01.08.2024</w:t>
          </w:r>
        </w:p>
      </w:tc>
    </w:tr>
  </w:tbl>
  <w:p w:rsidR="009E6C29" w:rsidRPr="00626D27" w:rsidRDefault="009E6C29" w:rsidP="00626D27">
    <w:pPr>
      <w:pStyle w:val="Fuzeile"/>
      <w:rPr>
        <w:rFonts w:eastAsiaTheme="minorHAnsi"/>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265"/>
      <w:gridCol w:w="2266"/>
      <w:gridCol w:w="2265"/>
      <w:gridCol w:w="2266"/>
    </w:tblGrid>
    <w:tr w:rsidR="00626D27" w:rsidTr="0001466E">
      <w:trPr>
        <w:trHeight w:hRule="exact" w:val="1191"/>
      </w:trPr>
      <w:tc>
        <w:tcPr>
          <w:tcW w:w="2265" w:type="dxa"/>
          <w:vAlign w:val="bottom"/>
          <w:hideMark/>
        </w:tcPr>
        <w:p w:rsidR="00626D27" w:rsidRDefault="00626D27" w:rsidP="00626D27">
          <w:pPr>
            <w:tabs>
              <w:tab w:val="left" w:pos="2100"/>
            </w:tabs>
            <w:spacing w:before="0"/>
            <w:jc w:val="left"/>
            <w:rPr>
              <w:rFonts w:eastAsiaTheme="minorHAnsi" w:cstheme="minorBidi"/>
              <w:sz w:val="20"/>
              <w:lang w:eastAsia="en-US"/>
            </w:rPr>
          </w:pPr>
          <w:r>
            <w:rPr>
              <w:sz w:val="20"/>
            </w:rPr>
            <w:t xml:space="preserve">Seite </w:t>
          </w:r>
          <w:r>
            <w:rPr>
              <w:rFonts w:eastAsiaTheme="minorHAnsi" w:cstheme="minorBidi"/>
              <w:sz w:val="20"/>
              <w:lang w:eastAsia="en-US"/>
            </w:rPr>
            <w:fldChar w:fldCharType="begin"/>
          </w:r>
          <w:r>
            <w:rPr>
              <w:rFonts w:eastAsiaTheme="minorHAnsi" w:cstheme="minorBidi"/>
              <w:sz w:val="20"/>
              <w:lang w:eastAsia="en-US"/>
            </w:rPr>
            <w:instrText>PAGE   \* MERGEFORMAT</w:instrText>
          </w:r>
          <w:r>
            <w:rPr>
              <w:rFonts w:eastAsiaTheme="minorHAnsi" w:cstheme="minorBidi"/>
              <w:sz w:val="20"/>
              <w:lang w:eastAsia="en-US"/>
            </w:rPr>
            <w:fldChar w:fldCharType="separate"/>
          </w:r>
          <w:r>
            <w:rPr>
              <w:rFonts w:eastAsiaTheme="minorHAnsi" w:cstheme="minorBidi"/>
              <w:sz w:val="20"/>
              <w:lang w:eastAsia="en-US"/>
            </w:rPr>
            <w:t>1</w:t>
          </w:r>
          <w:r>
            <w:rPr>
              <w:rFonts w:eastAsiaTheme="minorHAnsi" w:cstheme="minorBidi"/>
              <w:sz w:val="20"/>
              <w:lang w:eastAsia="en-US"/>
            </w:rPr>
            <w:fldChar w:fldCharType="end"/>
          </w:r>
          <w:r>
            <w:rPr>
              <w:rFonts w:eastAsiaTheme="minorHAnsi" w:cstheme="minorBidi"/>
              <w:sz w:val="20"/>
              <w:lang w:eastAsia="en-US"/>
            </w:rPr>
            <w:t xml:space="preserve"> </w:t>
          </w:r>
          <w:sdt>
            <w:sdtPr>
              <w:rPr>
                <w:rFonts w:eastAsiaTheme="minorHAnsi" w:cstheme="minorBidi"/>
                <w:sz w:val="20"/>
                <w:lang w:eastAsia="en-US"/>
              </w:rPr>
              <w:id w:val="-1767294923"/>
              <w:docPartObj>
                <w:docPartGallery w:val="Page Numbers (Top of Page)"/>
                <w:docPartUnique/>
              </w:docPartObj>
            </w:sdtPr>
            <w:sdtContent>
              <w:r>
                <w:rPr>
                  <w:rFonts w:eastAsiaTheme="minorHAnsi" w:cstheme="minorBidi"/>
                  <w:sz w:val="20"/>
                  <w:lang w:eastAsia="en-US"/>
                </w:rPr>
                <w:t xml:space="preserve">von </w:t>
              </w:r>
              <w:r>
                <w:rPr>
                  <w:rFonts w:eastAsiaTheme="minorHAnsi" w:cstheme="minorBidi"/>
                  <w:sz w:val="20"/>
                  <w:lang w:eastAsia="en-US"/>
                </w:rPr>
                <w:fldChar w:fldCharType="begin"/>
              </w:r>
              <w:r>
                <w:rPr>
                  <w:rFonts w:eastAsiaTheme="minorHAnsi" w:cstheme="minorBidi"/>
                  <w:sz w:val="20"/>
                  <w:lang w:eastAsia="en-US"/>
                </w:rPr>
                <w:instrText xml:space="preserve"> NUMPAGES  \* Arabic  \* MERGEFORMAT </w:instrText>
              </w:r>
              <w:r>
                <w:rPr>
                  <w:rFonts w:eastAsiaTheme="minorHAnsi" w:cstheme="minorBidi"/>
                  <w:sz w:val="20"/>
                  <w:lang w:eastAsia="en-US"/>
                </w:rPr>
                <w:fldChar w:fldCharType="separate"/>
              </w:r>
              <w:r>
                <w:rPr>
                  <w:rFonts w:eastAsiaTheme="minorHAnsi" w:cstheme="minorBidi"/>
                  <w:sz w:val="20"/>
                  <w:lang w:eastAsia="en-US"/>
                </w:rPr>
                <w:t>26</w:t>
              </w:r>
              <w:r>
                <w:rPr>
                  <w:rFonts w:eastAsiaTheme="minorHAnsi" w:cstheme="minorBidi"/>
                  <w:sz w:val="20"/>
                  <w:lang w:eastAsia="en-US"/>
                </w:rPr>
                <w:fldChar w:fldCharType="end"/>
              </w:r>
            </w:sdtContent>
          </w:sdt>
        </w:p>
        <w:p w:rsidR="00626D27" w:rsidRDefault="00626D27" w:rsidP="00626D27">
          <w:pPr>
            <w:tabs>
              <w:tab w:val="left" w:pos="2100"/>
            </w:tabs>
            <w:spacing w:before="0"/>
            <w:jc w:val="left"/>
            <w:rPr>
              <w:sz w:val="20"/>
            </w:rPr>
          </w:pPr>
          <w:r>
            <w:rPr>
              <w:rFonts w:eastAsiaTheme="minorHAnsi" w:cstheme="minorBidi"/>
              <w:b/>
              <w:color w:val="228B22"/>
              <w:sz w:val="20"/>
              <w:lang w:eastAsia="en-US"/>
            </w:rPr>
            <w:t>ESG 4 2024</w:t>
          </w:r>
        </w:p>
      </w:tc>
      <w:tc>
        <w:tcPr>
          <w:tcW w:w="2266" w:type="dxa"/>
          <w:vAlign w:val="bottom"/>
          <w:hideMark/>
        </w:tcPr>
        <w:p w:rsidR="00626D27" w:rsidRDefault="00626D27" w:rsidP="00626D27">
          <w:pPr>
            <w:tabs>
              <w:tab w:val="center" w:pos="4536"/>
              <w:tab w:val="right" w:pos="9072"/>
              <w:tab w:val="left" w:pos="9781"/>
            </w:tabs>
            <w:spacing w:before="0"/>
            <w:jc w:val="center"/>
            <w:rPr>
              <w:sz w:val="20"/>
            </w:rPr>
          </w:pPr>
          <w:r>
            <w:rPr>
              <w:rFonts w:eastAsiaTheme="minorHAnsi" w:cstheme="minorBidi"/>
              <w:noProof/>
              <w:sz w:val="20"/>
            </w:rPr>
            <w:drawing>
              <wp:inline distT="0" distB="0" distL="0" distR="0" wp14:anchorId="5099822E" wp14:editId="2C240058">
                <wp:extent cx="1125855" cy="43180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431800"/>
                        </a:xfrm>
                        <a:prstGeom prst="rect">
                          <a:avLst/>
                        </a:prstGeom>
                        <a:noFill/>
                        <a:ln>
                          <a:noFill/>
                        </a:ln>
                      </pic:spPr>
                    </pic:pic>
                  </a:graphicData>
                </a:graphic>
              </wp:inline>
            </w:drawing>
          </w:r>
        </w:p>
      </w:tc>
      <w:tc>
        <w:tcPr>
          <w:tcW w:w="2265" w:type="dxa"/>
          <w:vAlign w:val="bottom"/>
          <w:hideMark/>
        </w:tcPr>
        <w:p w:rsidR="00626D27" w:rsidRDefault="00626D27" w:rsidP="00626D27">
          <w:pPr>
            <w:tabs>
              <w:tab w:val="left" w:pos="2100"/>
            </w:tabs>
            <w:spacing w:before="0"/>
            <w:jc w:val="center"/>
            <w:rPr>
              <w:rFonts w:eastAsiaTheme="minorHAnsi" w:cstheme="minorBidi"/>
              <w:b/>
              <w:color w:val="228B22"/>
              <w:sz w:val="20"/>
              <w:lang w:eastAsia="en-US"/>
            </w:rPr>
          </w:pPr>
          <w:r>
            <w:rPr>
              <w:rFonts w:eastAsiaTheme="minorHAnsi" w:cstheme="minorBidi"/>
              <w:b/>
              <w:noProof/>
              <w:color w:val="228B22"/>
              <w:sz w:val="20"/>
              <w:lang w:eastAsia="en-US"/>
            </w:rPr>
            <w:drawing>
              <wp:inline distT="0" distB="0" distL="0" distR="0" wp14:anchorId="7C2DFD71" wp14:editId="0B60D137">
                <wp:extent cx="1151255" cy="43180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1255" cy="431800"/>
                        </a:xfrm>
                        <a:prstGeom prst="rect">
                          <a:avLst/>
                        </a:prstGeom>
                        <a:noFill/>
                        <a:ln>
                          <a:noFill/>
                        </a:ln>
                      </pic:spPr>
                    </pic:pic>
                  </a:graphicData>
                </a:graphic>
              </wp:inline>
            </w:drawing>
          </w:r>
        </w:p>
      </w:tc>
      <w:tc>
        <w:tcPr>
          <w:tcW w:w="2266" w:type="dxa"/>
          <w:vAlign w:val="bottom"/>
          <w:hideMark/>
        </w:tcPr>
        <w:p w:rsidR="00626D27" w:rsidRDefault="00626D27" w:rsidP="00626D27">
          <w:pPr>
            <w:tabs>
              <w:tab w:val="left" w:pos="2100"/>
            </w:tabs>
            <w:spacing w:before="0"/>
            <w:jc w:val="right"/>
            <w:rPr>
              <w:rFonts w:eastAsiaTheme="minorHAnsi" w:cstheme="minorBidi"/>
              <w:b/>
              <w:color w:val="228B22"/>
              <w:sz w:val="20"/>
              <w:lang w:eastAsia="en-US"/>
            </w:rPr>
          </w:pPr>
          <w:r>
            <w:rPr>
              <w:rFonts w:eastAsiaTheme="minorHAnsi" w:cstheme="minorBidi"/>
              <w:b/>
              <w:color w:val="228B22"/>
              <w:sz w:val="20"/>
              <w:lang w:eastAsia="en-US"/>
            </w:rPr>
            <w:t>Praxishilfe 5/1</w:t>
          </w:r>
          <w:r>
            <w:rPr>
              <w:rFonts w:eastAsiaTheme="minorHAnsi" w:cstheme="minorBidi"/>
              <w:b/>
              <w:color w:val="228B22"/>
              <w:sz w:val="20"/>
              <w:lang w:eastAsia="en-US"/>
            </w:rPr>
            <w:t>4</w:t>
          </w:r>
        </w:p>
        <w:p w:rsidR="00626D27" w:rsidRDefault="00626D27" w:rsidP="00626D27">
          <w:pPr>
            <w:tabs>
              <w:tab w:val="left" w:pos="2100"/>
            </w:tabs>
            <w:spacing w:before="0"/>
            <w:jc w:val="right"/>
            <w:rPr>
              <w:sz w:val="20"/>
            </w:rPr>
          </w:pPr>
          <w:r>
            <w:rPr>
              <w:rFonts w:eastAsiaTheme="minorHAnsi" w:cstheme="minorBidi"/>
              <w:sz w:val="20"/>
              <w:lang w:eastAsia="en-US"/>
            </w:rPr>
            <w:t>Stand: 01.08.2024</w:t>
          </w:r>
        </w:p>
      </w:tc>
    </w:tr>
  </w:tbl>
  <w:p w:rsidR="009E6C29" w:rsidRPr="00626D27" w:rsidRDefault="009E6C29" w:rsidP="00626D27">
    <w:pPr>
      <w:pStyle w:val="Fuzeile"/>
      <w:rPr>
        <w:rFonts w:eastAsiaTheme="minorHAns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C29" w:rsidRDefault="009E6C29" w:rsidP="00EE217B">
      <w:pPr>
        <w:pStyle w:val="Fuzeile"/>
      </w:pPr>
    </w:p>
    <w:p w:rsidR="009E6C29" w:rsidRPr="00EE217B" w:rsidRDefault="009E6C29" w:rsidP="00EE217B">
      <w:pPr>
        <w:spacing w:before="0"/>
        <w:jc w:val="center"/>
      </w:pPr>
      <w:r w:rsidRPr="00027F72">
        <w:separator/>
      </w:r>
      <w:r w:rsidRPr="00027F72">
        <w:separator/>
      </w:r>
    </w:p>
  </w:footnote>
  <w:footnote w:type="continuationSeparator" w:id="0">
    <w:p w:rsidR="009E6C29" w:rsidRDefault="009E6C29" w:rsidP="00711AB6">
      <w:pPr>
        <w:spacing w:before="0"/>
        <w:jc w:val="center"/>
      </w:pPr>
    </w:p>
    <w:p w:rsidR="009E6C29" w:rsidRPr="00711AB6" w:rsidRDefault="009E6C29" w:rsidP="00711AB6">
      <w:pPr>
        <w:spacing w:before="0"/>
        <w:jc w:val="center"/>
      </w:pPr>
      <w:r w:rsidRPr="00027F72">
        <w:separator/>
      </w:r>
      <w:r w:rsidRPr="00027F72">
        <w:separator/>
      </w:r>
    </w:p>
  </w:footnote>
  <w:footnote w:id="1">
    <w:p w:rsidR="00A307C6" w:rsidRDefault="00A307C6" w:rsidP="00A307C6">
      <w:pPr>
        <w:pStyle w:val="Funotentext"/>
        <w:ind w:left="0" w:firstLine="0"/>
      </w:pPr>
      <w:r>
        <w:rPr>
          <w:rStyle w:val="Funotenzeichen"/>
        </w:rPr>
        <w:footnoteRef/>
      </w:r>
      <w:r>
        <w:t xml:space="preserve"> </w:t>
      </w:r>
      <w:r w:rsidRPr="00757904">
        <w:rPr>
          <w:sz w:val="12"/>
          <w:szCs w:val="12"/>
        </w:rPr>
        <w:t>Diese Informationen unterstützen den Informationsbedarf von Finanzmarktteilnehmern, die der Verordnung (EU) 2019/2088 (SFDR) unterliegen, da sie von einem zusätzlichen Indikator in Bezug auf die wichtigsten negativen Auswirkungen gemäß dem Indikator Nr. 4 in Anhang I Tabelle II der Delegierten Verordnung (EU) 2022/1288 der Kommission in Bezug auf Offenlegungsvorschriften für nachhaltige Investitionen („Investitionen in Unternehmen ohne Initiativen zur Reduktion der CO2-Emissionen“) abgeleitet werden, darüber hinaus stehen sie im Einklang mit Artikel 6 der Delegierten Verordnung (EU) 2020/1818 der Kommission (Verordnung über Referenzwerte für den klimabedingten Wande</w:t>
      </w:r>
      <w:r>
        <w:rPr>
          <w:sz w:val="12"/>
          <w:szCs w:val="12"/>
        </w:rPr>
        <w:t>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FFA" w:rsidRDefault="00BA7FFA" w:rsidP="00BA7FFA">
    <w:pPr>
      <w:pStyle w:val="Kopfzeile"/>
      <w:pBdr>
        <w:bottom w:val="none" w:sz="0" w:space="0" w:color="auto"/>
      </w:pBdr>
    </w:pPr>
  </w:p>
  <w:tbl>
    <w:tblPr>
      <w:tblStyle w:val="Gitternetztabelle4Akzent6"/>
      <w:tblW w:w="908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8B22"/>
      <w:tblLayout w:type="fixed"/>
      <w:tblCellMar>
        <w:top w:w="85" w:type="dxa"/>
        <w:bottom w:w="85" w:type="dxa"/>
      </w:tblCellMar>
      <w:tblLook w:val="04A0" w:firstRow="1" w:lastRow="0" w:firstColumn="1" w:lastColumn="0" w:noHBand="0" w:noVBand="1"/>
    </w:tblPr>
    <w:tblGrid>
      <w:gridCol w:w="989"/>
      <w:gridCol w:w="6661"/>
      <w:gridCol w:w="714"/>
      <w:gridCol w:w="718"/>
    </w:tblGrid>
    <w:tr w:rsidR="00CF77F9" w:rsidRPr="003D0C3F" w:rsidTr="00CF77F9">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989" w:type="dxa"/>
          <w:tcBorders>
            <w:top w:val="none" w:sz="0" w:space="0" w:color="auto"/>
            <w:left w:val="none" w:sz="0" w:space="0" w:color="auto"/>
            <w:bottom w:val="none" w:sz="0" w:space="0" w:color="auto"/>
            <w:right w:val="none" w:sz="0" w:space="0" w:color="auto"/>
          </w:tcBorders>
          <w:shd w:val="clear" w:color="auto" w:fill="C5F1C5"/>
        </w:tcPr>
        <w:p w:rsidR="00CF77F9" w:rsidRPr="00843B06" w:rsidRDefault="00CF77F9" w:rsidP="00CF77F9">
          <w:pPr>
            <w:spacing w:before="0"/>
            <w:contextualSpacing/>
            <w:rPr>
              <w:color w:val="000000" w:themeColor="text1"/>
              <w:sz w:val="20"/>
              <w:szCs w:val="20"/>
            </w:rPr>
          </w:pPr>
          <w:r w:rsidRPr="00843B06">
            <w:rPr>
              <w:color w:val="000000" w:themeColor="text1"/>
              <w:sz w:val="20"/>
              <w:szCs w:val="20"/>
            </w:rPr>
            <w:t>E1-</w:t>
          </w:r>
          <w:r>
            <w:rPr>
              <w:color w:val="000000" w:themeColor="text1"/>
              <w:sz w:val="20"/>
              <w:szCs w:val="20"/>
            </w:rPr>
            <w:t>4</w:t>
          </w:r>
        </w:p>
      </w:tc>
      <w:tc>
        <w:tcPr>
          <w:tcW w:w="6661" w:type="dxa"/>
          <w:tcBorders>
            <w:top w:val="none" w:sz="0" w:space="0" w:color="auto"/>
            <w:left w:val="none" w:sz="0" w:space="0" w:color="auto"/>
            <w:bottom w:val="none" w:sz="0" w:space="0" w:color="auto"/>
            <w:right w:val="none" w:sz="0" w:space="0" w:color="auto"/>
          </w:tcBorders>
          <w:shd w:val="clear" w:color="auto" w:fill="C5F1C5"/>
        </w:tcPr>
        <w:p w:rsidR="00CF77F9" w:rsidRPr="00843B06" w:rsidRDefault="00CF77F9" w:rsidP="00CF77F9">
          <w:pPr>
            <w:spacing w:before="0"/>
            <w:contextualSpacing/>
            <w:jc w:val="left"/>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proofErr w:type="spellStart"/>
          <w:r w:rsidRPr="00BF1F1E">
            <w:rPr>
              <w:color w:val="000000" w:themeColor="text1"/>
              <w:sz w:val="20"/>
              <w:szCs w:val="20"/>
            </w:rPr>
            <w:t>Angabepflicht</w:t>
          </w:r>
          <w:proofErr w:type="spellEnd"/>
          <w:r w:rsidRPr="00BF1F1E">
            <w:rPr>
              <w:color w:val="000000" w:themeColor="text1"/>
              <w:sz w:val="20"/>
              <w:szCs w:val="20"/>
            </w:rPr>
            <w:t xml:space="preserve"> E1-4 – Ziele im Zusammenhang mit dem Klimaschutz und der Anpassung an den Klimawandel</w:t>
          </w:r>
        </w:p>
      </w:tc>
      <w:tc>
        <w:tcPr>
          <w:tcW w:w="714" w:type="dxa"/>
          <w:tcBorders>
            <w:top w:val="none" w:sz="0" w:space="0" w:color="auto"/>
            <w:left w:val="none" w:sz="0" w:space="0" w:color="auto"/>
            <w:bottom w:val="none" w:sz="0" w:space="0" w:color="auto"/>
            <w:right w:val="none" w:sz="0" w:space="0" w:color="auto"/>
          </w:tcBorders>
          <w:shd w:val="clear" w:color="auto" w:fill="auto"/>
        </w:tcPr>
        <w:p w:rsidR="00CF77F9" w:rsidRPr="003C0F68" w:rsidRDefault="00CF77F9" w:rsidP="00CF77F9">
          <w:pPr>
            <w:spacing w:before="0"/>
            <w:contextualSpacing/>
            <w:jc w:val="left"/>
            <w:cnfStyle w:val="100000000000" w:firstRow="1" w:lastRow="0" w:firstColumn="0" w:lastColumn="0" w:oddVBand="0" w:evenVBand="0" w:oddHBand="0" w:evenHBand="0" w:firstRowFirstColumn="0" w:firstRowLastColumn="0" w:lastRowFirstColumn="0" w:lastRowLastColumn="0"/>
            <w:rPr>
              <w:b w:val="0"/>
              <w:bCs w:val="0"/>
              <w:color w:val="000000" w:themeColor="text1"/>
              <w:sz w:val="16"/>
            </w:rPr>
          </w:pPr>
        </w:p>
      </w:tc>
      <w:tc>
        <w:tcPr>
          <w:tcW w:w="718"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rsidR="00CF77F9" w:rsidRPr="003D0C3F" w:rsidRDefault="00CF77F9" w:rsidP="00CF77F9">
          <w:pPr>
            <w:spacing w:before="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sz w:val="24"/>
              <w:szCs w:val="24"/>
            </w:rPr>
            <w:t>23</w:t>
          </w:r>
        </w:p>
      </w:tc>
    </w:tr>
  </w:tbl>
  <w:p w:rsidR="00BA7FFA" w:rsidRPr="00BA7FFA" w:rsidRDefault="00BA7FFA" w:rsidP="00BA7FFA">
    <w:pPr>
      <w:pStyle w:val="Kopfzeile"/>
      <w:pBdr>
        <w:bottom w:val="none" w:sz="0" w:space="0" w:color="auto"/>
      </w:pBdr>
      <w:rPr>
        <w:sz w:val="2"/>
        <w:szCs w:val="2"/>
      </w:rPr>
    </w:pPr>
  </w:p>
  <w:p w:rsidR="009E6C29" w:rsidRPr="00665F75" w:rsidRDefault="009E6C29" w:rsidP="00BA7FFA">
    <w:pPr>
      <w:pStyle w:val="Kopfzeile"/>
      <w:pBdr>
        <w:bottom w:val="none" w:sz="0" w:space="0" w:color="auto"/>
      </w:pBdr>
      <w:spacing w:before="0"/>
      <w:rPr>
        <w:sz w:val="2"/>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C29" w:rsidRPr="00354556" w:rsidRDefault="009E6C29" w:rsidP="00354556">
    <w:pPr>
      <w:pStyle w:val="Kopfzeile"/>
      <w:pBdr>
        <w:bottom w:val="none" w:sz="0" w:space="0" w:color="auto"/>
      </w:pBdr>
      <w:spacing w:before="0"/>
      <w:rPr>
        <w:sz w:val="2"/>
      </w:rPr>
    </w:pPr>
    <w:r w:rsidRPr="00354556">
      <w:rPr>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8" w15:restartNumberingAfterBreak="0">
    <w:nsid w:val="02AF1B19"/>
    <w:multiLevelType w:val="hybridMultilevel"/>
    <w:tmpl w:val="E508F298"/>
    <w:lvl w:ilvl="0" w:tplc="5654671A">
      <w:start w:val="1"/>
      <w:numFmt w:val="lowerLetter"/>
      <w:lvlText w:val="%1)"/>
      <w:lvlJc w:val="left"/>
      <w:pPr>
        <w:ind w:left="720" w:hanging="360"/>
      </w:pPr>
      <w:rPr>
        <w:rFonts w:ascii="Century Gothic" w:hAnsi="Century Gothic" w:hint="default"/>
        <w:b w:val="0"/>
        <w:color w:val="000000" w:themeColor="text1"/>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4A446C4"/>
    <w:multiLevelType w:val="hybridMultilevel"/>
    <w:tmpl w:val="52E2FCD4"/>
    <w:lvl w:ilvl="0" w:tplc="B22CB94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CA70F23"/>
    <w:multiLevelType w:val="hybridMultilevel"/>
    <w:tmpl w:val="B3A8C0D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0AC517C"/>
    <w:multiLevelType w:val="hybridMultilevel"/>
    <w:tmpl w:val="DA605592"/>
    <w:lvl w:ilvl="0" w:tplc="41CEEF3C">
      <w:start w:val="1"/>
      <w:numFmt w:val="bullet"/>
      <w:pStyle w:val="Aufzhlungszeichen"/>
      <w:lvlText w:val=""/>
      <w:lvlJc w:val="left"/>
      <w:pPr>
        <w:ind w:left="1074" w:hanging="360"/>
      </w:pPr>
      <w:rPr>
        <w:rFonts w:ascii="Symbol" w:hAnsi="Symbol" w:hint="default"/>
      </w:rPr>
    </w:lvl>
    <w:lvl w:ilvl="1" w:tplc="04070003">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12" w15:restartNumberingAfterBreak="0">
    <w:nsid w:val="16143A6F"/>
    <w:multiLevelType w:val="multilevel"/>
    <w:tmpl w:val="5E5E9E74"/>
    <w:styleLink w:val="Listen1"/>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3" w15:restartNumberingAfterBreak="0">
    <w:nsid w:val="27186CF5"/>
    <w:multiLevelType w:val="hybridMultilevel"/>
    <w:tmpl w:val="4D3E9CC2"/>
    <w:lvl w:ilvl="0" w:tplc="173CA8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2773CFE"/>
    <w:multiLevelType w:val="hybridMultilevel"/>
    <w:tmpl w:val="ADAC3B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498623C"/>
    <w:multiLevelType w:val="hybridMultilevel"/>
    <w:tmpl w:val="8D56BE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43F5CF7"/>
    <w:multiLevelType w:val="hybridMultilevel"/>
    <w:tmpl w:val="4D3E9CC2"/>
    <w:lvl w:ilvl="0" w:tplc="173CA8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7BA62BE"/>
    <w:multiLevelType w:val="hybridMultilevel"/>
    <w:tmpl w:val="1C3A2FB6"/>
    <w:lvl w:ilvl="0" w:tplc="173CA8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37290E"/>
    <w:multiLevelType w:val="hybridMultilevel"/>
    <w:tmpl w:val="6D9426D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CBB5F51"/>
    <w:multiLevelType w:val="hybridMultilevel"/>
    <w:tmpl w:val="7B4ECF1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DC37609"/>
    <w:multiLevelType w:val="hybridMultilevel"/>
    <w:tmpl w:val="110C3BE8"/>
    <w:lvl w:ilvl="0" w:tplc="9FFAA964">
      <w:start w:val="1"/>
      <w:numFmt w:val="lowerLetter"/>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1672C91"/>
    <w:multiLevelType w:val="hybridMultilevel"/>
    <w:tmpl w:val="4D3E9CC2"/>
    <w:lvl w:ilvl="0" w:tplc="173CA8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1F90E4B"/>
    <w:multiLevelType w:val="hybridMultilevel"/>
    <w:tmpl w:val="1C3A2FB6"/>
    <w:lvl w:ilvl="0" w:tplc="173CA8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63B5398"/>
    <w:multiLevelType w:val="hybridMultilevel"/>
    <w:tmpl w:val="E508F298"/>
    <w:lvl w:ilvl="0" w:tplc="5654671A">
      <w:start w:val="1"/>
      <w:numFmt w:val="lowerLetter"/>
      <w:lvlText w:val="%1)"/>
      <w:lvlJc w:val="left"/>
      <w:pPr>
        <w:ind w:left="720" w:hanging="360"/>
      </w:pPr>
      <w:rPr>
        <w:rFonts w:ascii="Century Gothic" w:hAnsi="Century Gothic" w:hint="default"/>
        <w:b w:val="0"/>
        <w:color w:val="000000" w:themeColor="text1"/>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78D760F"/>
    <w:multiLevelType w:val="hybridMultilevel"/>
    <w:tmpl w:val="C69249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9D71DC"/>
    <w:multiLevelType w:val="hybridMultilevel"/>
    <w:tmpl w:val="4628C72E"/>
    <w:lvl w:ilvl="0" w:tplc="C92E87F4">
      <w:start w:val="1"/>
      <w:numFmt w:val="lowerLetter"/>
      <w:pStyle w:val="Aufzhlungszeichen2"/>
      <w:lvlText w:val="%1."/>
      <w:lvlJc w:val="left"/>
      <w:pPr>
        <w:ind w:left="1074" w:hanging="360"/>
      </w:pPr>
      <w:rPr>
        <w:rFonts w:hint="default"/>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26" w15:restartNumberingAfterBreak="0">
    <w:nsid w:val="6F141DB0"/>
    <w:multiLevelType w:val="hybridMultilevel"/>
    <w:tmpl w:val="4D3E9CC2"/>
    <w:lvl w:ilvl="0" w:tplc="173CA8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4FB22C1"/>
    <w:multiLevelType w:val="hybridMultilevel"/>
    <w:tmpl w:val="F8F20466"/>
    <w:lvl w:ilvl="0" w:tplc="173CA8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D8A6FE6"/>
    <w:multiLevelType w:val="multilevel"/>
    <w:tmpl w:val="50121D20"/>
    <w:lvl w:ilvl="0">
      <w:start w:val="1"/>
      <w:numFmt w:val="decimal"/>
      <w:pStyle w:val="berschrift1"/>
      <w:lvlText w:val="%1."/>
      <w:lvlJc w:val="left"/>
      <w:pPr>
        <w:tabs>
          <w:tab w:val="num" w:pos="1105"/>
        </w:tabs>
        <w:ind w:left="1105" w:hanging="680"/>
      </w:pPr>
      <w:rPr>
        <w:rFonts w:ascii="Arial" w:eastAsiaTheme="minorHAnsi" w:hAnsi="Arial" w:cs="Arial" w:hint="default"/>
      </w:rPr>
    </w:lvl>
    <w:lvl w:ilvl="1">
      <w:start w:val="1"/>
      <w:numFmt w:val="decimal"/>
      <w:pStyle w:val="berschrift2"/>
      <w:lvlText w:val="%1.%2"/>
      <w:lvlJc w:val="left"/>
      <w:pPr>
        <w:tabs>
          <w:tab w:val="num" w:pos="1105"/>
        </w:tabs>
        <w:ind w:left="1105" w:hanging="680"/>
      </w:pPr>
    </w:lvl>
    <w:lvl w:ilvl="2">
      <w:start w:val="1"/>
      <w:numFmt w:val="decimal"/>
      <w:pStyle w:val="berschrift3"/>
      <w:lvlText w:val="%1.%2.%3"/>
      <w:lvlJc w:val="left"/>
      <w:pPr>
        <w:tabs>
          <w:tab w:val="num" w:pos="1105"/>
        </w:tabs>
        <w:ind w:left="1105" w:hanging="680"/>
      </w:pPr>
    </w:lvl>
    <w:lvl w:ilvl="3">
      <w:start w:val="1"/>
      <w:numFmt w:val="decimal"/>
      <w:pStyle w:val="berschrift4"/>
      <w:lvlText w:val="%1.%2.%3.%4"/>
      <w:lvlJc w:val="left"/>
      <w:pPr>
        <w:tabs>
          <w:tab w:val="num" w:pos="1289"/>
        </w:tabs>
        <w:ind w:left="1289" w:hanging="864"/>
      </w:pPr>
    </w:lvl>
    <w:lvl w:ilvl="4">
      <w:start w:val="1"/>
      <w:numFmt w:val="decimal"/>
      <w:pStyle w:val="berschrift5"/>
      <w:lvlText w:val="%1.%2.%3.%4.%5"/>
      <w:lvlJc w:val="left"/>
      <w:pPr>
        <w:tabs>
          <w:tab w:val="num" w:pos="1433"/>
        </w:tabs>
        <w:ind w:left="1433" w:hanging="1008"/>
      </w:pPr>
    </w:lvl>
    <w:lvl w:ilvl="5">
      <w:start w:val="1"/>
      <w:numFmt w:val="decimal"/>
      <w:pStyle w:val="berschrift6"/>
      <w:lvlText w:val="%1.%2.%3.%4.%5.%6"/>
      <w:lvlJc w:val="left"/>
      <w:pPr>
        <w:tabs>
          <w:tab w:val="num" w:pos="1577"/>
        </w:tabs>
        <w:ind w:left="1577" w:hanging="1152"/>
      </w:pPr>
    </w:lvl>
    <w:lvl w:ilvl="6">
      <w:start w:val="1"/>
      <w:numFmt w:val="decimal"/>
      <w:pStyle w:val="berschrift7"/>
      <w:lvlText w:val="%1.%2.%3.%4.%5.%6.%7"/>
      <w:lvlJc w:val="left"/>
      <w:pPr>
        <w:tabs>
          <w:tab w:val="num" w:pos="1721"/>
        </w:tabs>
        <w:ind w:left="1721" w:hanging="1296"/>
      </w:pPr>
    </w:lvl>
    <w:lvl w:ilvl="7">
      <w:start w:val="1"/>
      <w:numFmt w:val="decimal"/>
      <w:pStyle w:val="berschrift8"/>
      <w:lvlText w:val="%1.%2.%3.%4.%5.%6.%7.%8"/>
      <w:lvlJc w:val="left"/>
      <w:pPr>
        <w:tabs>
          <w:tab w:val="num" w:pos="1865"/>
        </w:tabs>
        <w:ind w:left="1865" w:hanging="1440"/>
      </w:pPr>
    </w:lvl>
    <w:lvl w:ilvl="8">
      <w:start w:val="1"/>
      <w:numFmt w:val="decimal"/>
      <w:pStyle w:val="berschrift9"/>
      <w:lvlText w:val="%1.%2.%3.%4.%5.%6.%7.%8.%9"/>
      <w:lvlJc w:val="left"/>
      <w:pPr>
        <w:tabs>
          <w:tab w:val="num" w:pos="2585"/>
        </w:tabs>
        <w:ind w:left="2009" w:hanging="1584"/>
      </w:pPr>
    </w:lvl>
  </w:abstractNum>
  <w:num w:numId="1">
    <w:abstractNumId w:val="2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25"/>
  </w:num>
  <w:num w:numId="12">
    <w:abstractNumId w:val="12"/>
  </w:num>
  <w:num w:numId="13">
    <w:abstractNumId w:val="19"/>
  </w:num>
  <w:num w:numId="14">
    <w:abstractNumId w:val="24"/>
  </w:num>
  <w:num w:numId="15">
    <w:abstractNumId w:val="27"/>
  </w:num>
  <w:num w:numId="16">
    <w:abstractNumId w:val="22"/>
  </w:num>
  <w:num w:numId="17">
    <w:abstractNumId w:val="17"/>
  </w:num>
  <w:num w:numId="18">
    <w:abstractNumId w:val="21"/>
  </w:num>
  <w:num w:numId="19">
    <w:abstractNumId w:val="26"/>
  </w:num>
  <w:num w:numId="20">
    <w:abstractNumId w:val="16"/>
  </w:num>
  <w:num w:numId="21">
    <w:abstractNumId w:val="13"/>
  </w:num>
  <w:num w:numId="22">
    <w:abstractNumId w:val="15"/>
  </w:num>
  <w:num w:numId="23">
    <w:abstractNumId w:val="23"/>
  </w:num>
  <w:num w:numId="24">
    <w:abstractNumId w:val="8"/>
  </w:num>
  <w:num w:numId="25">
    <w:abstractNumId w:val="9"/>
  </w:num>
  <w:num w:numId="26">
    <w:abstractNumId w:val="10"/>
  </w:num>
  <w:num w:numId="27">
    <w:abstractNumId w:val="20"/>
  </w:num>
  <w:num w:numId="28">
    <w:abstractNumId w:val="14"/>
  </w:num>
  <w:num w:numId="2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133121"/>
  </w:hdrShapeDefaults>
  <w:footnotePr>
    <w:numStart w:val="3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FE"/>
    <w:rsid w:val="00002230"/>
    <w:rsid w:val="00002EED"/>
    <w:rsid w:val="000030A9"/>
    <w:rsid w:val="000054E6"/>
    <w:rsid w:val="00010454"/>
    <w:rsid w:val="0001477C"/>
    <w:rsid w:val="000213D0"/>
    <w:rsid w:val="000241F4"/>
    <w:rsid w:val="0002748A"/>
    <w:rsid w:val="00030ECD"/>
    <w:rsid w:val="0003242D"/>
    <w:rsid w:val="0003449D"/>
    <w:rsid w:val="0004061E"/>
    <w:rsid w:val="0004096F"/>
    <w:rsid w:val="000503CF"/>
    <w:rsid w:val="0005326E"/>
    <w:rsid w:val="000616B8"/>
    <w:rsid w:val="00061DFD"/>
    <w:rsid w:val="00064F40"/>
    <w:rsid w:val="000732FA"/>
    <w:rsid w:val="00075E7C"/>
    <w:rsid w:val="00080B9A"/>
    <w:rsid w:val="00086B8A"/>
    <w:rsid w:val="0009344D"/>
    <w:rsid w:val="00097B2B"/>
    <w:rsid w:val="000A1223"/>
    <w:rsid w:val="000B1337"/>
    <w:rsid w:val="000C5E56"/>
    <w:rsid w:val="000C61BA"/>
    <w:rsid w:val="000D349D"/>
    <w:rsid w:val="000D6428"/>
    <w:rsid w:val="000E0C5F"/>
    <w:rsid w:val="000E26F7"/>
    <w:rsid w:val="000E57B4"/>
    <w:rsid w:val="000E7D42"/>
    <w:rsid w:val="000F2D44"/>
    <w:rsid w:val="00106BBE"/>
    <w:rsid w:val="00111AC6"/>
    <w:rsid w:val="00114EA5"/>
    <w:rsid w:val="00115916"/>
    <w:rsid w:val="001205E2"/>
    <w:rsid w:val="00130748"/>
    <w:rsid w:val="00143F11"/>
    <w:rsid w:val="001468B7"/>
    <w:rsid w:val="0015165A"/>
    <w:rsid w:val="001610A2"/>
    <w:rsid w:val="00165A53"/>
    <w:rsid w:val="00180880"/>
    <w:rsid w:val="00182B83"/>
    <w:rsid w:val="00184E10"/>
    <w:rsid w:val="00187E46"/>
    <w:rsid w:val="00192E1F"/>
    <w:rsid w:val="00193E2F"/>
    <w:rsid w:val="00194FDC"/>
    <w:rsid w:val="0019585B"/>
    <w:rsid w:val="001A1B58"/>
    <w:rsid w:val="001A6337"/>
    <w:rsid w:val="001B3F50"/>
    <w:rsid w:val="001B70F1"/>
    <w:rsid w:val="001B7418"/>
    <w:rsid w:val="001B7E25"/>
    <w:rsid w:val="001C0D6B"/>
    <w:rsid w:val="001C1789"/>
    <w:rsid w:val="001D22E2"/>
    <w:rsid w:val="001E1F96"/>
    <w:rsid w:val="001E38E2"/>
    <w:rsid w:val="001E6D78"/>
    <w:rsid w:val="001E7A82"/>
    <w:rsid w:val="001F04DD"/>
    <w:rsid w:val="002051B1"/>
    <w:rsid w:val="002065BE"/>
    <w:rsid w:val="0021047B"/>
    <w:rsid w:val="00213C34"/>
    <w:rsid w:val="00222629"/>
    <w:rsid w:val="00257647"/>
    <w:rsid w:val="0026484F"/>
    <w:rsid w:val="002717FB"/>
    <w:rsid w:val="00273964"/>
    <w:rsid w:val="00280D52"/>
    <w:rsid w:val="00283F41"/>
    <w:rsid w:val="00284FA6"/>
    <w:rsid w:val="00285560"/>
    <w:rsid w:val="00285C0D"/>
    <w:rsid w:val="00290924"/>
    <w:rsid w:val="00291F83"/>
    <w:rsid w:val="0029592F"/>
    <w:rsid w:val="002A064F"/>
    <w:rsid w:val="002A0C98"/>
    <w:rsid w:val="002A29CF"/>
    <w:rsid w:val="002A3549"/>
    <w:rsid w:val="002B17CE"/>
    <w:rsid w:val="002B298F"/>
    <w:rsid w:val="002B37AC"/>
    <w:rsid w:val="002B7B81"/>
    <w:rsid w:val="002B7BC2"/>
    <w:rsid w:val="002B7DF1"/>
    <w:rsid w:val="002C7903"/>
    <w:rsid w:val="002D0908"/>
    <w:rsid w:val="002D7E2D"/>
    <w:rsid w:val="002F09D8"/>
    <w:rsid w:val="002F6B99"/>
    <w:rsid w:val="002F771F"/>
    <w:rsid w:val="00301DCE"/>
    <w:rsid w:val="00304799"/>
    <w:rsid w:val="00316941"/>
    <w:rsid w:val="00340216"/>
    <w:rsid w:val="00342964"/>
    <w:rsid w:val="00352142"/>
    <w:rsid w:val="00354556"/>
    <w:rsid w:val="00360F3D"/>
    <w:rsid w:val="00364269"/>
    <w:rsid w:val="003703D1"/>
    <w:rsid w:val="00376DCD"/>
    <w:rsid w:val="00382BCD"/>
    <w:rsid w:val="003875E4"/>
    <w:rsid w:val="003932A1"/>
    <w:rsid w:val="003A3E64"/>
    <w:rsid w:val="003A6CCF"/>
    <w:rsid w:val="003A6FEB"/>
    <w:rsid w:val="003A7861"/>
    <w:rsid w:val="003B420D"/>
    <w:rsid w:val="003D15FE"/>
    <w:rsid w:val="003D25EC"/>
    <w:rsid w:val="003E348F"/>
    <w:rsid w:val="003E5835"/>
    <w:rsid w:val="003F1B18"/>
    <w:rsid w:val="00402C0A"/>
    <w:rsid w:val="00403766"/>
    <w:rsid w:val="004076E9"/>
    <w:rsid w:val="0041402E"/>
    <w:rsid w:val="00414D05"/>
    <w:rsid w:val="00416098"/>
    <w:rsid w:val="00416270"/>
    <w:rsid w:val="004248A0"/>
    <w:rsid w:val="00425D64"/>
    <w:rsid w:val="004279BD"/>
    <w:rsid w:val="0043323A"/>
    <w:rsid w:val="00433509"/>
    <w:rsid w:val="00440D21"/>
    <w:rsid w:val="00445BB8"/>
    <w:rsid w:val="0044742E"/>
    <w:rsid w:val="00454046"/>
    <w:rsid w:val="00454705"/>
    <w:rsid w:val="00465DB3"/>
    <w:rsid w:val="004703B3"/>
    <w:rsid w:val="0047207E"/>
    <w:rsid w:val="00474BBC"/>
    <w:rsid w:val="004867BC"/>
    <w:rsid w:val="0049126F"/>
    <w:rsid w:val="00494040"/>
    <w:rsid w:val="004B0628"/>
    <w:rsid w:val="004B2234"/>
    <w:rsid w:val="004B32C2"/>
    <w:rsid w:val="004B5526"/>
    <w:rsid w:val="004B5A8E"/>
    <w:rsid w:val="004B6272"/>
    <w:rsid w:val="004B6415"/>
    <w:rsid w:val="004C3CBF"/>
    <w:rsid w:val="004C3F5D"/>
    <w:rsid w:val="004C60FF"/>
    <w:rsid w:val="004D43D5"/>
    <w:rsid w:val="004D52B5"/>
    <w:rsid w:val="004D6C91"/>
    <w:rsid w:val="004E699D"/>
    <w:rsid w:val="004F1A62"/>
    <w:rsid w:val="004F1C26"/>
    <w:rsid w:val="004F1E92"/>
    <w:rsid w:val="0050001B"/>
    <w:rsid w:val="0050152B"/>
    <w:rsid w:val="00503C2E"/>
    <w:rsid w:val="005060F4"/>
    <w:rsid w:val="005101D4"/>
    <w:rsid w:val="005126C2"/>
    <w:rsid w:val="00516C43"/>
    <w:rsid w:val="0052103B"/>
    <w:rsid w:val="00523480"/>
    <w:rsid w:val="00525CDB"/>
    <w:rsid w:val="00527267"/>
    <w:rsid w:val="00527970"/>
    <w:rsid w:val="00533698"/>
    <w:rsid w:val="00534A4B"/>
    <w:rsid w:val="00537185"/>
    <w:rsid w:val="005473EF"/>
    <w:rsid w:val="00547D5B"/>
    <w:rsid w:val="0055136F"/>
    <w:rsid w:val="0055156D"/>
    <w:rsid w:val="00555A08"/>
    <w:rsid w:val="00567521"/>
    <w:rsid w:val="00572574"/>
    <w:rsid w:val="00583AA1"/>
    <w:rsid w:val="0058527F"/>
    <w:rsid w:val="00585859"/>
    <w:rsid w:val="005913EC"/>
    <w:rsid w:val="005921A2"/>
    <w:rsid w:val="0059488F"/>
    <w:rsid w:val="00594C08"/>
    <w:rsid w:val="0059514F"/>
    <w:rsid w:val="005967E6"/>
    <w:rsid w:val="005A05DD"/>
    <w:rsid w:val="005A69F6"/>
    <w:rsid w:val="005B024A"/>
    <w:rsid w:val="005B57D7"/>
    <w:rsid w:val="005B7F7F"/>
    <w:rsid w:val="005C1C85"/>
    <w:rsid w:val="005C5708"/>
    <w:rsid w:val="005D1825"/>
    <w:rsid w:val="005D26BD"/>
    <w:rsid w:val="005D2A74"/>
    <w:rsid w:val="005D4260"/>
    <w:rsid w:val="005D7367"/>
    <w:rsid w:val="005E0577"/>
    <w:rsid w:val="005E07BD"/>
    <w:rsid w:val="005E7803"/>
    <w:rsid w:val="005F30C5"/>
    <w:rsid w:val="005F6F40"/>
    <w:rsid w:val="00626D27"/>
    <w:rsid w:val="00632C1A"/>
    <w:rsid w:val="00633840"/>
    <w:rsid w:val="006415FE"/>
    <w:rsid w:val="006454CF"/>
    <w:rsid w:val="0065198F"/>
    <w:rsid w:val="006521FF"/>
    <w:rsid w:val="00665F75"/>
    <w:rsid w:val="00666AFB"/>
    <w:rsid w:val="0066763B"/>
    <w:rsid w:val="006708AE"/>
    <w:rsid w:val="0068164E"/>
    <w:rsid w:val="00684B37"/>
    <w:rsid w:val="0069771B"/>
    <w:rsid w:val="006A27FA"/>
    <w:rsid w:val="006A4B5D"/>
    <w:rsid w:val="006B3917"/>
    <w:rsid w:val="006B4A4A"/>
    <w:rsid w:val="006B5D9F"/>
    <w:rsid w:val="006C35FE"/>
    <w:rsid w:val="006C4228"/>
    <w:rsid w:val="006D4432"/>
    <w:rsid w:val="006D45A1"/>
    <w:rsid w:val="006D7242"/>
    <w:rsid w:val="006E24F6"/>
    <w:rsid w:val="006E7126"/>
    <w:rsid w:val="006F281C"/>
    <w:rsid w:val="007024CA"/>
    <w:rsid w:val="007026D1"/>
    <w:rsid w:val="00711AB6"/>
    <w:rsid w:val="00715003"/>
    <w:rsid w:val="00716DD5"/>
    <w:rsid w:val="00720E5C"/>
    <w:rsid w:val="00740CB3"/>
    <w:rsid w:val="00742EA1"/>
    <w:rsid w:val="00744577"/>
    <w:rsid w:val="00744772"/>
    <w:rsid w:val="00744C9A"/>
    <w:rsid w:val="0074617E"/>
    <w:rsid w:val="007506E6"/>
    <w:rsid w:val="00757904"/>
    <w:rsid w:val="007626C5"/>
    <w:rsid w:val="00763FC1"/>
    <w:rsid w:val="007648E0"/>
    <w:rsid w:val="00765666"/>
    <w:rsid w:val="00772791"/>
    <w:rsid w:val="0078728B"/>
    <w:rsid w:val="00790130"/>
    <w:rsid w:val="00796513"/>
    <w:rsid w:val="00797F93"/>
    <w:rsid w:val="007A060E"/>
    <w:rsid w:val="007A0F21"/>
    <w:rsid w:val="007A3E0C"/>
    <w:rsid w:val="007A407E"/>
    <w:rsid w:val="007B1945"/>
    <w:rsid w:val="007D3976"/>
    <w:rsid w:val="007D6927"/>
    <w:rsid w:val="007E0249"/>
    <w:rsid w:val="007F3A7C"/>
    <w:rsid w:val="00802ED4"/>
    <w:rsid w:val="00805892"/>
    <w:rsid w:val="0081072B"/>
    <w:rsid w:val="008248D3"/>
    <w:rsid w:val="008318D3"/>
    <w:rsid w:val="00834FC0"/>
    <w:rsid w:val="008471C9"/>
    <w:rsid w:val="008507A2"/>
    <w:rsid w:val="00855B99"/>
    <w:rsid w:val="00861273"/>
    <w:rsid w:val="00862DDF"/>
    <w:rsid w:val="00864BB0"/>
    <w:rsid w:val="00870FFE"/>
    <w:rsid w:val="00872C95"/>
    <w:rsid w:val="00872F5F"/>
    <w:rsid w:val="0087591D"/>
    <w:rsid w:val="00876319"/>
    <w:rsid w:val="008764C8"/>
    <w:rsid w:val="0088020C"/>
    <w:rsid w:val="00884570"/>
    <w:rsid w:val="00891EEA"/>
    <w:rsid w:val="008934ED"/>
    <w:rsid w:val="00896F3B"/>
    <w:rsid w:val="008976BA"/>
    <w:rsid w:val="008A33BD"/>
    <w:rsid w:val="008A5560"/>
    <w:rsid w:val="008B32B7"/>
    <w:rsid w:val="008B4862"/>
    <w:rsid w:val="008C44B0"/>
    <w:rsid w:val="008C4725"/>
    <w:rsid w:val="008D1A8E"/>
    <w:rsid w:val="008E06CC"/>
    <w:rsid w:val="008E0D82"/>
    <w:rsid w:val="008E0FC7"/>
    <w:rsid w:val="008E116B"/>
    <w:rsid w:val="008F75E7"/>
    <w:rsid w:val="009075A9"/>
    <w:rsid w:val="009212B4"/>
    <w:rsid w:val="0092653E"/>
    <w:rsid w:val="009343B2"/>
    <w:rsid w:val="00934C5B"/>
    <w:rsid w:val="00940E01"/>
    <w:rsid w:val="0095198B"/>
    <w:rsid w:val="00952AD1"/>
    <w:rsid w:val="00970211"/>
    <w:rsid w:val="009760D0"/>
    <w:rsid w:val="00977270"/>
    <w:rsid w:val="009773FE"/>
    <w:rsid w:val="00984AAE"/>
    <w:rsid w:val="00985A96"/>
    <w:rsid w:val="009873F3"/>
    <w:rsid w:val="00990776"/>
    <w:rsid w:val="0099236A"/>
    <w:rsid w:val="00994A69"/>
    <w:rsid w:val="00996405"/>
    <w:rsid w:val="009A5B98"/>
    <w:rsid w:val="009A6E64"/>
    <w:rsid w:val="009C0A38"/>
    <w:rsid w:val="009C0BF0"/>
    <w:rsid w:val="009C1E3E"/>
    <w:rsid w:val="009C2FF2"/>
    <w:rsid w:val="009C542C"/>
    <w:rsid w:val="009C6EFB"/>
    <w:rsid w:val="009C7454"/>
    <w:rsid w:val="009C7804"/>
    <w:rsid w:val="009D0798"/>
    <w:rsid w:val="009D429E"/>
    <w:rsid w:val="009E1FB1"/>
    <w:rsid w:val="009E52C9"/>
    <w:rsid w:val="009E6C29"/>
    <w:rsid w:val="009F6E01"/>
    <w:rsid w:val="00A06317"/>
    <w:rsid w:val="00A237ED"/>
    <w:rsid w:val="00A23F62"/>
    <w:rsid w:val="00A307C6"/>
    <w:rsid w:val="00A31197"/>
    <w:rsid w:val="00A5114A"/>
    <w:rsid w:val="00A613A1"/>
    <w:rsid w:val="00A62C9B"/>
    <w:rsid w:val="00A649A3"/>
    <w:rsid w:val="00A7113B"/>
    <w:rsid w:val="00A75CE3"/>
    <w:rsid w:val="00A80F95"/>
    <w:rsid w:val="00A8486F"/>
    <w:rsid w:val="00A87FE5"/>
    <w:rsid w:val="00A90655"/>
    <w:rsid w:val="00A946ED"/>
    <w:rsid w:val="00AA65D6"/>
    <w:rsid w:val="00AB613B"/>
    <w:rsid w:val="00AC17EE"/>
    <w:rsid w:val="00AC3CBC"/>
    <w:rsid w:val="00AD1C9A"/>
    <w:rsid w:val="00AE290A"/>
    <w:rsid w:val="00AE398B"/>
    <w:rsid w:val="00AF1983"/>
    <w:rsid w:val="00AF4845"/>
    <w:rsid w:val="00AF76A2"/>
    <w:rsid w:val="00B114B0"/>
    <w:rsid w:val="00B1324F"/>
    <w:rsid w:val="00B13741"/>
    <w:rsid w:val="00B15817"/>
    <w:rsid w:val="00B1680D"/>
    <w:rsid w:val="00B175D2"/>
    <w:rsid w:val="00B21570"/>
    <w:rsid w:val="00B2286E"/>
    <w:rsid w:val="00B22993"/>
    <w:rsid w:val="00B24281"/>
    <w:rsid w:val="00B261B2"/>
    <w:rsid w:val="00B34064"/>
    <w:rsid w:val="00B3475C"/>
    <w:rsid w:val="00B435CE"/>
    <w:rsid w:val="00B451B0"/>
    <w:rsid w:val="00B45F09"/>
    <w:rsid w:val="00B50770"/>
    <w:rsid w:val="00B57319"/>
    <w:rsid w:val="00B6345C"/>
    <w:rsid w:val="00B66196"/>
    <w:rsid w:val="00B6637D"/>
    <w:rsid w:val="00B73242"/>
    <w:rsid w:val="00B760B6"/>
    <w:rsid w:val="00B77530"/>
    <w:rsid w:val="00B870E2"/>
    <w:rsid w:val="00B91F5A"/>
    <w:rsid w:val="00BA02EC"/>
    <w:rsid w:val="00BA1533"/>
    <w:rsid w:val="00BA1564"/>
    <w:rsid w:val="00BA7590"/>
    <w:rsid w:val="00BA7FFA"/>
    <w:rsid w:val="00BB6D9B"/>
    <w:rsid w:val="00BB730F"/>
    <w:rsid w:val="00BB7EE1"/>
    <w:rsid w:val="00BC0E3E"/>
    <w:rsid w:val="00BC6A51"/>
    <w:rsid w:val="00BD2864"/>
    <w:rsid w:val="00BD37FF"/>
    <w:rsid w:val="00BD62C0"/>
    <w:rsid w:val="00BE368B"/>
    <w:rsid w:val="00BE4FB5"/>
    <w:rsid w:val="00BF0354"/>
    <w:rsid w:val="00BF1F1E"/>
    <w:rsid w:val="00BF2B89"/>
    <w:rsid w:val="00BF7EB9"/>
    <w:rsid w:val="00C02013"/>
    <w:rsid w:val="00C10F24"/>
    <w:rsid w:val="00C24E59"/>
    <w:rsid w:val="00C30D7D"/>
    <w:rsid w:val="00C31157"/>
    <w:rsid w:val="00C407A8"/>
    <w:rsid w:val="00C43D74"/>
    <w:rsid w:val="00C470A2"/>
    <w:rsid w:val="00C50BAE"/>
    <w:rsid w:val="00C61048"/>
    <w:rsid w:val="00C850F9"/>
    <w:rsid w:val="00C8522D"/>
    <w:rsid w:val="00C85BD0"/>
    <w:rsid w:val="00C91AC1"/>
    <w:rsid w:val="00C929A0"/>
    <w:rsid w:val="00C940C7"/>
    <w:rsid w:val="00C9577E"/>
    <w:rsid w:val="00C96727"/>
    <w:rsid w:val="00CA5FDE"/>
    <w:rsid w:val="00CA64ED"/>
    <w:rsid w:val="00CA6FFC"/>
    <w:rsid w:val="00CB24C7"/>
    <w:rsid w:val="00CB3640"/>
    <w:rsid w:val="00CC19EF"/>
    <w:rsid w:val="00CD1A9A"/>
    <w:rsid w:val="00CD4117"/>
    <w:rsid w:val="00CE2C28"/>
    <w:rsid w:val="00CE73C2"/>
    <w:rsid w:val="00CF74D3"/>
    <w:rsid w:val="00CF77F9"/>
    <w:rsid w:val="00CF7BE5"/>
    <w:rsid w:val="00D00009"/>
    <w:rsid w:val="00D0588E"/>
    <w:rsid w:val="00D13823"/>
    <w:rsid w:val="00D13BD1"/>
    <w:rsid w:val="00D239B7"/>
    <w:rsid w:val="00D308D8"/>
    <w:rsid w:val="00D330A7"/>
    <w:rsid w:val="00D3468F"/>
    <w:rsid w:val="00D45365"/>
    <w:rsid w:val="00D61222"/>
    <w:rsid w:val="00D6322C"/>
    <w:rsid w:val="00D65E04"/>
    <w:rsid w:val="00D84143"/>
    <w:rsid w:val="00DA6374"/>
    <w:rsid w:val="00DB3534"/>
    <w:rsid w:val="00DB3B77"/>
    <w:rsid w:val="00DC5CF9"/>
    <w:rsid w:val="00DC7BB1"/>
    <w:rsid w:val="00DD3447"/>
    <w:rsid w:val="00DD5810"/>
    <w:rsid w:val="00DD6816"/>
    <w:rsid w:val="00DE10AB"/>
    <w:rsid w:val="00DE2B44"/>
    <w:rsid w:val="00DE3213"/>
    <w:rsid w:val="00DE699A"/>
    <w:rsid w:val="00DF21AF"/>
    <w:rsid w:val="00DF6B90"/>
    <w:rsid w:val="00E016C0"/>
    <w:rsid w:val="00E051EF"/>
    <w:rsid w:val="00E211D2"/>
    <w:rsid w:val="00E21377"/>
    <w:rsid w:val="00E22C75"/>
    <w:rsid w:val="00E25427"/>
    <w:rsid w:val="00E329E8"/>
    <w:rsid w:val="00E342CA"/>
    <w:rsid w:val="00E3553C"/>
    <w:rsid w:val="00E368C3"/>
    <w:rsid w:val="00E50734"/>
    <w:rsid w:val="00E524C4"/>
    <w:rsid w:val="00E54CF5"/>
    <w:rsid w:val="00E57522"/>
    <w:rsid w:val="00E57793"/>
    <w:rsid w:val="00E61BCD"/>
    <w:rsid w:val="00E64C5B"/>
    <w:rsid w:val="00E65739"/>
    <w:rsid w:val="00E7291B"/>
    <w:rsid w:val="00E72A93"/>
    <w:rsid w:val="00E7492D"/>
    <w:rsid w:val="00E77518"/>
    <w:rsid w:val="00EA0865"/>
    <w:rsid w:val="00EA2ACF"/>
    <w:rsid w:val="00EA6CF6"/>
    <w:rsid w:val="00EA74B3"/>
    <w:rsid w:val="00EB261E"/>
    <w:rsid w:val="00EB6957"/>
    <w:rsid w:val="00EC00F0"/>
    <w:rsid w:val="00ED0BF8"/>
    <w:rsid w:val="00EE1EF1"/>
    <w:rsid w:val="00EE217B"/>
    <w:rsid w:val="00EF2558"/>
    <w:rsid w:val="00EF64CE"/>
    <w:rsid w:val="00F01992"/>
    <w:rsid w:val="00F029CC"/>
    <w:rsid w:val="00F02A61"/>
    <w:rsid w:val="00F06F43"/>
    <w:rsid w:val="00F0747B"/>
    <w:rsid w:val="00F15E00"/>
    <w:rsid w:val="00F16438"/>
    <w:rsid w:val="00F16D23"/>
    <w:rsid w:val="00F2421E"/>
    <w:rsid w:val="00F279E3"/>
    <w:rsid w:val="00F3121A"/>
    <w:rsid w:val="00F35247"/>
    <w:rsid w:val="00F43427"/>
    <w:rsid w:val="00F508B7"/>
    <w:rsid w:val="00F51C00"/>
    <w:rsid w:val="00F51F9C"/>
    <w:rsid w:val="00F579A0"/>
    <w:rsid w:val="00F607DD"/>
    <w:rsid w:val="00F672A4"/>
    <w:rsid w:val="00F67CE6"/>
    <w:rsid w:val="00F67FF5"/>
    <w:rsid w:val="00F70B0E"/>
    <w:rsid w:val="00F87375"/>
    <w:rsid w:val="00F920AB"/>
    <w:rsid w:val="00FA1E51"/>
    <w:rsid w:val="00FA3696"/>
    <w:rsid w:val="00FB19BE"/>
    <w:rsid w:val="00FB74D4"/>
    <w:rsid w:val="00FC2BD6"/>
    <w:rsid w:val="00FC7365"/>
    <w:rsid w:val="00FC75AC"/>
    <w:rsid w:val="00FD0600"/>
    <w:rsid w:val="00FD6CCC"/>
    <w:rsid w:val="00FE5374"/>
    <w:rsid w:val="00FE65A7"/>
    <w:rsid w:val="00FF116A"/>
    <w:rsid w:val="00FF41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6E28BC42"/>
  <w15:docId w15:val="{3BD57837-B969-43FC-9CEA-2971495C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1F96"/>
    <w:pPr>
      <w:spacing w:before="120"/>
      <w:jc w:val="both"/>
    </w:pPr>
    <w:rPr>
      <w:rFonts w:ascii="Century Gothic" w:hAnsi="Century Gothic"/>
      <w:sz w:val="22"/>
    </w:rPr>
  </w:style>
  <w:style w:type="paragraph" w:styleId="berschrift1">
    <w:name w:val="heading 1"/>
    <w:basedOn w:val="Standard"/>
    <w:next w:val="Standardeinzug"/>
    <w:qFormat/>
    <w:rsid w:val="00364269"/>
    <w:pPr>
      <w:keepNext/>
      <w:pageBreakBefore/>
      <w:numPr>
        <w:numId w:val="1"/>
      </w:numPr>
      <w:tabs>
        <w:tab w:val="num" w:pos="709"/>
      </w:tabs>
      <w:suppressAutoHyphens/>
      <w:spacing w:before="0"/>
      <w:ind w:left="709" w:hanging="709"/>
      <w:jc w:val="left"/>
      <w:outlineLvl w:val="0"/>
    </w:pPr>
    <w:rPr>
      <w:rFonts w:ascii="Futura Md BT" w:hAnsi="Futura Md BT"/>
      <w:b/>
      <w:color w:val="00A7DE"/>
      <w:kern w:val="28"/>
      <w:sz w:val="32"/>
    </w:rPr>
  </w:style>
  <w:style w:type="paragraph" w:styleId="berschrift2">
    <w:name w:val="heading 2"/>
    <w:basedOn w:val="berschrift1"/>
    <w:next w:val="Standardeinzug"/>
    <w:qFormat/>
    <w:rsid w:val="00A237ED"/>
    <w:pPr>
      <w:pageBreakBefore w:val="0"/>
      <w:numPr>
        <w:ilvl w:val="1"/>
      </w:numPr>
      <w:tabs>
        <w:tab w:val="left" w:pos="720"/>
      </w:tabs>
      <w:suppressAutoHyphens w:val="0"/>
      <w:spacing w:before="480"/>
      <w:ind w:left="709" w:hanging="709"/>
      <w:outlineLvl w:val="1"/>
    </w:pPr>
    <w:rPr>
      <w:sz w:val="28"/>
    </w:rPr>
  </w:style>
  <w:style w:type="paragraph" w:styleId="berschrift3">
    <w:name w:val="heading 3"/>
    <w:basedOn w:val="berschrift2"/>
    <w:next w:val="Standardeinzug"/>
    <w:qFormat/>
    <w:rsid w:val="00CB24C7"/>
    <w:pPr>
      <w:numPr>
        <w:ilvl w:val="2"/>
      </w:numPr>
      <w:spacing w:before="360"/>
      <w:ind w:left="709" w:hanging="709"/>
      <w:outlineLvl w:val="2"/>
    </w:pPr>
    <w:rPr>
      <w:sz w:val="24"/>
    </w:rPr>
  </w:style>
  <w:style w:type="paragraph" w:styleId="berschrift4">
    <w:name w:val="heading 4"/>
    <w:basedOn w:val="berschrift3"/>
    <w:next w:val="Standardeinzug"/>
    <w:qFormat/>
    <w:pPr>
      <w:numPr>
        <w:ilvl w:val="3"/>
      </w:numPr>
      <w:spacing w:before="240"/>
      <w:ind w:left="720" w:hanging="720"/>
      <w:outlineLvl w:val="3"/>
    </w:pPr>
    <w:rPr>
      <w:b w:val="0"/>
    </w:rPr>
  </w:style>
  <w:style w:type="paragraph" w:styleId="berschrift5">
    <w:name w:val="heading 5"/>
    <w:basedOn w:val="berschrift4"/>
    <w:next w:val="Standard"/>
    <w:pPr>
      <w:numPr>
        <w:ilvl w:val="4"/>
      </w:numPr>
      <w:ind w:left="720" w:hanging="720"/>
      <w:outlineLvl w:val="4"/>
    </w:pPr>
  </w:style>
  <w:style w:type="paragraph" w:styleId="berschrift6">
    <w:name w:val="heading 6"/>
    <w:basedOn w:val="berschrift5"/>
    <w:next w:val="Standard"/>
    <w:pPr>
      <w:numPr>
        <w:ilvl w:val="5"/>
      </w:numPr>
      <w:ind w:left="720" w:hanging="720"/>
      <w:outlineLvl w:val="5"/>
    </w:pPr>
  </w:style>
  <w:style w:type="paragraph" w:styleId="berschrift7">
    <w:name w:val="heading 7"/>
    <w:basedOn w:val="berschrift6"/>
    <w:next w:val="Standard"/>
    <w:pPr>
      <w:numPr>
        <w:ilvl w:val="6"/>
      </w:numPr>
      <w:ind w:left="720" w:hanging="720"/>
      <w:outlineLvl w:val="6"/>
    </w:pPr>
  </w:style>
  <w:style w:type="paragraph" w:styleId="berschrift8">
    <w:name w:val="heading 8"/>
    <w:basedOn w:val="berschrift7"/>
    <w:next w:val="Standard"/>
    <w:pPr>
      <w:numPr>
        <w:ilvl w:val="7"/>
      </w:numPr>
      <w:ind w:left="720" w:hanging="720"/>
      <w:outlineLvl w:val="7"/>
    </w:pPr>
  </w:style>
  <w:style w:type="paragraph" w:styleId="berschrift9">
    <w:name w:val="heading 9"/>
    <w:basedOn w:val="berschrift8"/>
    <w:next w:val="Standard"/>
    <w:pPr>
      <w:numPr>
        <w:ilvl w:val="8"/>
      </w:numPr>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qFormat/>
    <w:pPr>
      <w:tabs>
        <w:tab w:val="right" w:leader="dot" w:pos="8505"/>
      </w:tabs>
      <w:spacing w:before="240"/>
      <w:ind w:left="680" w:right="424" w:hanging="680"/>
      <w:jc w:val="left"/>
    </w:pPr>
    <w:rPr>
      <w:b/>
      <w:noProof/>
    </w:rPr>
  </w:style>
  <w:style w:type="paragraph" w:styleId="Verzeichnis2">
    <w:name w:val="toc 2"/>
    <w:basedOn w:val="Verzeichnis1"/>
    <w:next w:val="Standard"/>
    <w:autoRedefine/>
    <w:uiPriority w:val="39"/>
    <w:qFormat/>
    <w:pPr>
      <w:tabs>
        <w:tab w:val="left" w:pos="680"/>
      </w:tabs>
      <w:spacing w:before="120"/>
    </w:pPr>
    <w:rPr>
      <w:b w:val="0"/>
    </w:rPr>
  </w:style>
  <w:style w:type="paragraph" w:styleId="Verzeichnis3">
    <w:name w:val="toc 3"/>
    <w:basedOn w:val="Verzeichnis2"/>
    <w:next w:val="Standard"/>
    <w:autoRedefine/>
    <w:uiPriority w:val="39"/>
    <w:qFormat/>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einzug"/>
    <w:qFormat/>
    <w:rsid w:val="0055156D"/>
    <w:pPr>
      <w:spacing w:before="0"/>
      <w:ind w:left="1985" w:hanging="1276"/>
      <w:jc w:val="left"/>
    </w:pPr>
    <w:rPr>
      <w:sz w:val="20"/>
    </w:rPr>
  </w:style>
  <w:style w:type="character" w:styleId="Funotenzeichen">
    <w:name w:val="footnote reference"/>
    <w:semiHidden/>
    <w:rsid w:val="00DD3447"/>
    <w:rPr>
      <w:szCs w:val="24"/>
      <w:vertAlign w:val="superscript"/>
    </w:rPr>
  </w:style>
  <w:style w:type="paragraph" w:styleId="Sprechblasentext">
    <w:name w:val="Balloon Text"/>
    <w:basedOn w:val="Standard"/>
    <w:link w:val="SprechblasentextZchn"/>
    <w:uiPriority w:val="99"/>
    <w:semiHidden/>
    <w:unhideWhenUsed/>
    <w:rsid w:val="006E7126"/>
    <w:pPr>
      <w:spacing w:before="0"/>
    </w:pPr>
    <w:rPr>
      <w:rFonts w:ascii="Tahoma" w:hAnsi="Tahoma" w:cs="Tahoma"/>
      <w:sz w:val="16"/>
      <w:szCs w:val="16"/>
    </w:rPr>
  </w:style>
  <w:style w:type="paragraph" w:customStyle="1" w:styleId="Computerprogramm">
    <w:name w:val="Computerprogramm"/>
    <w:basedOn w:val="Standard"/>
    <w:rsid w:val="0000223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noProof/>
      <w:sz w:val="20"/>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002230"/>
    <w:pPr>
      <w:jc w:val="left"/>
    </w:pPr>
  </w:style>
  <w:style w:type="paragraph" w:styleId="Funotentext">
    <w:name w:val="footnote text"/>
    <w:basedOn w:val="Standard"/>
    <w:semiHidden/>
    <w:qFormat/>
    <w:rsid w:val="001E1F96"/>
    <w:pPr>
      <w:tabs>
        <w:tab w:val="left" w:pos="142"/>
      </w:tabs>
      <w:spacing w:before="60"/>
      <w:ind w:left="108" w:hanging="108"/>
      <w:jc w:val="left"/>
    </w:pPr>
    <w:rPr>
      <w:sz w:val="14"/>
    </w:rPr>
  </w:style>
  <w:style w:type="paragraph" w:styleId="Kopfzeile">
    <w:name w:val="header"/>
    <w:basedOn w:val="Standard"/>
    <w:link w:val="KopfzeileZchn"/>
    <w:uiPriority w:val="99"/>
    <w:pPr>
      <w:pBdr>
        <w:bottom w:val="single" w:sz="4" w:space="1" w:color="auto"/>
      </w:pBdr>
      <w:tabs>
        <w:tab w:val="right" w:pos="7938"/>
      </w:tabs>
    </w:pPr>
    <w:rPr>
      <w:sz w:val="20"/>
    </w:rPr>
  </w:style>
  <w:style w:type="paragraph" w:styleId="Abbildungsverzeichnis">
    <w:name w:val="table of figures"/>
    <w:basedOn w:val="Verzeichnis3"/>
    <w:next w:val="Standard"/>
    <w:autoRedefine/>
    <w:uiPriority w:val="99"/>
    <w:rsid w:val="00A613A1"/>
    <w:pPr>
      <w:tabs>
        <w:tab w:val="clear" w:pos="680"/>
        <w:tab w:val="clear" w:pos="1004"/>
        <w:tab w:val="clear" w:pos="8505"/>
        <w:tab w:val="right" w:leader="dot" w:pos="9072"/>
      </w:tabs>
      <w:ind w:left="709" w:hanging="709"/>
    </w:pPr>
  </w:style>
  <w:style w:type="paragraph" w:styleId="Aufzhlungszeichen2">
    <w:name w:val="List Bullet 2"/>
    <w:basedOn w:val="Listenabsatz"/>
    <w:next w:val="Standardeinzug"/>
    <w:qFormat/>
    <w:rsid w:val="0055156D"/>
    <w:pPr>
      <w:numPr>
        <w:numId w:val="11"/>
      </w:numPr>
      <w:spacing w:before="60" w:after="60"/>
      <w:ind w:left="1134" w:hanging="420"/>
      <w:contextualSpacing w:val="0"/>
    </w:pPr>
  </w:style>
  <w:style w:type="paragraph" w:customStyle="1" w:styleId="Abbildung">
    <w:name w:val="Abbildung"/>
    <w:basedOn w:val="Standard"/>
    <w:next w:val="Beschriftung"/>
    <w:qFormat/>
    <w:rsid w:val="00CB24C7"/>
    <w:pPr>
      <w:keepNext/>
      <w:ind w:left="709"/>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Listenabsatz"/>
    <w:next w:val="Standardeinzug"/>
    <w:qFormat/>
    <w:rsid w:val="0055156D"/>
    <w:pPr>
      <w:numPr>
        <w:numId w:val="10"/>
      </w:numPr>
      <w:spacing w:before="60" w:after="60"/>
      <w:ind w:left="1134" w:hanging="420"/>
      <w:contextualSpacing w:val="0"/>
    </w:pPr>
  </w:style>
  <w:style w:type="paragraph" w:styleId="Zitat">
    <w:name w:val="Quote"/>
    <w:basedOn w:val="Standard"/>
    <w:qFormat/>
    <w:rsid w:val="005473EF"/>
    <w:pPr>
      <w:spacing w:before="0"/>
    </w:pPr>
    <w:rPr>
      <w:i/>
      <w:sz w:val="20"/>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ind w:left="198" w:hanging="198"/>
    </w:pPr>
    <w:rPr>
      <w:noProof/>
    </w:rPr>
  </w:style>
  <w:style w:type="paragraph" w:styleId="Index2">
    <w:name w:val="index 2"/>
    <w:basedOn w:val="Standard"/>
    <w:next w:val="Standard"/>
    <w:autoRedefine/>
    <w:semiHidden/>
    <w:pPr>
      <w:ind w:left="396" w:hanging="198"/>
    </w:pPr>
  </w:style>
  <w:style w:type="paragraph" w:styleId="Index3">
    <w:name w:val="index 3"/>
    <w:basedOn w:val="Standard"/>
    <w:next w:val="Standard"/>
    <w:autoRedefine/>
    <w:semiHidden/>
    <w:pPr>
      <w:ind w:left="601" w:hanging="198"/>
    </w:pPr>
  </w:style>
  <w:style w:type="paragraph" w:styleId="Index4">
    <w:name w:val="index 4"/>
    <w:basedOn w:val="Standard"/>
    <w:next w:val="Standard"/>
    <w:autoRedefine/>
    <w:semiHidden/>
    <w:pPr>
      <w:ind w:left="799" w:hanging="198"/>
    </w:pPr>
  </w:style>
  <w:style w:type="paragraph" w:styleId="Index5">
    <w:name w:val="index 5"/>
    <w:basedOn w:val="Standard"/>
    <w:next w:val="Standard"/>
    <w:autoRedefine/>
    <w:semiHidden/>
    <w:pPr>
      <w:ind w:left="997" w:hanging="198"/>
    </w:pPr>
  </w:style>
  <w:style w:type="paragraph" w:styleId="Index6">
    <w:name w:val="index 6"/>
    <w:basedOn w:val="Standard"/>
    <w:next w:val="Standard"/>
    <w:autoRedefine/>
    <w:semiHidden/>
    <w:pPr>
      <w:ind w:left="1196" w:hanging="198"/>
    </w:pPr>
  </w:style>
  <w:style w:type="paragraph" w:styleId="Index7">
    <w:name w:val="index 7"/>
    <w:basedOn w:val="Standard"/>
    <w:next w:val="Standard"/>
    <w:autoRedefine/>
    <w:semiHidden/>
    <w:pPr>
      <w:ind w:left="1400" w:hanging="198"/>
    </w:pPr>
  </w:style>
  <w:style w:type="paragraph" w:styleId="Index8">
    <w:name w:val="index 8"/>
    <w:basedOn w:val="Standard"/>
    <w:next w:val="Standard"/>
    <w:autoRedefine/>
    <w:semiHidden/>
    <w:pPr>
      <w:ind w:left="1598" w:hanging="198"/>
    </w:pPr>
  </w:style>
  <w:style w:type="paragraph" w:styleId="Index9">
    <w:name w:val="index 9"/>
    <w:basedOn w:val="Standard"/>
    <w:next w:val="Standard"/>
    <w:autoRedefine/>
    <w:semiHidden/>
    <w:pPr>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5"/>
      </w:numPr>
      <w:tabs>
        <w:tab w:val="clear" w:pos="360"/>
        <w:tab w:val="num" w:pos="357"/>
      </w:tabs>
      <w:ind w:left="357" w:hanging="357"/>
    </w:pPr>
  </w:style>
  <w:style w:type="paragraph" w:styleId="Listennummer2">
    <w:name w:val="List Number 2"/>
    <w:basedOn w:val="Standard"/>
    <w:semiHidden/>
    <w:pPr>
      <w:numPr>
        <w:numId w:val="6"/>
      </w:numPr>
      <w:tabs>
        <w:tab w:val="clear" w:pos="643"/>
        <w:tab w:val="num" w:pos="357"/>
      </w:tabs>
      <w:ind w:left="714" w:hanging="357"/>
    </w:pPr>
  </w:style>
  <w:style w:type="paragraph" w:styleId="Listennummer3">
    <w:name w:val="List Number 3"/>
    <w:basedOn w:val="Standard"/>
    <w:semiHidden/>
    <w:pPr>
      <w:numPr>
        <w:numId w:val="7"/>
      </w:numPr>
      <w:tabs>
        <w:tab w:val="clear" w:pos="926"/>
        <w:tab w:val="right" w:pos="1077"/>
      </w:tabs>
      <w:ind w:left="1077" w:hanging="357"/>
    </w:pPr>
  </w:style>
  <w:style w:type="paragraph" w:styleId="Listennummer4">
    <w:name w:val="List Number 4"/>
    <w:basedOn w:val="Standard"/>
    <w:semiHidden/>
    <w:pPr>
      <w:numPr>
        <w:numId w:val="8"/>
      </w:numPr>
      <w:tabs>
        <w:tab w:val="clear" w:pos="1209"/>
        <w:tab w:val="right" w:pos="1440"/>
      </w:tabs>
      <w:ind w:left="1434" w:hanging="357"/>
    </w:pPr>
  </w:style>
  <w:style w:type="paragraph" w:styleId="Listennummer5">
    <w:name w:val="List Number 5"/>
    <w:basedOn w:val="Standard"/>
    <w:semiHidden/>
    <w:pPr>
      <w:numPr>
        <w:numId w:val="9"/>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qFormat/>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002230"/>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002230"/>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3"/>
      </w:numPr>
      <w:tabs>
        <w:tab w:val="clear" w:pos="1209"/>
        <w:tab w:val="right" w:pos="1440"/>
      </w:tabs>
      <w:ind w:left="1434" w:hanging="357"/>
    </w:pPr>
  </w:style>
  <w:style w:type="paragraph" w:styleId="Aufzhlungszeichen5">
    <w:name w:val="List Bullet 5"/>
    <w:basedOn w:val="Standard"/>
    <w:semiHidden/>
    <w:pPr>
      <w:numPr>
        <w:numId w:val="4"/>
      </w:numPr>
      <w:tabs>
        <w:tab w:val="clear" w:pos="1492"/>
        <w:tab w:val="num" w:pos="1786"/>
      </w:tabs>
      <w:ind w:left="1797" w:hanging="357"/>
    </w:pPr>
  </w:style>
  <w:style w:type="paragraph" w:styleId="Aufzhlungszeichen3">
    <w:name w:val="List Bullet 3"/>
    <w:basedOn w:val="Standard"/>
    <w:semiHidden/>
    <w:qFormat/>
    <w:pPr>
      <w:numPr>
        <w:numId w:val="2"/>
      </w:numPr>
      <w:tabs>
        <w:tab w:val="clear" w:pos="926"/>
        <w:tab w:val="left" w:pos="1077"/>
      </w:tabs>
      <w:ind w:left="1077" w:hanging="357"/>
    </w:pPr>
  </w:style>
  <w:style w:type="paragraph" w:customStyle="1" w:styleId="Tabellenberschrift">
    <w:name w:val="Tabellenüberschrift"/>
    <w:basedOn w:val="Beschriftung"/>
    <w:next w:val="Standardeinzug"/>
    <w:qFormat/>
    <w:rsid w:val="007E0249"/>
    <w:pPr>
      <w:keepNext/>
      <w:spacing w:before="120" w:after="120"/>
      <w:ind w:left="1701" w:hanging="992"/>
    </w:pPr>
  </w:style>
  <w:style w:type="character" w:customStyle="1" w:styleId="UntertitelZchn">
    <w:name w:val="Untertitel Zchn"/>
    <w:link w:val="Untertitel"/>
    <w:rsid w:val="00002230"/>
    <w:rPr>
      <w:rFonts w:ascii="Century Gothic" w:hAnsi="Century Gothic"/>
      <w:sz w:val="32"/>
    </w:rPr>
  </w:style>
  <w:style w:type="character" w:customStyle="1" w:styleId="TitelZchn">
    <w:name w:val="Titel Zchn"/>
    <w:basedOn w:val="Absatz-Standardschriftart"/>
    <w:link w:val="Titel"/>
    <w:rsid w:val="00002230"/>
    <w:rPr>
      <w:rFonts w:ascii="Century Gothic" w:hAnsi="Century Gothic"/>
      <w:b/>
      <w:kern w:val="28"/>
      <w:sz w:val="44"/>
    </w:rPr>
  </w:style>
  <w:style w:type="paragraph" w:styleId="Inhaltsverzeichnisberschrift">
    <w:name w:val="TOC Heading"/>
    <w:basedOn w:val="berschrift1"/>
    <w:next w:val="Standard"/>
    <w:uiPriority w:val="39"/>
    <w:semiHidden/>
    <w:unhideWhenUsed/>
    <w:qFormat/>
    <w:rsid w:val="00E57793"/>
    <w:pPr>
      <w:keepLines/>
      <w:pageBreakBefore w:val="0"/>
      <w:numPr>
        <w:numId w:val="0"/>
      </w:numPr>
      <w:tabs>
        <w:tab w:val="num" w:pos="1105"/>
      </w:tabs>
      <w:suppressAutoHyphens w:val="0"/>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table" w:styleId="Tabellenraster">
    <w:name w:val="Table Grid"/>
    <w:basedOn w:val="NormaleTabelle"/>
    <w:uiPriority w:val="59"/>
    <w:rsid w:val="00E5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A064F"/>
    <w:rPr>
      <w:sz w:val="24"/>
    </w:rPr>
  </w:style>
  <w:style w:type="paragraph" w:styleId="Listenabsatz">
    <w:name w:val="List Paragraph"/>
    <w:basedOn w:val="Standard"/>
    <w:uiPriority w:val="34"/>
    <w:rsid w:val="00E61BCD"/>
    <w:pPr>
      <w:ind w:left="720"/>
      <w:contextualSpacing/>
    </w:pPr>
  </w:style>
  <w:style w:type="numbering" w:customStyle="1" w:styleId="Listen1">
    <w:name w:val="Listen1"/>
    <w:basedOn w:val="KeineListe"/>
    <w:uiPriority w:val="99"/>
    <w:rsid w:val="00B15817"/>
    <w:pPr>
      <w:numPr>
        <w:numId w:val="12"/>
      </w:numPr>
    </w:pPr>
  </w:style>
  <w:style w:type="character" w:styleId="Hervorhebung">
    <w:name w:val="Emphasis"/>
    <w:basedOn w:val="Absatz-Standardschriftart"/>
    <w:uiPriority w:val="20"/>
    <w:rsid w:val="00B15817"/>
    <w:rPr>
      <w:i w:val="0"/>
      <w:iCs/>
      <w:color w:val="FF0000"/>
    </w:rPr>
  </w:style>
  <w:style w:type="character" w:styleId="SchwacheHervorhebung">
    <w:name w:val="Subtle Emphasis"/>
    <w:basedOn w:val="Absatz-Standardschriftart"/>
    <w:uiPriority w:val="19"/>
    <w:rsid w:val="00B15817"/>
    <w:rPr>
      <w:b/>
      <w:i w:val="0"/>
      <w:iCs/>
      <w:color w:val="FF0000"/>
    </w:rPr>
  </w:style>
  <w:style w:type="character" w:customStyle="1" w:styleId="HervorhebungROT">
    <w:name w:val="Hervorhebung ROT"/>
    <w:uiPriority w:val="1"/>
    <w:qFormat/>
    <w:rsid w:val="001E1F96"/>
    <w:rPr>
      <w:rFonts w:ascii="Century Gothic" w:hAnsi="Century Gothic"/>
      <w:b/>
      <w:color w:val="FF0000"/>
      <w:sz w:val="22"/>
    </w:rPr>
  </w:style>
  <w:style w:type="character" w:customStyle="1" w:styleId="HervorhebungBLAU">
    <w:name w:val="Hervorhebung BLAU"/>
    <w:basedOn w:val="Absatz-Standardschriftart"/>
    <w:uiPriority w:val="1"/>
    <w:qFormat/>
    <w:rsid w:val="001E1F96"/>
    <w:rPr>
      <w:rFonts w:ascii="Century Gothic" w:hAnsi="Century Gothic"/>
      <w:b/>
      <w:color w:val="00B0F0"/>
      <w:sz w:val="22"/>
      <w:u w:val="none"/>
    </w:rPr>
  </w:style>
  <w:style w:type="character" w:customStyle="1" w:styleId="HervorhebenSCHWARZ">
    <w:name w:val="Hervorheben SCHWARZ"/>
    <w:basedOn w:val="Absatz-Standardschriftart"/>
    <w:uiPriority w:val="1"/>
    <w:qFormat/>
    <w:rsid w:val="001E1F96"/>
    <w:rPr>
      <w:rFonts w:ascii="Century Gothic" w:hAnsi="Century Gothic"/>
      <w:b/>
      <w:color w:val="auto"/>
      <w:sz w:val="20"/>
      <w:u w:val="none"/>
    </w:rPr>
  </w:style>
  <w:style w:type="character" w:customStyle="1" w:styleId="KommentartextZchn">
    <w:name w:val="Kommentartext Zchn"/>
    <w:basedOn w:val="Absatz-Standardschriftart"/>
    <w:link w:val="Kommentartext"/>
    <w:semiHidden/>
    <w:rsid w:val="009075A9"/>
    <w:rPr>
      <w:rFonts w:ascii="Futura-Book" w:hAnsi="Futura-Book"/>
      <w:sz w:val="24"/>
    </w:rPr>
  </w:style>
  <w:style w:type="paragraph" w:customStyle="1" w:styleId="Text">
    <w:name w:val="Text"/>
    <w:basedOn w:val="Standard"/>
    <w:rsid w:val="000503CF"/>
    <w:pPr>
      <w:spacing w:before="0" w:after="60"/>
      <w:jc w:val="left"/>
    </w:pPr>
    <w:rPr>
      <w:rFonts w:ascii="Arial" w:hAnsi="Arial"/>
    </w:rPr>
  </w:style>
  <w:style w:type="paragraph" w:customStyle="1" w:styleId="TabBeschr">
    <w:name w:val="Tab_Beschr"/>
    <w:basedOn w:val="Standard"/>
    <w:rsid w:val="000503CF"/>
    <w:pPr>
      <w:spacing w:before="0"/>
      <w:jc w:val="left"/>
    </w:pPr>
    <w:rPr>
      <w:rFonts w:ascii="Arial" w:hAnsi="Arial"/>
      <w:b/>
      <w:sz w:val="20"/>
    </w:rPr>
  </w:style>
  <w:style w:type="paragraph" w:customStyle="1" w:styleId="Abstand">
    <w:name w:val="Abstand"/>
    <w:basedOn w:val="Standard"/>
    <w:rsid w:val="000503CF"/>
    <w:pPr>
      <w:spacing w:before="0"/>
      <w:jc w:val="left"/>
    </w:pPr>
    <w:rPr>
      <w:rFonts w:ascii="Arial" w:hAnsi="Arial"/>
      <w:sz w:val="16"/>
    </w:rPr>
  </w:style>
  <w:style w:type="paragraph" w:customStyle="1" w:styleId="Hinweisausgeblendet">
    <w:name w:val="Hinweis ausgeblendet"/>
    <w:basedOn w:val="Standard"/>
    <w:link w:val="HinweisausgeblendetZchn"/>
    <w:qFormat/>
    <w:rsid w:val="000503CF"/>
    <w:pPr>
      <w:spacing w:before="60"/>
      <w:jc w:val="left"/>
    </w:pPr>
    <w:rPr>
      <w:rFonts w:ascii="Arial" w:hAnsi="Arial" w:cs="Arial"/>
      <w:i/>
      <w:iCs/>
      <w:vanish/>
      <w:color w:val="0070C0"/>
    </w:rPr>
  </w:style>
  <w:style w:type="character" w:customStyle="1" w:styleId="HinweisausgeblendetZchn">
    <w:name w:val="Hinweis ausgeblendet Zchn"/>
    <w:link w:val="Hinweisausgeblendet"/>
    <w:rsid w:val="000503CF"/>
    <w:rPr>
      <w:rFonts w:ascii="Arial" w:hAnsi="Arial" w:cs="Arial"/>
      <w:i/>
      <w:iCs/>
      <w:vanish/>
      <w:color w:val="0070C0"/>
      <w:sz w:val="22"/>
    </w:rPr>
  </w:style>
  <w:style w:type="paragraph" w:styleId="StandardWeb">
    <w:name w:val="Normal (Web)"/>
    <w:basedOn w:val="Standard"/>
    <w:uiPriority w:val="99"/>
    <w:semiHidden/>
    <w:unhideWhenUsed/>
    <w:rsid w:val="00772791"/>
    <w:pPr>
      <w:spacing w:before="100" w:beforeAutospacing="1" w:after="100" w:afterAutospacing="1"/>
      <w:jc w:val="left"/>
    </w:pPr>
    <w:rPr>
      <w:rFonts w:ascii="Times New Roman" w:hAnsi="Times New Roman"/>
      <w:sz w:val="24"/>
      <w:szCs w:val="24"/>
    </w:rPr>
  </w:style>
  <w:style w:type="table" w:styleId="Gitternetztabelle4Akzent6">
    <w:name w:val="Grid Table 4 Accent 6"/>
    <w:basedOn w:val="NormaleTabelle"/>
    <w:uiPriority w:val="49"/>
    <w:rsid w:val="00666AFB"/>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8E116B"/>
    <w:pPr>
      <w:autoSpaceDE w:val="0"/>
      <w:autoSpaceDN w:val="0"/>
      <w:adjustRightInd w:val="0"/>
    </w:pPr>
    <w:rPr>
      <w:rFonts w:ascii="EUAlbertina" w:hAnsi="EUAlbertina" w:cs="EUAlbertina"/>
      <w:color w:val="000000"/>
      <w:sz w:val="24"/>
      <w:szCs w:val="24"/>
    </w:rPr>
  </w:style>
  <w:style w:type="character" w:customStyle="1" w:styleId="KopfzeileZchn">
    <w:name w:val="Kopfzeile Zchn"/>
    <w:basedOn w:val="Absatz-Standardschriftart"/>
    <w:link w:val="Kopfzeile"/>
    <w:uiPriority w:val="99"/>
    <w:rsid w:val="00BA7FFA"/>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90362">
      <w:bodyDiv w:val="1"/>
      <w:marLeft w:val="0"/>
      <w:marRight w:val="0"/>
      <w:marTop w:val="0"/>
      <w:marBottom w:val="0"/>
      <w:divBdr>
        <w:top w:val="none" w:sz="0" w:space="0" w:color="auto"/>
        <w:left w:val="none" w:sz="0" w:space="0" w:color="auto"/>
        <w:bottom w:val="none" w:sz="0" w:space="0" w:color="auto"/>
        <w:right w:val="none" w:sz="0" w:space="0" w:color="auto"/>
      </w:divBdr>
    </w:div>
    <w:div w:id="157576915">
      <w:bodyDiv w:val="1"/>
      <w:marLeft w:val="0"/>
      <w:marRight w:val="0"/>
      <w:marTop w:val="0"/>
      <w:marBottom w:val="0"/>
      <w:divBdr>
        <w:top w:val="none" w:sz="0" w:space="0" w:color="auto"/>
        <w:left w:val="none" w:sz="0" w:space="0" w:color="auto"/>
        <w:bottom w:val="none" w:sz="0" w:space="0" w:color="auto"/>
        <w:right w:val="none" w:sz="0" w:space="0" w:color="auto"/>
      </w:divBdr>
      <w:divsChild>
        <w:div w:id="2056659179">
          <w:marLeft w:val="547"/>
          <w:marRight w:val="0"/>
          <w:marTop w:val="120"/>
          <w:marBottom w:val="120"/>
          <w:divBdr>
            <w:top w:val="none" w:sz="0" w:space="0" w:color="auto"/>
            <w:left w:val="none" w:sz="0" w:space="0" w:color="auto"/>
            <w:bottom w:val="none" w:sz="0" w:space="0" w:color="auto"/>
            <w:right w:val="none" w:sz="0" w:space="0" w:color="auto"/>
          </w:divBdr>
        </w:div>
        <w:div w:id="2000039636">
          <w:marLeft w:val="547"/>
          <w:marRight w:val="0"/>
          <w:marTop w:val="120"/>
          <w:marBottom w:val="120"/>
          <w:divBdr>
            <w:top w:val="none" w:sz="0" w:space="0" w:color="auto"/>
            <w:left w:val="none" w:sz="0" w:space="0" w:color="auto"/>
            <w:bottom w:val="none" w:sz="0" w:space="0" w:color="auto"/>
            <w:right w:val="none" w:sz="0" w:space="0" w:color="auto"/>
          </w:divBdr>
        </w:div>
      </w:divsChild>
    </w:div>
    <w:div w:id="193857292">
      <w:bodyDiv w:val="1"/>
      <w:marLeft w:val="0"/>
      <w:marRight w:val="0"/>
      <w:marTop w:val="0"/>
      <w:marBottom w:val="0"/>
      <w:divBdr>
        <w:top w:val="none" w:sz="0" w:space="0" w:color="auto"/>
        <w:left w:val="none" w:sz="0" w:space="0" w:color="auto"/>
        <w:bottom w:val="none" w:sz="0" w:space="0" w:color="auto"/>
        <w:right w:val="none" w:sz="0" w:space="0" w:color="auto"/>
      </w:divBdr>
    </w:div>
    <w:div w:id="277689806">
      <w:bodyDiv w:val="1"/>
      <w:marLeft w:val="0"/>
      <w:marRight w:val="0"/>
      <w:marTop w:val="0"/>
      <w:marBottom w:val="0"/>
      <w:divBdr>
        <w:top w:val="none" w:sz="0" w:space="0" w:color="auto"/>
        <w:left w:val="none" w:sz="0" w:space="0" w:color="auto"/>
        <w:bottom w:val="none" w:sz="0" w:space="0" w:color="auto"/>
        <w:right w:val="none" w:sz="0" w:space="0" w:color="auto"/>
      </w:divBdr>
    </w:div>
    <w:div w:id="310525376">
      <w:bodyDiv w:val="1"/>
      <w:marLeft w:val="0"/>
      <w:marRight w:val="0"/>
      <w:marTop w:val="0"/>
      <w:marBottom w:val="0"/>
      <w:divBdr>
        <w:top w:val="none" w:sz="0" w:space="0" w:color="auto"/>
        <w:left w:val="none" w:sz="0" w:space="0" w:color="auto"/>
        <w:bottom w:val="none" w:sz="0" w:space="0" w:color="auto"/>
        <w:right w:val="none" w:sz="0" w:space="0" w:color="auto"/>
      </w:divBdr>
    </w:div>
    <w:div w:id="383604630">
      <w:bodyDiv w:val="1"/>
      <w:marLeft w:val="0"/>
      <w:marRight w:val="0"/>
      <w:marTop w:val="0"/>
      <w:marBottom w:val="0"/>
      <w:divBdr>
        <w:top w:val="none" w:sz="0" w:space="0" w:color="auto"/>
        <w:left w:val="none" w:sz="0" w:space="0" w:color="auto"/>
        <w:bottom w:val="none" w:sz="0" w:space="0" w:color="auto"/>
        <w:right w:val="none" w:sz="0" w:space="0" w:color="auto"/>
      </w:divBdr>
    </w:div>
    <w:div w:id="385373645">
      <w:bodyDiv w:val="1"/>
      <w:marLeft w:val="0"/>
      <w:marRight w:val="0"/>
      <w:marTop w:val="0"/>
      <w:marBottom w:val="0"/>
      <w:divBdr>
        <w:top w:val="none" w:sz="0" w:space="0" w:color="auto"/>
        <w:left w:val="none" w:sz="0" w:space="0" w:color="auto"/>
        <w:bottom w:val="none" w:sz="0" w:space="0" w:color="auto"/>
        <w:right w:val="none" w:sz="0" w:space="0" w:color="auto"/>
      </w:divBdr>
      <w:divsChild>
        <w:div w:id="674890893">
          <w:marLeft w:val="547"/>
          <w:marRight w:val="0"/>
          <w:marTop w:val="120"/>
          <w:marBottom w:val="120"/>
          <w:divBdr>
            <w:top w:val="none" w:sz="0" w:space="0" w:color="auto"/>
            <w:left w:val="none" w:sz="0" w:space="0" w:color="auto"/>
            <w:bottom w:val="none" w:sz="0" w:space="0" w:color="auto"/>
            <w:right w:val="none" w:sz="0" w:space="0" w:color="auto"/>
          </w:divBdr>
        </w:div>
      </w:divsChild>
    </w:div>
    <w:div w:id="477691923">
      <w:bodyDiv w:val="1"/>
      <w:marLeft w:val="0"/>
      <w:marRight w:val="0"/>
      <w:marTop w:val="0"/>
      <w:marBottom w:val="0"/>
      <w:divBdr>
        <w:top w:val="none" w:sz="0" w:space="0" w:color="auto"/>
        <w:left w:val="none" w:sz="0" w:space="0" w:color="auto"/>
        <w:bottom w:val="none" w:sz="0" w:space="0" w:color="auto"/>
        <w:right w:val="none" w:sz="0" w:space="0" w:color="auto"/>
      </w:divBdr>
    </w:div>
    <w:div w:id="509418341">
      <w:bodyDiv w:val="1"/>
      <w:marLeft w:val="0"/>
      <w:marRight w:val="0"/>
      <w:marTop w:val="0"/>
      <w:marBottom w:val="0"/>
      <w:divBdr>
        <w:top w:val="none" w:sz="0" w:space="0" w:color="auto"/>
        <w:left w:val="none" w:sz="0" w:space="0" w:color="auto"/>
        <w:bottom w:val="none" w:sz="0" w:space="0" w:color="auto"/>
        <w:right w:val="none" w:sz="0" w:space="0" w:color="auto"/>
      </w:divBdr>
    </w:div>
    <w:div w:id="561986683">
      <w:bodyDiv w:val="1"/>
      <w:marLeft w:val="0"/>
      <w:marRight w:val="0"/>
      <w:marTop w:val="0"/>
      <w:marBottom w:val="0"/>
      <w:divBdr>
        <w:top w:val="none" w:sz="0" w:space="0" w:color="auto"/>
        <w:left w:val="none" w:sz="0" w:space="0" w:color="auto"/>
        <w:bottom w:val="none" w:sz="0" w:space="0" w:color="auto"/>
        <w:right w:val="none" w:sz="0" w:space="0" w:color="auto"/>
      </w:divBdr>
    </w:div>
    <w:div w:id="582840497">
      <w:bodyDiv w:val="1"/>
      <w:marLeft w:val="0"/>
      <w:marRight w:val="0"/>
      <w:marTop w:val="0"/>
      <w:marBottom w:val="0"/>
      <w:divBdr>
        <w:top w:val="none" w:sz="0" w:space="0" w:color="auto"/>
        <w:left w:val="none" w:sz="0" w:space="0" w:color="auto"/>
        <w:bottom w:val="none" w:sz="0" w:space="0" w:color="auto"/>
        <w:right w:val="none" w:sz="0" w:space="0" w:color="auto"/>
      </w:divBdr>
    </w:div>
    <w:div w:id="626280626">
      <w:bodyDiv w:val="1"/>
      <w:marLeft w:val="0"/>
      <w:marRight w:val="0"/>
      <w:marTop w:val="0"/>
      <w:marBottom w:val="0"/>
      <w:divBdr>
        <w:top w:val="none" w:sz="0" w:space="0" w:color="auto"/>
        <w:left w:val="none" w:sz="0" w:space="0" w:color="auto"/>
        <w:bottom w:val="none" w:sz="0" w:space="0" w:color="auto"/>
        <w:right w:val="none" w:sz="0" w:space="0" w:color="auto"/>
      </w:divBdr>
    </w:div>
    <w:div w:id="632519784">
      <w:bodyDiv w:val="1"/>
      <w:marLeft w:val="0"/>
      <w:marRight w:val="0"/>
      <w:marTop w:val="0"/>
      <w:marBottom w:val="0"/>
      <w:divBdr>
        <w:top w:val="none" w:sz="0" w:space="0" w:color="auto"/>
        <w:left w:val="none" w:sz="0" w:space="0" w:color="auto"/>
        <w:bottom w:val="none" w:sz="0" w:space="0" w:color="auto"/>
        <w:right w:val="none" w:sz="0" w:space="0" w:color="auto"/>
      </w:divBdr>
    </w:div>
    <w:div w:id="635572108">
      <w:bodyDiv w:val="1"/>
      <w:marLeft w:val="0"/>
      <w:marRight w:val="0"/>
      <w:marTop w:val="0"/>
      <w:marBottom w:val="0"/>
      <w:divBdr>
        <w:top w:val="none" w:sz="0" w:space="0" w:color="auto"/>
        <w:left w:val="none" w:sz="0" w:space="0" w:color="auto"/>
        <w:bottom w:val="none" w:sz="0" w:space="0" w:color="auto"/>
        <w:right w:val="none" w:sz="0" w:space="0" w:color="auto"/>
      </w:divBdr>
    </w:div>
    <w:div w:id="647563397">
      <w:bodyDiv w:val="1"/>
      <w:marLeft w:val="0"/>
      <w:marRight w:val="0"/>
      <w:marTop w:val="0"/>
      <w:marBottom w:val="0"/>
      <w:divBdr>
        <w:top w:val="none" w:sz="0" w:space="0" w:color="auto"/>
        <w:left w:val="none" w:sz="0" w:space="0" w:color="auto"/>
        <w:bottom w:val="none" w:sz="0" w:space="0" w:color="auto"/>
        <w:right w:val="none" w:sz="0" w:space="0" w:color="auto"/>
      </w:divBdr>
    </w:div>
    <w:div w:id="720908529">
      <w:bodyDiv w:val="1"/>
      <w:marLeft w:val="0"/>
      <w:marRight w:val="0"/>
      <w:marTop w:val="0"/>
      <w:marBottom w:val="0"/>
      <w:divBdr>
        <w:top w:val="none" w:sz="0" w:space="0" w:color="auto"/>
        <w:left w:val="none" w:sz="0" w:space="0" w:color="auto"/>
        <w:bottom w:val="none" w:sz="0" w:space="0" w:color="auto"/>
        <w:right w:val="none" w:sz="0" w:space="0" w:color="auto"/>
      </w:divBdr>
    </w:div>
    <w:div w:id="753861612">
      <w:bodyDiv w:val="1"/>
      <w:marLeft w:val="0"/>
      <w:marRight w:val="0"/>
      <w:marTop w:val="0"/>
      <w:marBottom w:val="0"/>
      <w:divBdr>
        <w:top w:val="none" w:sz="0" w:space="0" w:color="auto"/>
        <w:left w:val="none" w:sz="0" w:space="0" w:color="auto"/>
        <w:bottom w:val="none" w:sz="0" w:space="0" w:color="auto"/>
        <w:right w:val="none" w:sz="0" w:space="0" w:color="auto"/>
      </w:divBdr>
    </w:div>
    <w:div w:id="778837890">
      <w:bodyDiv w:val="1"/>
      <w:marLeft w:val="0"/>
      <w:marRight w:val="0"/>
      <w:marTop w:val="0"/>
      <w:marBottom w:val="0"/>
      <w:divBdr>
        <w:top w:val="none" w:sz="0" w:space="0" w:color="auto"/>
        <w:left w:val="none" w:sz="0" w:space="0" w:color="auto"/>
        <w:bottom w:val="none" w:sz="0" w:space="0" w:color="auto"/>
        <w:right w:val="none" w:sz="0" w:space="0" w:color="auto"/>
      </w:divBdr>
    </w:div>
    <w:div w:id="854269504">
      <w:bodyDiv w:val="1"/>
      <w:marLeft w:val="0"/>
      <w:marRight w:val="0"/>
      <w:marTop w:val="0"/>
      <w:marBottom w:val="0"/>
      <w:divBdr>
        <w:top w:val="none" w:sz="0" w:space="0" w:color="auto"/>
        <w:left w:val="none" w:sz="0" w:space="0" w:color="auto"/>
        <w:bottom w:val="none" w:sz="0" w:space="0" w:color="auto"/>
        <w:right w:val="none" w:sz="0" w:space="0" w:color="auto"/>
      </w:divBdr>
      <w:divsChild>
        <w:div w:id="680820665">
          <w:marLeft w:val="446"/>
          <w:marRight w:val="0"/>
          <w:marTop w:val="120"/>
          <w:marBottom w:val="120"/>
          <w:divBdr>
            <w:top w:val="none" w:sz="0" w:space="0" w:color="auto"/>
            <w:left w:val="none" w:sz="0" w:space="0" w:color="auto"/>
            <w:bottom w:val="none" w:sz="0" w:space="0" w:color="auto"/>
            <w:right w:val="none" w:sz="0" w:space="0" w:color="auto"/>
          </w:divBdr>
        </w:div>
        <w:div w:id="2104950959">
          <w:marLeft w:val="446"/>
          <w:marRight w:val="0"/>
          <w:marTop w:val="120"/>
          <w:marBottom w:val="120"/>
          <w:divBdr>
            <w:top w:val="none" w:sz="0" w:space="0" w:color="auto"/>
            <w:left w:val="none" w:sz="0" w:space="0" w:color="auto"/>
            <w:bottom w:val="none" w:sz="0" w:space="0" w:color="auto"/>
            <w:right w:val="none" w:sz="0" w:space="0" w:color="auto"/>
          </w:divBdr>
        </w:div>
        <w:div w:id="1561214238">
          <w:marLeft w:val="446"/>
          <w:marRight w:val="0"/>
          <w:marTop w:val="120"/>
          <w:marBottom w:val="120"/>
          <w:divBdr>
            <w:top w:val="none" w:sz="0" w:space="0" w:color="auto"/>
            <w:left w:val="none" w:sz="0" w:space="0" w:color="auto"/>
            <w:bottom w:val="none" w:sz="0" w:space="0" w:color="auto"/>
            <w:right w:val="none" w:sz="0" w:space="0" w:color="auto"/>
          </w:divBdr>
        </w:div>
      </w:divsChild>
    </w:div>
    <w:div w:id="866218287">
      <w:bodyDiv w:val="1"/>
      <w:marLeft w:val="0"/>
      <w:marRight w:val="0"/>
      <w:marTop w:val="0"/>
      <w:marBottom w:val="0"/>
      <w:divBdr>
        <w:top w:val="none" w:sz="0" w:space="0" w:color="auto"/>
        <w:left w:val="none" w:sz="0" w:space="0" w:color="auto"/>
        <w:bottom w:val="none" w:sz="0" w:space="0" w:color="auto"/>
        <w:right w:val="none" w:sz="0" w:space="0" w:color="auto"/>
      </w:divBdr>
      <w:divsChild>
        <w:div w:id="143468328">
          <w:marLeft w:val="547"/>
          <w:marRight w:val="0"/>
          <w:marTop w:val="120"/>
          <w:marBottom w:val="120"/>
          <w:divBdr>
            <w:top w:val="none" w:sz="0" w:space="0" w:color="auto"/>
            <w:left w:val="none" w:sz="0" w:space="0" w:color="auto"/>
            <w:bottom w:val="none" w:sz="0" w:space="0" w:color="auto"/>
            <w:right w:val="none" w:sz="0" w:space="0" w:color="auto"/>
          </w:divBdr>
        </w:div>
      </w:divsChild>
    </w:div>
    <w:div w:id="878054453">
      <w:bodyDiv w:val="1"/>
      <w:marLeft w:val="0"/>
      <w:marRight w:val="0"/>
      <w:marTop w:val="0"/>
      <w:marBottom w:val="0"/>
      <w:divBdr>
        <w:top w:val="none" w:sz="0" w:space="0" w:color="auto"/>
        <w:left w:val="none" w:sz="0" w:space="0" w:color="auto"/>
        <w:bottom w:val="none" w:sz="0" w:space="0" w:color="auto"/>
        <w:right w:val="none" w:sz="0" w:space="0" w:color="auto"/>
      </w:divBdr>
      <w:divsChild>
        <w:div w:id="48574219">
          <w:marLeft w:val="547"/>
          <w:marRight w:val="0"/>
          <w:marTop w:val="120"/>
          <w:marBottom w:val="120"/>
          <w:divBdr>
            <w:top w:val="none" w:sz="0" w:space="0" w:color="auto"/>
            <w:left w:val="none" w:sz="0" w:space="0" w:color="auto"/>
            <w:bottom w:val="none" w:sz="0" w:space="0" w:color="auto"/>
            <w:right w:val="none" w:sz="0" w:space="0" w:color="auto"/>
          </w:divBdr>
        </w:div>
        <w:div w:id="498421721">
          <w:marLeft w:val="547"/>
          <w:marRight w:val="0"/>
          <w:marTop w:val="120"/>
          <w:marBottom w:val="120"/>
          <w:divBdr>
            <w:top w:val="none" w:sz="0" w:space="0" w:color="auto"/>
            <w:left w:val="none" w:sz="0" w:space="0" w:color="auto"/>
            <w:bottom w:val="none" w:sz="0" w:space="0" w:color="auto"/>
            <w:right w:val="none" w:sz="0" w:space="0" w:color="auto"/>
          </w:divBdr>
        </w:div>
        <w:div w:id="1069496819">
          <w:marLeft w:val="547"/>
          <w:marRight w:val="0"/>
          <w:marTop w:val="120"/>
          <w:marBottom w:val="120"/>
          <w:divBdr>
            <w:top w:val="none" w:sz="0" w:space="0" w:color="auto"/>
            <w:left w:val="none" w:sz="0" w:space="0" w:color="auto"/>
            <w:bottom w:val="none" w:sz="0" w:space="0" w:color="auto"/>
            <w:right w:val="none" w:sz="0" w:space="0" w:color="auto"/>
          </w:divBdr>
        </w:div>
      </w:divsChild>
    </w:div>
    <w:div w:id="1004892611">
      <w:bodyDiv w:val="1"/>
      <w:marLeft w:val="0"/>
      <w:marRight w:val="0"/>
      <w:marTop w:val="0"/>
      <w:marBottom w:val="0"/>
      <w:divBdr>
        <w:top w:val="none" w:sz="0" w:space="0" w:color="auto"/>
        <w:left w:val="none" w:sz="0" w:space="0" w:color="auto"/>
        <w:bottom w:val="none" w:sz="0" w:space="0" w:color="auto"/>
        <w:right w:val="none" w:sz="0" w:space="0" w:color="auto"/>
      </w:divBdr>
    </w:div>
    <w:div w:id="1071001913">
      <w:bodyDiv w:val="1"/>
      <w:marLeft w:val="0"/>
      <w:marRight w:val="0"/>
      <w:marTop w:val="0"/>
      <w:marBottom w:val="0"/>
      <w:divBdr>
        <w:top w:val="none" w:sz="0" w:space="0" w:color="auto"/>
        <w:left w:val="none" w:sz="0" w:space="0" w:color="auto"/>
        <w:bottom w:val="none" w:sz="0" w:space="0" w:color="auto"/>
        <w:right w:val="none" w:sz="0" w:space="0" w:color="auto"/>
      </w:divBdr>
    </w:div>
    <w:div w:id="1108814218">
      <w:bodyDiv w:val="1"/>
      <w:marLeft w:val="0"/>
      <w:marRight w:val="0"/>
      <w:marTop w:val="0"/>
      <w:marBottom w:val="0"/>
      <w:divBdr>
        <w:top w:val="none" w:sz="0" w:space="0" w:color="auto"/>
        <w:left w:val="none" w:sz="0" w:space="0" w:color="auto"/>
        <w:bottom w:val="none" w:sz="0" w:space="0" w:color="auto"/>
        <w:right w:val="none" w:sz="0" w:space="0" w:color="auto"/>
      </w:divBdr>
    </w:div>
    <w:div w:id="1156802477">
      <w:bodyDiv w:val="1"/>
      <w:marLeft w:val="0"/>
      <w:marRight w:val="0"/>
      <w:marTop w:val="0"/>
      <w:marBottom w:val="0"/>
      <w:divBdr>
        <w:top w:val="none" w:sz="0" w:space="0" w:color="auto"/>
        <w:left w:val="none" w:sz="0" w:space="0" w:color="auto"/>
        <w:bottom w:val="none" w:sz="0" w:space="0" w:color="auto"/>
        <w:right w:val="none" w:sz="0" w:space="0" w:color="auto"/>
      </w:divBdr>
    </w:div>
    <w:div w:id="1187478410">
      <w:bodyDiv w:val="1"/>
      <w:marLeft w:val="0"/>
      <w:marRight w:val="0"/>
      <w:marTop w:val="0"/>
      <w:marBottom w:val="0"/>
      <w:divBdr>
        <w:top w:val="none" w:sz="0" w:space="0" w:color="auto"/>
        <w:left w:val="none" w:sz="0" w:space="0" w:color="auto"/>
        <w:bottom w:val="none" w:sz="0" w:space="0" w:color="auto"/>
        <w:right w:val="none" w:sz="0" w:space="0" w:color="auto"/>
      </w:divBdr>
    </w:div>
    <w:div w:id="1251618758">
      <w:bodyDiv w:val="1"/>
      <w:marLeft w:val="0"/>
      <w:marRight w:val="0"/>
      <w:marTop w:val="0"/>
      <w:marBottom w:val="0"/>
      <w:divBdr>
        <w:top w:val="none" w:sz="0" w:space="0" w:color="auto"/>
        <w:left w:val="none" w:sz="0" w:space="0" w:color="auto"/>
        <w:bottom w:val="none" w:sz="0" w:space="0" w:color="auto"/>
        <w:right w:val="none" w:sz="0" w:space="0" w:color="auto"/>
      </w:divBdr>
      <w:divsChild>
        <w:div w:id="1144852883">
          <w:marLeft w:val="1008"/>
          <w:marRight w:val="0"/>
          <w:marTop w:val="0"/>
          <w:marBottom w:val="0"/>
          <w:divBdr>
            <w:top w:val="none" w:sz="0" w:space="0" w:color="auto"/>
            <w:left w:val="none" w:sz="0" w:space="0" w:color="auto"/>
            <w:bottom w:val="none" w:sz="0" w:space="0" w:color="auto"/>
            <w:right w:val="none" w:sz="0" w:space="0" w:color="auto"/>
          </w:divBdr>
        </w:div>
        <w:div w:id="1360468365">
          <w:marLeft w:val="1008"/>
          <w:marRight w:val="0"/>
          <w:marTop w:val="0"/>
          <w:marBottom w:val="0"/>
          <w:divBdr>
            <w:top w:val="none" w:sz="0" w:space="0" w:color="auto"/>
            <w:left w:val="none" w:sz="0" w:space="0" w:color="auto"/>
            <w:bottom w:val="none" w:sz="0" w:space="0" w:color="auto"/>
            <w:right w:val="none" w:sz="0" w:space="0" w:color="auto"/>
          </w:divBdr>
        </w:div>
      </w:divsChild>
    </w:div>
    <w:div w:id="1252085741">
      <w:bodyDiv w:val="1"/>
      <w:marLeft w:val="0"/>
      <w:marRight w:val="0"/>
      <w:marTop w:val="0"/>
      <w:marBottom w:val="0"/>
      <w:divBdr>
        <w:top w:val="none" w:sz="0" w:space="0" w:color="auto"/>
        <w:left w:val="none" w:sz="0" w:space="0" w:color="auto"/>
        <w:bottom w:val="none" w:sz="0" w:space="0" w:color="auto"/>
        <w:right w:val="none" w:sz="0" w:space="0" w:color="auto"/>
      </w:divBdr>
    </w:div>
    <w:div w:id="1357468588">
      <w:bodyDiv w:val="1"/>
      <w:marLeft w:val="0"/>
      <w:marRight w:val="0"/>
      <w:marTop w:val="0"/>
      <w:marBottom w:val="0"/>
      <w:divBdr>
        <w:top w:val="none" w:sz="0" w:space="0" w:color="auto"/>
        <w:left w:val="none" w:sz="0" w:space="0" w:color="auto"/>
        <w:bottom w:val="none" w:sz="0" w:space="0" w:color="auto"/>
        <w:right w:val="none" w:sz="0" w:space="0" w:color="auto"/>
      </w:divBdr>
    </w:div>
    <w:div w:id="1389189034">
      <w:bodyDiv w:val="1"/>
      <w:marLeft w:val="0"/>
      <w:marRight w:val="0"/>
      <w:marTop w:val="0"/>
      <w:marBottom w:val="0"/>
      <w:divBdr>
        <w:top w:val="none" w:sz="0" w:space="0" w:color="auto"/>
        <w:left w:val="none" w:sz="0" w:space="0" w:color="auto"/>
        <w:bottom w:val="none" w:sz="0" w:space="0" w:color="auto"/>
        <w:right w:val="none" w:sz="0" w:space="0" w:color="auto"/>
      </w:divBdr>
      <w:divsChild>
        <w:div w:id="1622028497">
          <w:marLeft w:val="547"/>
          <w:marRight w:val="0"/>
          <w:marTop w:val="120"/>
          <w:marBottom w:val="120"/>
          <w:divBdr>
            <w:top w:val="none" w:sz="0" w:space="0" w:color="auto"/>
            <w:left w:val="none" w:sz="0" w:space="0" w:color="auto"/>
            <w:bottom w:val="none" w:sz="0" w:space="0" w:color="auto"/>
            <w:right w:val="none" w:sz="0" w:space="0" w:color="auto"/>
          </w:divBdr>
        </w:div>
        <w:div w:id="624116817">
          <w:marLeft w:val="547"/>
          <w:marRight w:val="0"/>
          <w:marTop w:val="120"/>
          <w:marBottom w:val="120"/>
          <w:divBdr>
            <w:top w:val="none" w:sz="0" w:space="0" w:color="auto"/>
            <w:left w:val="none" w:sz="0" w:space="0" w:color="auto"/>
            <w:bottom w:val="none" w:sz="0" w:space="0" w:color="auto"/>
            <w:right w:val="none" w:sz="0" w:space="0" w:color="auto"/>
          </w:divBdr>
        </w:div>
        <w:div w:id="709496798">
          <w:marLeft w:val="547"/>
          <w:marRight w:val="0"/>
          <w:marTop w:val="120"/>
          <w:marBottom w:val="120"/>
          <w:divBdr>
            <w:top w:val="none" w:sz="0" w:space="0" w:color="auto"/>
            <w:left w:val="none" w:sz="0" w:space="0" w:color="auto"/>
            <w:bottom w:val="none" w:sz="0" w:space="0" w:color="auto"/>
            <w:right w:val="none" w:sz="0" w:space="0" w:color="auto"/>
          </w:divBdr>
        </w:div>
      </w:divsChild>
    </w:div>
    <w:div w:id="1428379387">
      <w:bodyDiv w:val="1"/>
      <w:marLeft w:val="0"/>
      <w:marRight w:val="0"/>
      <w:marTop w:val="0"/>
      <w:marBottom w:val="0"/>
      <w:divBdr>
        <w:top w:val="none" w:sz="0" w:space="0" w:color="auto"/>
        <w:left w:val="none" w:sz="0" w:space="0" w:color="auto"/>
        <w:bottom w:val="none" w:sz="0" w:space="0" w:color="auto"/>
        <w:right w:val="none" w:sz="0" w:space="0" w:color="auto"/>
      </w:divBdr>
    </w:div>
    <w:div w:id="1508786317">
      <w:bodyDiv w:val="1"/>
      <w:marLeft w:val="0"/>
      <w:marRight w:val="0"/>
      <w:marTop w:val="0"/>
      <w:marBottom w:val="0"/>
      <w:divBdr>
        <w:top w:val="none" w:sz="0" w:space="0" w:color="auto"/>
        <w:left w:val="none" w:sz="0" w:space="0" w:color="auto"/>
        <w:bottom w:val="none" w:sz="0" w:space="0" w:color="auto"/>
        <w:right w:val="none" w:sz="0" w:space="0" w:color="auto"/>
      </w:divBdr>
    </w:div>
    <w:div w:id="1525635538">
      <w:bodyDiv w:val="1"/>
      <w:marLeft w:val="0"/>
      <w:marRight w:val="0"/>
      <w:marTop w:val="0"/>
      <w:marBottom w:val="0"/>
      <w:divBdr>
        <w:top w:val="none" w:sz="0" w:space="0" w:color="auto"/>
        <w:left w:val="none" w:sz="0" w:space="0" w:color="auto"/>
        <w:bottom w:val="none" w:sz="0" w:space="0" w:color="auto"/>
        <w:right w:val="none" w:sz="0" w:space="0" w:color="auto"/>
      </w:divBdr>
      <w:divsChild>
        <w:div w:id="1587570832">
          <w:marLeft w:val="547"/>
          <w:marRight w:val="0"/>
          <w:marTop w:val="120"/>
          <w:marBottom w:val="120"/>
          <w:divBdr>
            <w:top w:val="none" w:sz="0" w:space="0" w:color="auto"/>
            <w:left w:val="none" w:sz="0" w:space="0" w:color="auto"/>
            <w:bottom w:val="none" w:sz="0" w:space="0" w:color="auto"/>
            <w:right w:val="none" w:sz="0" w:space="0" w:color="auto"/>
          </w:divBdr>
        </w:div>
        <w:div w:id="583995540">
          <w:marLeft w:val="547"/>
          <w:marRight w:val="0"/>
          <w:marTop w:val="120"/>
          <w:marBottom w:val="120"/>
          <w:divBdr>
            <w:top w:val="none" w:sz="0" w:space="0" w:color="auto"/>
            <w:left w:val="none" w:sz="0" w:space="0" w:color="auto"/>
            <w:bottom w:val="none" w:sz="0" w:space="0" w:color="auto"/>
            <w:right w:val="none" w:sz="0" w:space="0" w:color="auto"/>
          </w:divBdr>
        </w:div>
        <w:div w:id="1476145681">
          <w:marLeft w:val="547"/>
          <w:marRight w:val="0"/>
          <w:marTop w:val="120"/>
          <w:marBottom w:val="120"/>
          <w:divBdr>
            <w:top w:val="none" w:sz="0" w:space="0" w:color="auto"/>
            <w:left w:val="none" w:sz="0" w:space="0" w:color="auto"/>
            <w:bottom w:val="none" w:sz="0" w:space="0" w:color="auto"/>
            <w:right w:val="none" w:sz="0" w:space="0" w:color="auto"/>
          </w:divBdr>
        </w:div>
      </w:divsChild>
    </w:div>
    <w:div w:id="1608779796">
      <w:bodyDiv w:val="1"/>
      <w:marLeft w:val="0"/>
      <w:marRight w:val="0"/>
      <w:marTop w:val="0"/>
      <w:marBottom w:val="0"/>
      <w:divBdr>
        <w:top w:val="none" w:sz="0" w:space="0" w:color="auto"/>
        <w:left w:val="none" w:sz="0" w:space="0" w:color="auto"/>
        <w:bottom w:val="none" w:sz="0" w:space="0" w:color="auto"/>
        <w:right w:val="none" w:sz="0" w:space="0" w:color="auto"/>
      </w:divBdr>
    </w:div>
    <w:div w:id="1620799852">
      <w:bodyDiv w:val="1"/>
      <w:marLeft w:val="0"/>
      <w:marRight w:val="0"/>
      <w:marTop w:val="0"/>
      <w:marBottom w:val="0"/>
      <w:divBdr>
        <w:top w:val="none" w:sz="0" w:space="0" w:color="auto"/>
        <w:left w:val="none" w:sz="0" w:space="0" w:color="auto"/>
        <w:bottom w:val="none" w:sz="0" w:space="0" w:color="auto"/>
        <w:right w:val="none" w:sz="0" w:space="0" w:color="auto"/>
      </w:divBdr>
    </w:div>
    <w:div w:id="1667972912">
      <w:bodyDiv w:val="1"/>
      <w:marLeft w:val="0"/>
      <w:marRight w:val="0"/>
      <w:marTop w:val="0"/>
      <w:marBottom w:val="0"/>
      <w:divBdr>
        <w:top w:val="none" w:sz="0" w:space="0" w:color="auto"/>
        <w:left w:val="none" w:sz="0" w:space="0" w:color="auto"/>
        <w:bottom w:val="none" w:sz="0" w:space="0" w:color="auto"/>
        <w:right w:val="none" w:sz="0" w:space="0" w:color="auto"/>
      </w:divBdr>
    </w:div>
    <w:div w:id="1670596374">
      <w:bodyDiv w:val="1"/>
      <w:marLeft w:val="0"/>
      <w:marRight w:val="0"/>
      <w:marTop w:val="0"/>
      <w:marBottom w:val="0"/>
      <w:divBdr>
        <w:top w:val="none" w:sz="0" w:space="0" w:color="auto"/>
        <w:left w:val="none" w:sz="0" w:space="0" w:color="auto"/>
        <w:bottom w:val="none" w:sz="0" w:space="0" w:color="auto"/>
        <w:right w:val="none" w:sz="0" w:space="0" w:color="auto"/>
      </w:divBdr>
    </w:div>
    <w:div w:id="1679038461">
      <w:bodyDiv w:val="1"/>
      <w:marLeft w:val="0"/>
      <w:marRight w:val="0"/>
      <w:marTop w:val="0"/>
      <w:marBottom w:val="0"/>
      <w:divBdr>
        <w:top w:val="none" w:sz="0" w:space="0" w:color="auto"/>
        <w:left w:val="none" w:sz="0" w:space="0" w:color="auto"/>
        <w:bottom w:val="none" w:sz="0" w:space="0" w:color="auto"/>
        <w:right w:val="none" w:sz="0" w:space="0" w:color="auto"/>
      </w:divBdr>
    </w:div>
    <w:div w:id="1686322693">
      <w:bodyDiv w:val="1"/>
      <w:marLeft w:val="0"/>
      <w:marRight w:val="0"/>
      <w:marTop w:val="0"/>
      <w:marBottom w:val="0"/>
      <w:divBdr>
        <w:top w:val="none" w:sz="0" w:space="0" w:color="auto"/>
        <w:left w:val="none" w:sz="0" w:space="0" w:color="auto"/>
        <w:bottom w:val="none" w:sz="0" w:space="0" w:color="auto"/>
        <w:right w:val="none" w:sz="0" w:space="0" w:color="auto"/>
      </w:divBdr>
    </w:div>
    <w:div w:id="1744833996">
      <w:bodyDiv w:val="1"/>
      <w:marLeft w:val="0"/>
      <w:marRight w:val="0"/>
      <w:marTop w:val="0"/>
      <w:marBottom w:val="0"/>
      <w:divBdr>
        <w:top w:val="none" w:sz="0" w:space="0" w:color="auto"/>
        <w:left w:val="none" w:sz="0" w:space="0" w:color="auto"/>
        <w:bottom w:val="none" w:sz="0" w:space="0" w:color="auto"/>
        <w:right w:val="none" w:sz="0" w:space="0" w:color="auto"/>
      </w:divBdr>
    </w:div>
    <w:div w:id="1775398459">
      <w:bodyDiv w:val="1"/>
      <w:marLeft w:val="0"/>
      <w:marRight w:val="0"/>
      <w:marTop w:val="0"/>
      <w:marBottom w:val="0"/>
      <w:divBdr>
        <w:top w:val="none" w:sz="0" w:space="0" w:color="auto"/>
        <w:left w:val="none" w:sz="0" w:space="0" w:color="auto"/>
        <w:bottom w:val="none" w:sz="0" w:space="0" w:color="auto"/>
        <w:right w:val="none" w:sz="0" w:space="0" w:color="auto"/>
      </w:divBdr>
    </w:div>
    <w:div w:id="1847553823">
      <w:bodyDiv w:val="1"/>
      <w:marLeft w:val="0"/>
      <w:marRight w:val="0"/>
      <w:marTop w:val="0"/>
      <w:marBottom w:val="0"/>
      <w:divBdr>
        <w:top w:val="none" w:sz="0" w:space="0" w:color="auto"/>
        <w:left w:val="none" w:sz="0" w:space="0" w:color="auto"/>
        <w:bottom w:val="none" w:sz="0" w:space="0" w:color="auto"/>
        <w:right w:val="none" w:sz="0" w:space="0" w:color="auto"/>
      </w:divBdr>
    </w:div>
    <w:div w:id="1854416320">
      <w:bodyDiv w:val="1"/>
      <w:marLeft w:val="0"/>
      <w:marRight w:val="0"/>
      <w:marTop w:val="0"/>
      <w:marBottom w:val="0"/>
      <w:divBdr>
        <w:top w:val="none" w:sz="0" w:space="0" w:color="auto"/>
        <w:left w:val="none" w:sz="0" w:space="0" w:color="auto"/>
        <w:bottom w:val="none" w:sz="0" w:space="0" w:color="auto"/>
        <w:right w:val="none" w:sz="0" w:space="0" w:color="auto"/>
      </w:divBdr>
    </w:div>
    <w:div w:id="1884753020">
      <w:bodyDiv w:val="1"/>
      <w:marLeft w:val="0"/>
      <w:marRight w:val="0"/>
      <w:marTop w:val="0"/>
      <w:marBottom w:val="0"/>
      <w:divBdr>
        <w:top w:val="none" w:sz="0" w:space="0" w:color="auto"/>
        <w:left w:val="none" w:sz="0" w:space="0" w:color="auto"/>
        <w:bottom w:val="none" w:sz="0" w:space="0" w:color="auto"/>
        <w:right w:val="none" w:sz="0" w:space="0" w:color="auto"/>
      </w:divBdr>
    </w:div>
    <w:div w:id="1889295408">
      <w:bodyDiv w:val="1"/>
      <w:marLeft w:val="0"/>
      <w:marRight w:val="0"/>
      <w:marTop w:val="0"/>
      <w:marBottom w:val="0"/>
      <w:divBdr>
        <w:top w:val="none" w:sz="0" w:space="0" w:color="auto"/>
        <w:left w:val="none" w:sz="0" w:space="0" w:color="auto"/>
        <w:bottom w:val="none" w:sz="0" w:space="0" w:color="auto"/>
        <w:right w:val="none" w:sz="0" w:space="0" w:color="auto"/>
      </w:divBdr>
      <w:divsChild>
        <w:div w:id="105587367">
          <w:marLeft w:val="547"/>
          <w:marRight w:val="0"/>
          <w:marTop w:val="120"/>
          <w:marBottom w:val="120"/>
          <w:divBdr>
            <w:top w:val="none" w:sz="0" w:space="0" w:color="auto"/>
            <w:left w:val="none" w:sz="0" w:space="0" w:color="auto"/>
            <w:bottom w:val="none" w:sz="0" w:space="0" w:color="auto"/>
            <w:right w:val="none" w:sz="0" w:space="0" w:color="auto"/>
          </w:divBdr>
        </w:div>
        <w:div w:id="1645618355">
          <w:marLeft w:val="547"/>
          <w:marRight w:val="0"/>
          <w:marTop w:val="120"/>
          <w:marBottom w:val="120"/>
          <w:divBdr>
            <w:top w:val="none" w:sz="0" w:space="0" w:color="auto"/>
            <w:left w:val="none" w:sz="0" w:space="0" w:color="auto"/>
            <w:bottom w:val="none" w:sz="0" w:space="0" w:color="auto"/>
            <w:right w:val="none" w:sz="0" w:space="0" w:color="auto"/>
          </w:divBdr>
        </w:div>
      </w:divsChild>
    </w:div>
    <w:div w:id="1905984878">
      <w:bodyDiv w:val="1"/>
      <w:marLeft w:val="0"/>
      <w:marRight w:val="0"/>
      <w:marTop w:val="0"/>
      <w:marBottom w:val="0"/>
      <w:divBdr>
        <w:top w:val="none" w:sz="0" w:space="0" w:color="auto"/>
        <w:left w:val="none" w:sz="0" w:space="0" w:color="auto"/>
        <w:bottom w:val="none" w:sz="0" w:space="0" w:color="auto"/>
        <w:right w:val="none" w:sz="0" w:space="0" w:color="auto"/>
      </w:divBdr>
    </w:div>
    <w:div w:id="1943103157">
      <w:bodyDiv w:val="1"/>
      <w:marLeft w:val="0"/>
      <w:marRight w:val="0"/>
      <w:marTop w:val="0"/>
      <w:marBottom w:val="0"/>
      <w:divBdr>
        <w:top w:val="none" w:sz="0" w:space="0" w:color="auto"/>
        <w:left w:val="none" w:sz="0" w:space="0" w:color="auto"/>
        <w:bottom w:val="none" w:sz="0" w:space="0" w:color="auto"/>
        <w:right w:val="none" w:sz="0" w:space="0" w:color="auto"/>
      </w:divBdr>
      <w:divsChild>
        <w:div w:id="1522670884">
          <w:marLeft w:val="0"/>
          <w:marRight w:val="0"/>
          <w:marTop w:val="0"/>
          <w:marBottom w:val="0"/>
          <w:divBdr>
            <w:top w:val="none" w:sz="0" w:space="0" w:color="auto"/>
            <w:left w:val="none" w:sz="0" w:space="0" w:color="auto"/>
            <w:bottom w:val="none" w:sz="0" w:space="0" w:color="auto"/>
            <w:right w:val="none" w:sz="0" w:space="0" w:color="auto"/>
          </w:divBdr>
          <w:divsChild>
            <w:div w:id="259920095">
              <w:marLeft w:val="0"/>
              <w:marRight w:val="0"/>
              <w:marTop w:val="0"/>
              <w:marBottom w:val="0"/>
              <w:divBdr>
                <w:top w:val="none" w:sz="0" w:space="0" w:color="auto"/>
                <w:left w:val="none" w:sz="0" w:space="0" w:color="auto"/>
                <w:bottom w:val="none" w:sz="0" w:space="0" w:color="auto"/>
                <w:right w:val="none" w:sz="0" w:space="0" w:color="auto"/>
              </w:divBdr>
              <w:divsChild>
                <w:div w:id="896477864">
                  <w:marLeft w:val="0"/>
                  <w:marRight w:val="0"/>
                  <w:marTop w:val="195"/>
                  <w:marBottom w:val="0"/>
                  <w:divBdr>
                    <w:top w:val="none" w:sz="0" w:space="0" w:color="auto"/>
                    <w:left w:val="none" w:sz="0" w:space="0" w:color="auto"/>
                    <w:bottom w:val="none" w:sz="0" w:space="0" w:color="auto"/>
                    <w:right w:val="none" w:sz="0" w:space="0" w:color="auto"/>
                  </w:divBdr>
                  <w:divsChild>
                    <w:div w:id="615259703">
                      <w:marLeft w:val="0"/>
                      <w:marRight w:val="0"/>
                      <w:marTop w:val="0"/>
                      <w:marBottom w:val="0"/>
                      <w:divBdr>
                        <w:top w:val="none" w:sz="0" w:space="0" w:color="auto"/>
                        <w:left w:val="none" w:sz="0" w:space="0" w:color="auto"/>
                        <w:bottom w:val="none" w:sz="0" w:space="0" w:color="auto"/>
                        <w:right w:val="none" w:sz="0" w:space="0" w:color="auto"/>
                      </w:divBdr>
                      <w:divsChild>
                        <w:div w:id="1830826405">
                          <w:marLeft w:val="0"/>
                          <w:marRight w:val="0"/>
                          <w:marTop w:val="0"/>
                          <w:marBottom w:val="0"/>
                          <w:divBdr>
                            <w:top w:val="none" w:sz="0" w:space="0" w:color="auto"/>
                            <w:left w:val="none" w:sz="0" w:space="0" w:color="auto"/>
                            <w:bottom w:val="none" w:sz="0" w:space="0" w:color="auto"/>
                            <w:right w:val="none" w:sz="0" w:space="0" w:color="auto"/>
                          </w:divBdr>
                          <w:divsChild>
                            <w:div w:id="236939661">
                              <w:marLeft w:val="0"/>
                              <w:marRight w:val="0"/>
                              <w:marTop w:val="0"/>
                              <w:marBottom w:val="0"/>
                              <w:divBdr>
                                <w:top w:val="none" w:sz="0" w:space="0" w:color="auto"/>
                                <w:left w:val="none" w:sz="0" w:space="0" w:color="auto"/>
                                <w:bottom w:val="none" w:sz="0" w:space="0" w:color="auto"/>
                                <w:right w:val="none" w:sz="0" w:space="0" w:color="auto"/>
                              </w:divBdr>
                              <w:divsChild>
                                <w:div w:id="1527407363">
                                  <w:marLeft w:val="0"/>
                                  <w:marRight w:val="0"/>
                                  <w:marTop w:val="0"/>
                                  <w:marBottom w:val="0"/>
                                  <w:divBdr>
                                    <w:top w:val="none" w:sz="0" w:space="0" w:color="auto"/>
                                    <w:left w:val="none" w:sz="0" w:space="0" w:color="auto"/>
                                    <w:bottom w:val="none" w:sz="0" w:space="0" w:color="auto"/>
                                    <w:right w:val="none" w:sz="0" w:space="0" w:color="auto"/>
                                  </w:divBdr>
                                  <w:divsChild>
                                    <w:div w:id="643700326">
                                      <w:marLeft w:val="0"/>
                                      <w:marRight w:val="0"/>
                                      <w:marTop w:val="0"/>
                                      <w:marBottom w:val="0"/>
                                      <w:divBdr>
                                        <w:top w:val="none" w:sz="0" w:space="0" w:color="auto"/>
                                        <w:left w:val="none" w:sz="0" w:space="0" w:color="auto"/>
                                        <w:bottom w:val="none" w:sz="0" w:space="0" w:color="auto"/>
                                        <w:right w:val="none" w:sz="0" w:space="0" w:color="auto"/>
                                      </w:divBdr>
                                      <w:divsChild>
                                        <w:div w:id="75135529">
                                          <w:marLeft w:val="0"/>
                                          <w:marRight w:val="0"/>
                                          <w:marTop w:val="0"/>
                                          <w:marBottom w:val="0"/>
                                          <w:divBdr>
                                            <w:top w:val="none" w:sz="0" w:space="0" w:color="auto"/>
                                            <w:left w:val="none" w:sz="0" w:space="0" w:color="auto"/>
                                            <w:bottom w:val="none" w:sz="0" w:space="0" w:color="auto"/>
                                            <w:right w:val="none" w:sz="0" w:space="0" w:color="auto"/>
                                          </w:divBdr>
                                          <w:divsChild>
                                            <w:div w:id="230505977">
                                              <w:marLeft w:val="0"/>
                                              <w:marRight w:val="0"/>
                                              <w:marTop w:val="0"/>
                                              <w:marBottom w:val="180"/>
                                              <w:divBdr>
                                                <w:top w:val="none" w:sz="0" w:space="0" w:color="auto"/>
                                                <w:left w:val="none" w:sz="0" w:space="0" w:color="auto"/>
                                                <w:bottom w:val="none" w:sz="0" w:space="0" w:color="auto"/>
                                                <w:right w:val="none" w:sz="0" w:space="0" w:color="auto"/>
                                              </w:divBdr>
                                              <w:divsChild>
                                                <w:div w:id="1751853162">
                                                  <w:marLeft w:val="0"/>
                                                  <w:marRight w:val="0"/>
                                                  <w:marTop w:val="0"/>
                                                  <w:marBottom w:val="0"/>
                                                  <w:divBdr>
                                                    <w:top w:val="none" w:sz="0" w:space="0" w:color="auto"/>
                                                    <w:left w:val="none" w:sz="0" w:space="0" w:color="auto"/>
                                                    <w:bottom w:val="none" w:sz="0" w:space="0" w:color="auto"/>
                                                    <w:right w:val="none" w:sz="0" w:space="0" w:color="auto"/>
                                                  </w:divBdr>
                                                  <w:divsChild>
                                                    <w:div w:id="377436283">
                                                      <w:marLeft w:val="0"/>
                                                      <w:marRight w:val="0"/>
                                                      <w:marTop w:val="0"/>
                                                      <w:marBottom w:val="0"/>
                                                      <w:divBdr>
                                                        <w:top w:val="none" w:sz="0" w:space="0" w:color="auto"/>
                                                        <w:left w:val="none" w:sz="0" w:space="0" w:color="auto"/>
                                                        <w:bottom w:val="none" w:sz="0" w:space="0" w:color="auto"/>
                                                        <w:right w:val="none" w:sz="0" w:space="0" w:color="auto"/>
                                                      </w:divBdr>
                                                      <w:divsChild>
                                                        <w:div w:id="469782924">
                                                          <w:marLeft w:val="0"/>
                                                          <w:marRight w:val="0"/>
                                                          <w:marTop w:val="0"/>
                                                          <w:marBottom w:val="0"/>
                                                          <w:divBdr>
                                                            <w:top w:val="none" w:sz="0" w:space="0" w:color="auto"/>
                                                            <w:left w:val="none" w:sz="0" w:space="0" w:color="auto"/>
                                                            <w:bottom w:val="none" w:sz="0" w:space="0" w:color="auto"/>
                                                            <w:right w:val="none" w:sz="0" w:space="0" w:color="auto"/>
                                                          </w:divBdr>
                                                          <w:divsChild>
                                                            <w:div w:id="1169517176">
                                                              <w:marLeft w:val="0"/>
                                                              <w:marRight w:val="0"/>
                                                              <w:marTop w:val="0"/>
                                                              <w:marBottom w:val="0"/>
                                                              <w:divBdr>
                                                                <w:top w:val="none" w:sz="0" w:space="0" w:color="auto"/>
                                                                <w:left w:val="none" w:sz="0" w:space="0" w:color="auto"/>
                                                                <w:bottom w:val="none" w:sz="0" w:space="0" w:color="auto"/>
                                                                <w:right w:val="none" w:sz="0" w:space="0" w:color="auto"/>
                                                              </w:divBdr>
                                                              <w:divsChild>
                                                                <w:div w:id="1702898392">
                                                                  <w:marLeft w:val="0"/>
                                                                  <w:marRight w:val="0"/>
                                                                  <w:marTop w:val="0"/>
                                                                  <w:marBottom w:val="0"/>
                                                                  <w:divBdr>
                                                                    <w:top w:val="none" w:sz="0" w:space="0" w:color="auto"/>
                                                                    <w:left w:val="none" w:sz="0" w:space="0" w:color="auto"/>
                                                                    <w:bottom w:val="none" w:sz="0" w:space="0" w:color="auto"/>
                                                                    <w:right w:val="none" w:sz="0" w:space="0" w:color="auto"/>
                                                                  </w:divBdr>
                                                                  <w:divsChild>
                                                                    <w:div w:id="1034497787">
                                                                      <w:marLeft w:val="0"/>
                                                                      <w:marRight w:val="0"/>
                                                                      <w:marTop w:val="0"/>
                                                                      <w:marBottom w:val="0"/>
                                                                      <w:divBdr>
                                                                        <w:top w:val="none" w:sz="0" w:space="0" w:color="auto"/>
                                                                        <w:left w:val="none" w:sz="0" w:space="0" w:color="auto"/>
                                                                        <w:bottom w:val="none" w:sz="0" w:space="0" w:color="auto"/>
                                                                        <w:right w:val="none" w:sz="0" w:space="0" w:color="auto"/>
                                                                      </w:divBdr>
                                                                      <w:divsChild>
                                                                        <w:div w:id="1214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119214">
      <w:bodyDiv w:val="1"/>
      <w:marLeft w:val="0"/>
      <w:marRight w:val="0"/>
      <w:marTop w:val="0"/>
      <w:marBottom w:val="0"/>
      <w:divBdr>
        <w:top w:val="none" w:sz="0" w:space="0" w:color="auto"/>
        <w:left w:val="none" w:sz="0" w:space="0" w:color="auto"/>
        <w:bottom w:val="none" w:sz="0" w:space="0" w:color="auto"/>
        <w:right w:val="none" w:sz="0" w:space="0" w:color="auto"/>
      </w:divBdr>
    </w:div>
    <w:div w:id="1959488113">
      <w:bodyDiv w:val="1"/>
      <w:marLeft w:val="0"/>
      <w:marRight w:val="0"/>
      <w:marTop w:val="0"/>
      <w:marBottom w:val="0"/>
      <w:divBdr>
        <w:top w:val="none" w:sz="0" w:space="0" w:color="auto"/>
        <w:left w:val="none" w:sz="0" w:space="0" w:color="auto"/>
        <w:bottom w:val="none" w:sz="0" w:space="0" w:color="auto"/>
        <w:right w:val="none" w:sz="0" w:space="0" w:color="auto"/>
      </w:divBdr>
    </w:div>
    <w:div w:id="1972907198">
      <w:bodyDiv w:val="1"/>
      <w:marLeft w:val="0"/>
      <w:marRight w:val="0"/>
      <w:marTop w:val="0"/>
      <w:marBottom w:val="0"/>
      <w:divBdr>
        <w:top w:val="none" w:sz="0" w:space="0" w:color="auto"/>
        <w:left w:val="none" w:sz="0" w:space="0" w:color="auto"/>
        <w:bottom w:val="none" w:sz="0" w:space="0" w:color="auto"/>
        <w:right w:val="none" w:sz="0" w:space="0" w:color="auto"/>
      </w:divBdr>
    </w:div>
    <w:div w:id="2133666194">
      <w:bodyDiv w:val="1"/>
      <w:marLeft w:val="0"/>
      <w:marRight w:val="0"/>
      <w:marTop w:val="0"/>
      <w:marBottom w:val="0"/>
      <w:divBdr>
        <w:top w:val="none" w:sz="0" w:space="0" w:color="auto"/>
        <w:left w:val="none" w:sz="0" w:space="0" w:color="auto"/>
        <w:bottom w:val="none" w:sz="0" w:space="0" w:color="auto"/>
        <w:right w:val="none" w:sz="0" w:space="0" w:color="auto"/>
      </w:divBdr>
    </w:div>
    <w:div w:id="213374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W2K19SRV\AUDfIT_Redaktion\AUD_61_Ablauforganisation\AUD_QMA_61_G_Redaktionsarbeit\_1%20Handbuch\AUD_61_G_Redaktionsarbeit%20FORTLAUFEND\G_4._Skriptentwicklung\G_4._ANLAGENBAND\_320_Muster_JAE-JAP_Sachverhalt,%20Fr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19fc165c-b03a-401e-a201-775bc3e8c688</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B5D3-F3D4-401D-A32A-C60228265034}">
  <ds:schemaRefs>
    <ds:schemaRef ds:uri="http://www.datev.de/BSOffice/999929"/>
  </ds:schemaRefs>
</ds:datastoreItem>
</file>

<file path=customXml/itemProps2.xml><?xml version="1.0" encoding="utf-8"?>
<ds:datastoreItem xmlns:ds="http://schemas.openxmlformats.org/officeDocument/2006/customXml" ds:itemID="{9A8917C9-EB7F-4831-9AE0-DE3B5822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_320_Muster_JAE-JAP_Sachverhalt, Frage</Template>
  <TotalTime>0</TotalTime>
  <Pages>6</Pages>
  <Words>1636</Words>
  <Characters>11132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Vorlage Skript</vt:lpstr>
    </vt:vector>
  </TitlesOfParts>
  <Company>Lösle GmbH</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Skript</dc:title>
  <dc:creator>Klein, Paula - LÖSLE</dc:creator>
  <cp:lastModifiedBy>Sauer, Timo - LÖSLE</cp:lastModifiedBy>
  <cp:revision>128</cp:revision>
  <cp:lastPrinted>2024-08-08T14:38:00Z</cp:lastPrinted>
  <dcterms:created xsi:type="dcterms:W3CDTF">2024-06-10T14:02:00Z</dcterms:created>
  <dcterms:modified xsi:type="dcterms:W3CDTF">2024-09-16T12:47:00Z</dcterms:modified>
</cp:coreProperties>
</file>