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tblBorders>
        <w:shd w:val="clear" w:color="auto" w:fill="C5F1C5"/>
        <w:tblLook w:val="04A0" w:firstRow="1" w:lastRow="0" w:firstColumn="1" w:lastColumn="0" w:noHBand="0" w:noVBand="1"/>
      </w:tblPr>
      <w:tblGrid>
        <w:gridCol w:w="8648"/>
        <w:gridCol w:w="424"/>
      </w:tblGrid>
      <w:tr w:rsidR="00AF76A2" w:rsidRPr="000503CF" w:rsidTr="00114EA5">
        <w:trPr>
          <w:cantSplit/>
          <w:trHeight w:val="830"/>
        </w:trPr>
        <w:tc>
          <w:tcPr>
            <w:tcW w:w="8648" w:type="dxa"/>
            <w:tcBorders>
              <w:right w:val="nil"/>
            </w:tcBorders>
            <w:shd w:val="clear" w:color="auto" w:fill="C5F1C5"/>
            <w:tcMar>
              <w:top w:w="113" w:type="dxa"/>
              <w:bottom w:w="113" w:type="dxa"/>
            </w:tcMar>
            <w:vAlign w:val="center"/>
          </w:tcPr>
          <w:p w:rsidR="00AF76A2" w:rsidRPr="00114EA5" w:rsidRDefault="00A62C9B" w:rsidP="00A62C9B">
            <w:pPr>
              <w:pStyle w:val="berschrift1"/>
              <w:numPr>
                <w:ilvl w:val="0"/>
                <w:numId w:val="0"/>
              </w:numPr>
              <w:rPr>
                <w:rFonts w:ascii="Century Gothic" w:hAnsi="Century Gothic"/>
                <w:color w:val="228B22"/>
                <w:sz w:val="28"/>
              </w:rPr>
            </w:pPr>
            <w:proofErr w:type="spellStart"/>
            <w:r>
              <w:rPr>
                <w:rFonts w:ascii="Century Gothic" w:hAnsi="Century Gothic"/>
                <w:color w:val="228B22"/>
                <w:sz w:val="28"/>
              </w:rPr>
              <w:t>Angabepflicht</w:t>
            </w:r>
            <w:proofErr w:type="spellEnd"/>
            <w:r>
              <w:rPr>
                <w:rFonts w:ascii="Century Gothic" w:hAnsi="Century Gothic"/>
                <w:color w:val="228B22"/>
                <w:sz w:val="28"/>
              </w:rPr>
              <w:t xml:space="preserve"> </w:t>
            </w:r>
            <w:r w:rsidR="00CF74D3">
              <w:rPr>
                <w:rFonts w:ascii="Century Gothic" w:hAnsi="Century Gothic"/>
                <w:color w:val="228B22"/>
                <w:sz w:val="28"/>
              </w:rPr>
              <w:t>E1-</w:t>
            </w:r>
            <w:r w:rsidR="00A21C49">
              <w:rPr>
                <w:rFonts w:ascii="Century Gothic" w:hAnsi="Century Gothic"/>
                <w:color w:val="228B22"/>
                <w:sz w:val="28"/>
              </w:rPr>
              <w:t>5</w:t>
            </w:r>
            <w:r w:rsidR="00CF74D3">
              <w:rPr>
                <w:rFonts w:ascii="Century Gothic" w:hAnsi="Century Gothic"/>
                <w:color w:val="228B22"/>
                <w:sz w:val="28"/>
              </w:rPr>
              <w:t xml:space="preserve"> – </w:t>
            </w:r>
            <w:r w:rsidR="00A21C49">
              <w:rPr>
                <w:rFonts w:ascii="Century Gothic" w:hAnsi="Century Gothic"/>
                <w:color w:val="228B22"/>
                <w:sz w:val="28"/>
              </w:rPr>
              <w:t>Energieverbrauch und Energiemix</w:t>
            </w:r>
          </w:p>
        </w:tc>
        <w:tc>
          <w:tcPr>
            <w:tcW w:w="424" w:type="dxa"/>
            <w:tcBorders>
              <w:top w:val="nil"/>
              <w:left w:val="nil"/>
              <w:bottom w:val="nil"/>
            </w:tcBorders>
            <w:shd w:val="clear" w:color="auto" w:fill="C5F1C5"/>
            <w:textDirection w:val="btLr"/>
            <w:vAlign w:val="center"/>
          </w:tcPr>
          <w:p w:rsidR="00AF76A2" w:rsidRPr="006450B2" w:rsidRDefault="00A62C9B" w:rsidP="00AF76A2">
            <w:pPr>
              <w:pStyle w:val="berschrift1"/>
              <w:numPr>
                <w:ilvl w:val="0"/>
                <w:numId w:val="0"/>
              </w:numPr>
              <w:ind w:left="113" w:right="113"/>
              <w:jc w:val="center"/>
              <w:rPr>
                <w:rFonts w:ascii="Century Gothic" w:hAnsi="Century Gothic"/>
                <w:b w:val="0"/>
                <w:sz w:val="12"/>
                <w:szCs w:val="12"/>
              </w:rPr>
            </w:pPr>
            <w:r w:rsidRPr="006450B2">
              <w:rPr>
                <w:rFonts w:ascii="Century Gothic" w:hAnsi="Century Gothic"/>
                <w:b w:val="0"/>
                <w:color w:val="FF0000"/>
                <w:sz w:val="12"/>
                <w:szCs w:val="12"/>
              </w:rPr>
              <w:t>0</w:t>
            </w:r>
            <w:r w:rsidR="00F1074A">
              <w:rPr>
                <w:rFonts w:ascii="Century Gothic" w:hAnsi="Century Gothic"/>
                <w:b w:val="0"/>
                <w:color w:val="FF0000"/>
                <w:sz w:val="12"/>
                <w:szCs w:val="12"/>
              </w:rPr>
              <w:t>8</w:t>
            </w:r>
            <w:r w:rsidRPr="006450B2">
              <w:rPr>
                <w:rFonts w:ascii="Century Gothic" w:hAnsi="Century Gothic"/>
                <w:b w:val="0"/>
                <w:color w:val="FF0000"/>
                <w:sz w:val="12"/>
                <w:szCs w:val="12"/>
              </w:rPr>
              <w:t>/2024</w:t>
            </w:r>
          </w:p>
        </w:tc>
      </w:tr>
    </w:tbl>
    <w:p w:rsidR="00666AFB" w:rsidRPr="00F4746A" w:rsidRDefault="00666AFB" w:rsidP="006F5808">
      <w:pPr>
        <w:spacing w:before="60"/>
      </w:pP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983"/>
        <w:gridCol w:w="6955"/>
        <w:gridCol w:w="567"/>
        <w:gridCol w:w="567"/>
      </w:tblGrid>
      <w:tr w:rsidR="006F5808" w:rsidTr="00A90361">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83" w:type="dxa"/>
            <w:tcBorders>
              <w:top w:val="none" w:sz="0" w:space="0" w:color="auto"/>
              <w:left w:val="none" w:sz="0" w:space="0" w:color="auto"/>
              <w:bottom w:val="none" w:sz="0" w:space="0" w:color="auto"/>
              <w:right w:val="none" w:sz="0" w:space="0" w:color="auto"/>
            </w:tcBorders>
            <w:shd w:val="clear" w:color="auto" w:fill="C5F1C5"/>
            <w:vAlign w:val="center"/>
          </w:tcPr>
          <w:p w:rsidR="006F5808" w:rsidRPr="00D7430B" w:rsidRDefault="006F5808" w:rsidP="00A90361">
            <w:pPr>
              <w:spacing w:before="0"/>
              <w:contextualSpacing/>
              <w:jc w:val="left"/>
              <w:rPr>
                <w:color w:val="000000" w:themeColor="text1"/>
                <w:sz w:val="20"/>
                <w:szCs w:val="20"/>
              </w:rPr>
            </w:pPr>
            <w:bookmarkStart w:id="0" w:name="_Hlk168988876"/>
            <w:r w:rsidRPr="00D7430B">
              <w:rPr>
                <w:color w:val="000000" w:themeColor="text1"/>
                <w:sz w:val="20"/>
                <w:szCs w:val="20"/>
              </w:rPr>
              <w:t>E1-5</w:t>
            </w:r>
          </w:p>
        </w:tc>
        <w:tc>
          <w:tcPr>
            <w:tcW w:w="6955" w:type="dxa"/>
            <w:tcBorders>
              <w:top w:val="none" w:sz="0" w:space="0" w:color="auto"/>
              <w:left w:val="none" w:sz="0" w:space="0" w:color="auto"/>
              <w:bottom w:val="none" w:sz="0" w:space="0" w:color="auto"/>
              <w:right w:val="none" w:sz="0" w:space="0" w:color="auto"/>
            </w:tcBorders>
            <w:shd w:val="clear" w:color="auto" w:fill="C5F1C5"/>
            <w:vAlign w:val="center"/>
          </w:tcPr>
          <w:p w:rsidR="006F5808" w:rsidRPr="00D7430B" w:rsidRDefault="006F5808" w:rsidP="00A90361">
            <w:pPr>
              <w:spacing w:before="0"/>
              <w:contextualSpacing/>
              <w:jc w:val="left"/>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D7430B">
              <w:rPr>
                <w:color w:val="000000" w:themeColor="text1"/>
                <w:sz w:val="20"/>
                <w:szCs w:val="20"/>
              </w:rPr>
              <w:t>Energieverbrauch und Energiemix</w:t>
            </w:r>
          </w:p>
        </w:tc>
        <w:tc>
          <w:tcPr>
            <w:tcW w:w="567" w:type="dxa"/>
            <w:tcBorders>
              <w:top w:val="none" w:sz="0" w:space="0" w:color="auto"/>
              <w:left w:val="none" w:sz="0" w:space="0" w:color="auto"/>
              <w:bottom w:val="none" w:sz="0" w:space="0" w:color="auto"/>
              <w:right w:val="none" w:sz="0" w:space="0" w:color="auto"/>
            </w:tcBorders>
            <w:shd w:val="clear" w:color="auto" w:fill="auto"/>
            <w:vAlign w:val="center"/>
          </w:tcPr>
          <w:p w:rsidR="006F5808" w:rsidRPr="003C0F68" w:rsidRDefault="006F5808" w:rsidP="00A90361">
            <w:pPr>
              <w:spacing w:before="0"/>
              <w:contextualSpacing/>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56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6F5808" w:rsidRPr="00572574" w:rsidRDefault="002028A4" w:rsidP="00A90361">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24</w:t>
            </w:r>
          </w:p>
        </w:tc>
      </w:tr>
      <w:bookmarkEnd w:id="0"/>
    </w:tbl>
    <w:p w:rsidR="00E329E8" w:rsidRPr="00BC1312" w:rsidRDefault="00E329E8" w:rsidP="006450B2">
      <w:pPr>
        <w:spacing w:before="0"/>
        <w:contextualSpacing/>
        <w:rPr>
          <w:sz w:val="20"/>
        </w:rPr>
      </w:pP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9"/>
        <w:gridCol w:w="6240"/>
        <w:gridCol w:w="1843"/>
      </w:tblGrid>
      <w:tr w:rsidR="006F5808" w:rsidRPr="00122B7B" w:rsidTr="00A90361">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6F5808" w:rsidRPr="00122B7B" w:rsidRDefault="006F5808" w:rsidP="006450B2">
            <w:pPr>
              <w:spacing w:before="0"/>
              <w:contextualSpacing/>
              <w:jc w:val="left"/>
              <w:rPr>
                <w:color w:val="000000" w:themeColor="text1"/>
                <w:sz w:val="20"/>
                <w:szCs w:val="20"/>
              </w:rPr>
            </w:pPr>
            <w:r w:rsidRPr="00122B7B">
              <w:rPr>
                <w:color w:val="000000" w:themeColor="text1"/>
                <w:sz w:val="20"/>
                <w:szCs w:val="20"/>
              </w:rPr>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p>
        </w:tc>
      </w:tr>
      <w:tr w:rsidR="006F5808" w:rsidRPr="00F4746A" w:rsidTr="005A2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cnfStyle w:val="100000000000" w:firstRow="1" w:lastRow="0" w:firstColumn="0" w:lastColumn="0" w:oddVBand="0" w:evenVBand="0" w:oddHBand="0" w:evenHBand="0" w:firstRowFirstColumn="0" w:firstRowLastColumn="0" w:lastRowFirstColumn="0" w:lastRowLastColumn="0"/>
          <w:trHeight w:val="25"/>
          <w:tblHeader/>
        </w:trPr>
        <w:tc>
          <w:tcPr>
            <w:cnfStyle w:val="001000000000" w:firstRow="0" w:lastRow="0" w:firstColumn="1" w:lastColumn="0" w:oddVBand="0" w:evenVBand="0" w:oddHBand="0" w:evenHBand="0" w:firstRowFirstColumn="0" w:firstRowLastColumn="0" w:lastRowFirstColumn="0" w:lastRowLastColumn="0"/>
            <w:tcW w:w="989" w:type="dxa"/>
            <w:tcBorders>
              <w:left w:val="nil"/>
              <w:bottom w:val="single" w:sz="4" w:space="0" w:color="auto"/>
            </w:tcBorders>
            <w:shd w:val="clear" w:color="auto" w:fill="auto"/>
            <w:vAlign w:val="center"/>
          </w:tcPr>
          <w:p w:rsidR="006F5808" w:rsidRPr="00F4746A" w:rsidRDefault="006F5808" w:rsidP="006450B2">
            <w:pPr>
              <w:spacing w:before="0"/>
              <w:contextualSpacing/>
              <w:rPr>
                <w:sz w:val="2"/>
                <w:szCs w:val="2"/>
              </w:rPr>
            </w:pPr>
          </w:p>
        </w:tc>
        <w:tc>
          <w:tcPr>
            <w:tcW w:w="6240" w:type="dxa"/>
            <w:tcBorders>
              <w:bottom w:val="single" w:sz="4" w:space="0" w:color="auto"/>
            </w:tcBorders>
            <w:shd w:val="clear" w:color="auto" w:fill="auto"/>
            <w:vAlign w:val="center"/>
          </w:tcPr>
          <w:p w:rsidR="006F5808" w:rsidRPr="00F4746A" w:rsidRDefault="006F5808" w:rsidP="006450B2">
            <w:pPr>
              <w:spacing w:before="0"/>
              <w:contextualSpacing/>
              <w:cnfStyle w:val="100000000000" w:firstRow="1" w:lastRow="0" w:firstColumn="0" w:lastColumn="0" w:oddVBand="0" w:evenVBand="0" w:oddHBand="0" w:evenHBand="0" w:firstRowFirstColumn="0" w:firstRowLastColumn="0" w:lastRowFirstColumn="0" w:lastRowLastColumn="0"/>
              <w:rPr>
                <w:sz w:val="2"/>
                <w:szCs w:val="2"/>
              </w:rPr>
            </w:pPr>
          </w:p>
        </w:tc>
        <w:tc>
          <w:tcPr>
            <w:tcW w:w="1843" w:type="dxa"/>
            <w:tcBorders>
              <w:bottom w:val="single" w:sz="4" w:space="0" w:color="auto"/>
              <w:right w:val="nil"/>
            </w:tcBorders>
            <w:shd w:val="clear" w:color="auto" w:fill="auto"/>
            <w:vAlign w:val="center"/>
          </w:tcPr>
          <w:p w:rsidR="006F5808" w:rsidRPr="00F4746A" w:rsidRDefault="006F5808" w:rsidP="006450B2">
            <w:pPr>
              <w:spacing w:before="0"/>
              <w:contextualSpacing/>
              <w:cnfStyle w:val="100000000000" w:firstRow="1" w:lastRow="0" w:firstColumn="0" w:lastColumn="0" w:oddVBand="0" w:evenVBand="0" w:oddHBand="0" w:evenHBand="0" w:firstRowFirstColumn="0" w:firstRowLastColumn="0" w:lastRowFirstColumn="0" w:lastRowLastColumn="0"/>
              <w:rPr>
                <w:sz w:val="2"/>
                <w:szCs w:val="2"/>
              </w:rPr>
            </w:pPr>
          </w:p>
        </w:tc>
      </w:tr>
      <w:tr w:rsidR="0047207E" w:rsidRPr="00403766" w:rsidTr="005A2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403766" w:rsidRDefault="0047207E" w:rsidP="006450B2">
            <w:pPr>
              <w:spacing w:before="0"/>
              <w:contextualSpacing/>
              <w:jc w:val="center"/>
              <w:rPr>
                <w:sz w:val="20"/>
                <w:szCs w:val="20"/>
              </w:rPr>
            </w:pPr>
            <w:r w:rsidRPr="00403766">
              <w:rPr>
                <w:sz w:val="20"/>
                <w:szCs w:val="20"/>
              </w:rPr>
              <w:t>Quelle ESRS E1</w:t>
            </w:r>
          </w:p>
        </w:tc>
        <w:tc>
          <w:tcPr>
            <w:tcW w:w="6240"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403766" w:rsidRDefault="00990933" w:rsidP="006450B2">
            <w:pPr>
              <w:spacing w:before="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Parameter und Ziele</w:t>
            </w:r>
          </w:p>
        </w:tc>
        <w:tc>
          <w:tcPr>
            <w:tcW w:w="1843"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403766" w:rsidRDefault="0047207E" w:rsidP="006450B2">
            <w:pPr>
              <w:spacing w:before="0"/>
              <w:contextualSpacing/>
              <w:jc w:val="center"/>
              <w:cnfStyle w:val="100000000000" w:firstRow="1" w:lastRow="0" w:firstColumn="0" w:lastColumn="0" w:oddVBand="0" w:evenVBand="0" w:oddHBand="0" w:evenHBand="0" w:firstRowFirstColumn="0" w:firstRowLastColumn="0" w:lastRowFirstColumn="0" w:lastRowLastColumn="0"/>
              <w:rPr>
                <w:sz w:val="16"/>
                <w:szCs w:val="16"/>
              </w:rPr>
            </w:pPr>
            <w:r w:rsidRPr="00403766">
              <w:rPr>
                <w:sz w:val="16"/>
                <w:szCs w:val="16"/>
              </w:rPr>
              <w:t>Bemerkungen, ggf. Verweis auf Datenpunkte</w:t>
            </w:r>
          </w:p>
        </w:tc>
      </w:tr>
      <w:tr w:rsidR="0047207E" w:rsidRPr="00757904" w:rsidTr="00A90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tcBorders>
            <w:shd w:val="clear" w:color="auto" w:fill="C5F1C5"/>
          </w:tcPr>
          <w:p w:rsidR="0047207E" w:rsidRPr="0015165A" w:rsidRDefault="0047207E" w:rsidP="006450B2">
            <w:pPr>
              <w:spacing w:before="0"/>
              <w:contextualSpacing/>
              <w:jc w:val="center"/>
              <w:rPr>
                <w:sz w:val="16"/>
                <w:szCs w:val="16"/>
              </w:rPr>
            </w:pPr>
            <w:r w:rsidRPr="0015165A">
              <w:rPr>
                <w:sz w:val="16"/>
                <w:szCs w:val="16"/>
              </w:rPr>
              <w:t xml:space="preserve">Tz. </w:t>
            </w:r>
            <w:r w:rsidR="003B2A7D">
              <w:rPr>
                <w:sz w:val="16"/>
                <w:szCs w:val="16"/>
              </w:rPr>
              <w:t>35</w:t>
            </w:r>
          </w:p>
        </w:tc>
        <w:tc>
          <w:tcPr>
            <w:tcW w:w="6240" w:type="dxa"/>
            <w:tcBorders>
              <w:top w:val="single" w:sz="4" w:space="0" w:color="auto"/>
            </w:tcBorders>
            <w:shd w:val="clear" w:color="auto" w:fill="auto"/>
            <w:vAlign w:val="center"/>
          </w:tcPr>
          <w:p w:rsidR="0047207E" w:rsidRPr="002B7BC2" w:rsidRDefault="00757904" w:rsidP="006450B2">
            <w:pPr>
              <w:tabs>
                <w:tab w:val="left" w:pos="1961"/>
              </w:tabs>
              <w:spacing w:before="0"/>
              <w:contextualSpacing/>
              <w:cnfStyle w:val="000000100000" w:firstRow="0" w:lastRow="0" w:firstColumn="0" w:lastColumn="0" w:oddVBand="0" w:evenVBand="0" w:oddHBand="1" w:evenHBand="0" w:firstRowFirstColumn="0" w:firstRowLastColumn="0" w:lastRowFirstColumn="0" w:lastRowLastColumn="0"/>
              <w:rPr>
                <w:sz w:val="16"/>
                <w:szCs w:val="16"/>
              </w:rPr>
            </w:pPr>
            <w:r w:rsidRPr="002B7BC2">
              <w:rPr>
                <w:b/>
                <w:bCs/>
                <w:sz w:val="16"/>
                <w:szCs w:val="16"/>
              </w:rPr>
              <w:t xml:space="preserve">Das Unternehmen hat </w:t>
            </w:r>
            <w:r w:rsidR="003B2A7D">
              <w:rPr>
                <w:b/>
                <w:bCs/>
                <w:sz w:val="16"/>
                <w:szCs w:val="16"/>
              </w:rPr>
              <w:t>Informationen über seinen Energieverbrauch und seinen Energiemix zur Verfügung zu stellen.</w:t>
            </w:r>
          </w:p>
        </w:tc>
        <w:tc>
          <w:tcPr>
            <w:tcW w:w="1843" w:type="dxa"/>
            <w:tcBorders>
              <w:top w:val="single" w:sz="4" w:space="0" w:color="auto"/>
            </w:tcBorders>
            <w:shd w:val="clear" w:color="auto" w:fill="auto"/>
          </w:tcPr>
          <w:p w:rsidR="0047207E" w:rsidRPr="00757904" w:rsidRDefault="0047207E" w:rsidP="006450B2">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757904" w:rsidRPr="000E0C5F" w:rsidTr="005A2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cnfStyle w:val="001000000000" w:firstRow="0" w:lastRow="0" w:firstColumn="1" w:lastColumn="0" w:oddVBand="0" w:evenVBand="0" w:oddHBand="0" w:evenHBand="0" w:firstRowFirstColumn="0" w:firstRowLastColumn="0" w:lastRowFirstColumn="0" w:lastRowLastColumn="0"/>
            <w:tcW w:w="989" w:type="dxa"/>
            <w:shd w:val="clear" w:color="auto" w:fill="C5F1C5"/>
          </w:tcPr>
          <w:p w:rsidR="00757904" w:rsidRPr="0015165A" w:rsidRDefault="00757904" w:rsidP="006450B2">
            <w:pPr>
              <w:spacing w:before="0"/>
              <w:contextualSpacing/>
              <w:jc w:val="center"/>
              <w:rPr>
                <w:sz w:val="16"/>
                <w:szCs w:val="16"/>
              </w:rPr>
            </w:pPr>
            <w:r w:rsidRPr="0015165A">
              <w:rPr>
                <w:sz w:val="16"/>
                <w:szCs w:val="16"/>
              </w:rPr>
              <w:t xml:space="preserve">Tz. </w:t>
            </w:r>
            <w:r>
              <w:rPr>
                <w:sz w:val="16"/>
                <w:szCs w:val="16"/>
              </w:rPr>
              <w:t>3</w:t>
            </w:r>
            <w:r w:rsidR="005961B3">
              <w:rPr>
                <w:sz w:val="16"/>
                <w:szCs w:val="16"/>
              </w:rPr>
              <w:t>6</w:t>
            </w:r>
          </w:p>
        </w:tc>
        <w:tc>
          <w:tcPr>
            <w:tcW w:w="6240" w:type="dxa"/>
            <w:shd w:val="clear" w:color="auto" w:fill="auto"/>
          </w:tcPr>
          <w:p w:rsidR="00757904" w:rsidRPr="002B7BC2" w:rsidRDefault="005961B3" w:rsidP="006450B2">
            <w:pPr>
              <w:spacing w:before="0"/>
              <w:contextualSpacing/>
              <w:cnfStyle w:val="000000000000" w:firstRow="0" w:lastRow="0" w:firstColumn="0" w:lastColumn="0" w:oddVBand="0" w:evenVBand="0" w:oddHBand="0" w:evenHBand="0" w:firstRowFirstColumn="0" w:firstRowLastColumn="0" w:lastRowFirstColumn="0" w:lastRowLastColumn="0"/>
              <w:rPr>
                <w:sz w:val="16"/>
                <w:szCs w:val="16"/>
              </w:rPr>
            </w:pPr>
            <w:r w:rsidRPr="005961B3">
              <w:rPr>
                <w:sz w:val="16"/>
                <w:szCs w:val="16"/>
              </w:rPr>
              <w:t xml:space="preserve">Ziel dieser </w:t>
            </w:r>
            <w:proofErr w:type="spellStart"/>
            <w:r w:rsidRPr="005961B3">
              <w:rPr>
                <w:sz w:val="16"/>
                <w:szCs w:val="16"/>
              </w:rPr>
              <w:t>Angabepflicht</w:t>
            </w:r>
            <w:proofErr w:type="spellEnd"/>
            <w:r w:rsidRPr="005961B3">
              <w:rPr>
                <w:sz w:val="16"/>
                <w:szCs w:val="16"/>
              </w:rPr>
              <w:t xml:space="preserve"> ist es, ein Verständnis für den Gesamtenergieverbrauch des Unternehmens in absoluten Zahlen, die Verbesserung der Energieeffizienz, die Exposition gegenüber Aktivitäten in den Bereichen Kohle, Öl und Gas und den Anteil </w:t>
            </w:r>
            <w:r w:rsidRPr="005961B3">
              <w:rPr>
                <w:b/>
                <w:bCs/>
                <w:sz w:val="16"/>
                <w:szCs w:val="16"/>
              </w:rPr>
              <w:t xml:space="preserve">erneuerbarer Energien </w:t>
            </w:r>
            <w:r w:rsidRPr="005961B3">
              <w:rPr>
                <w:sz w:val="16"/>
                <w:szCs w:val="16"/>
              </w:rPr>
              <w:t>am Gesamtenergiemix des Unternehmens zu vermitteln.</w:t>
            </w:r>
          </w:p>
        </w:tc>
        <w:tc>
          <w:tcPr>
            <w:tcW w:w="1843" w:type="dxa"/>
            <w:shd w:val="clear" w:color="auto" w:fill="auto"/>
          </w:tcPr>
          <w:p w:rsidR="00757904" w:rsidRPr="000E0C5F" w:rsidRDefault="00757904" w:rsidP="006450B2">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r w:rsidR="00757904" w:rsidRPr="000E0C5F" w:rsidTr="005A2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shd w:val="clear" w:color="auto" w:fill="C5F1C5"/>
          </w:tcPr>
          <w:p w:rsidR="00757904" w:rsidRPr="0015165A" w:rsidRDefault="00757904" w:rsidP="006450B2">
            <w:pPr>
              <w:spacing w:before="0"/>
              <w:contextualSpacing/>
              <w:jc w:val="center"/>
              <w:rPr>
                <w:sz w:val="16"/>
                <w:szCs w:val="16"/>
              </w:rPr>
            </w:pPr>
            <w:bookmarkStart w:id="1" w:name="_GoBack"/>
            <w:r>
              <w:rPr>
                <w:sz w:val="16"/>
                <w:szCs w:val="16"/>
              </w:rPr>
              <w:t>Tz. 3</w:t>
            </w:r>
            <w:r w:rsidR="005961B3">
              <w:rPr>
                <w:sz w:val="16"/>
                <w:szCs w:val="16"/>
              </w:rPr>
              <w:t>7</w:t>
            </w:r>
          </w:p>
        </w:tc>
        <w:tc>
          <w:tcPr>
            <w:tcW w:w="6240" w:type="dxa"/>
            <w:tcBorders>
              <w:bottom w:val="single" w:sz="4" w:space="0" w:color="auto"/>
            </w:tcBorders>
            <w:shd w:val="clear" w:color="auto" w:fill="auto"/>
          </w:tcPr>
          <w:p w:rsidR="005961B3" w:rsidRPr="005961B3" w:rsidRDefault="005961B3" w:rsidP="006450B2">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961B3">
              <w:rPr>
                <w:rFonts w:ascii="Century Gothic" w:hAnsi="Century Gothic"/>
                <w:sz w:val="16"/>
                <w:szCs w:val="16"/>
              </w:rPr>
              <w:t>Die Angaben gemäß Absatz 35 umfassen den Gesamtenergieverbrauch in MWh im Zusammenhang mit dem eigenen Betrieb, aufgeschlüsselt wie folgt:</w:t>
            </w:r>
          </w:p>
          <w:p w:rsidR="005961B3" w:rsidRPr="005961B3" w:rsidRDefault="005961B3" w:rsidP="006450B2">
            <w:pPr>
              <w:pStyle w:val="Default"/>
              <w:numPr>
                <w:ilvl w:val="0"/>
                <w:numId w:val="30"/>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961B3">
              <w:rPr>
                <w:rFonts w:ascii="Century Gothic" w:hAnsi="Century Gothic"/>
                <w:sz w:val="16"/>
                <w:szCs w:val="16"/>
              </w:rPr>
              <w:t>Gesamtenergieverbrauch aus erneuerbaren Quellen</w:t>
            </w:r>
            <w:r w:rsidR="00BC1312" w:rsidRPr="005A2FFB">
              <w:rPr>
                <w:rStyle w:val="Funotenzeichen"/>
                <w:rFonts w:ascii="Century Gothic" w:hAnsi="Century Gothic"/>
                <w:sz w:val="16"/>
              </w:rPr>
              <w:footnoteReference w:id="1"/>
            </w:r>
            <w:r w:rsidRPr="005A2FFB">
              <w:rPr>
                <w:rFonts w:ascii="Century Gothic" w:hAnsi="Century Gothic"/>
                <w:sz w:val="16"/>
                <w:szCs w:val="16"/>
              </w:rPr>
              <w:t>,</w:t>
            </w:r>
          </w:p>
          <w:p w:rsidR="005961B3" w:rsidRPr="005961B3" w:rsidRDefault="005961B3" w:rsidP="006450B2">
            <w:pPr>
              <w:pStyle w:val="Default"/>
              <w:numPr>
                <w:ilvl w:val="0"/>
                <w:numId w:val="30"/>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961B3">
              <w:rPr>
                <w:rFonts w:ascii="Century Gothic" w:hAnsi="Century Gothic"/>
                <w:sz w:val="16"/>
                <w:szCs w:val="16"/>
              </w:rPr>
              <w:t>Gesamtenergieverbrauch aus nuklearen Quellen,</w:t>
            </w:r>
          </w:p>
          <w:p w:rsidR="005961B3" w:rsidRPr="005961B3" w:rsidRDefault="005961B3" w:rsidP="006450B2">
            <w:pPr>
              <w:pStyle w:val="Default"/>
              <w:numPr>
                <w:ilvl w:val="0"/>
                <w:numId w:val="30"/>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961B3">
              <w:rPr>
                <w:rFonts w:ascii="Century Gothic" w:hAnsi="Century Gothic"/>
                <w:sz w:val="16"/>
                <w:szCs w:val="16"/>
              </w:rPr>
              <w:t>Gesamtenergieverbrauch aus erneuerbaren Quellen, aufgeschlüsselt nach:</w:t>
            </w:r>
          </w:p>
          <w:p w:rsidR="005961B3" w:rsidRDefault="005961B3" w:rsidP="006450B2">
            <w:pPr>
              <w:pStyle w:val="Default"/>
              <w:numPr>
                <w:ilvl w:val="0"/>
                <w:numId w:val="31"/>
              </w:numPr>
              <w:ind w:left="749"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961B3">
              <w:rPr>
                <w:rFonts w:ascii="Century Gothic" w:hAnsi="Century Gothic"/>
                <w:sz w:val="16"/>
                <w:szCs w:val="16"/>
              </w:rPr>
              <w:t>Brennstoffverbrauch für erneuerbare Quellen, einschließlich Biomasse (auch Industrie- und Siedlungsabfälle biologischen Ursprungs), Biokraftstoffe, Biogas, Wasserstoff aus erneuerbaren Quellen</w:t>
            </w:r>
            <w:r w:rsidR="00BC1312" w:rsidRPr="005A2FFB">
              <w:rPr>
                <w:rStyle w:val="Funotenzeichen"/>
                <w:rFonts w:ascii="Century Gothic" w:hAnsi="Century Gothic"/>
                <w:sz w:val="16"/>
              </w:rPr>
              <w:footnoteReference w:id="2"/>
            </w:r>
            <w:r w:rsidR="009974E2" w:rsidRPr="00BC1312">
              <w:rPr>
                <w:rFonts w:ascii="Century Gothic" w:hAnsi="Century Gothic"/>
                <w:b/>
                <w:sz w:val="16"/>
                <w:szCs w:val="16"/>
              </w:rPr>
              <w:t xml:space="preserve"> </w:t>
            </w:r>
            <w:r w:rsidRPr="005961B3">
              <w:rPr>
                <w:rFonts w:ascii="Century Gothic" w:hAnsi="Century Gothic"/>
                <w:sz w:val="16"/>
                <w:szCs w:val="16"/>
              </w:rPr>
              <w:t>usw.</w:t>
            </w:r>
            <w:r>
              <w:rPr>
                <w:rFonts w:ascii="Century Gothic" w:hAnsi="Century Gothic"/>
                <w:sz w:val="16"/>
                <w:szCs w:val="16"/>
              </w:rPr>
              <w:t>,</w:t>
            </w:r>
          </w:p>
          <w:p w:rsidR="005961B3" w:rsidRDefault="005961B3" w:rsidP="006450B2">
            <w:pPr>
              <w:pStyle w:val="Default"/>
              <w:numPr>
                <w:ilvl w:val="0"/>
                <w:numId w:val="31"/>
              </w:numPr>
              <w:ind w:left="749"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961B3">
              <w:rPr>
                <w:rFonts w:ascii="Century Gothic" w:hAnsi="Century Gothic"/>
                <w:sz w:val="16"/>
                <w:szCs w:val="16"/>
              </w:rPr>
              <w:t>Verbrauch aus erworbener und erhaltener Elektrizität, Wärme, Dampf und Kühlung aus erneuerbaren Quellen und</w:t>
            </w:r>
          </w:p>
          <w:p w:rsidR="00757904" w:rsidRPr="005961B3" w:rsidRDefault="005961B3" w:rsidP="006450B2">
            <w:pPr>
              <w:pStyle w:val="Default"/>
              <w:numPr>
                <w:ilvl w:val="0"/>
                <w:numId w:val="31"/>
              </w:numPr>
              <w:ind w:left="749" w:hanging="284"/>
              <w:contextualSpacing/>
              <w:jc w:val="both"/>
              <w:cnfStyle w:val="000000100000" w:firstRow="0" w:lastRow="0" w:firstColumn="0" w:lastColumn="0" w:oddVBand="0" w:evenVBand="0" w:oddHBand="1" w:evenHBand="0" w:firstRowFirstColumn="0" w:firstRowLastColumn="0" w:lastRowFirstColumn="0" w:lastRowLastColumn="0"/>
              <w:rPr>
                <w:sz w:val="16"/>
                <w:szCs w:val="16"/>
              </w:rPr>
            </w:pPr>
            <w:r w:rsidRPr="005961B3">
              <w:rPr>
                <w:rFonts w:ascii="Century Gothic" w:hAnsi="Century Gothic"/>
                <w:sz w:val="16"/>
                <w:szCs w:val="16"/>
              </w:rPr>
              <w:t>Verbrauch selbst erzeugter erneuerbarer Energie, bei der es sich nicht um Brennstoffe handelt.</w:t>
            </w:r>
            <w:r w:rsidRPr="005961B3">
              <w:rPr>
                <w:rFonts w:ascii="Century Gothic" w:hAnsi="Century Gothic"/>
                <w:sz w:val="16"/>
                <w:szCs w:val="16"/>
              </w:rPr>
              <w:tab/>
            </w:r>
          </w:p>
        </w:tc>
        <w:tc>
          <w:tcPr>
            <w:tcW w:w="1843" w:type="dxa"/>
            <w:tcBorders>
              <w:bottom w:val="single" w:sz="4" w:space="0" w:color="auto"/>
            </w:tcBorders>
            <w:shd w:val="clear" w:color="auto" w:fill="auto"/>
          </w:tcPr>
          <w:p w:rsidR="00757904" w:rsidRPr="000E0C5F" w:rsidRDefault="00757904" w:rsidP="006450B2">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bookmarkEnd w:id="1"/>
      <w:tr w:rsidR="00757904" w:rsidRPr="000E0C5F" w:rsidTr="005A2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C5F1C5"/>
          </w:tcPr>
          <w:p w:rsidR="00757904" w:rsidRPr="0015165A" w:rsidRDefault="00757904" w:rsidP="006450B2">
            <w:pPr>
              <w:spacing w:before="0"/>
              <w:contextualSpacing/>
              <w:jc w:val="center"/>
              <w:rPr>
                <w:sz w:val="16"/>
                <w:szCs w:val="16"/>
              </w:rPr>
            </w:pPr>
            <w:r>
              <w:rPr>
                <w:sz w:val="16"/>
                <w:szCs w:val="16"/>
              </w:rPr>
              <w:t>Tz. 3</w:t>
            </w:r>
            <w:r w:rsidR="005961B3">
              <w:rPr>
                <w:sz w:val="16"/>
                <w:szCs w:val="16"/>
              </w:rPr>
              <w:t>8</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5961B3" w:rsidRPr="00BC5E27" w:rsidRDefault="00BC5E27" w:rsidP="006450B2">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U</w:t>
            </w:r>
            <w:r w:rsidR="005961B3" w:rsidRPr="00BC5E27">
              <w:rPr>
                <w:rFonts w:ascii="Century Gothic" w:hAnsi="Century Gothic"/>
                <w:sz w:val="16"/>
                <w:szCs w:val="16"/>
              </w:rPr>
              <w:t xml:space="preserve">nternehmen, die in </w:t>
            </w:r>
            <w:r w:rsidR="005961B3" w:rsidRPr="00BC5E27">
              <w:rPr>
                <w:rFonts w:ascii="Century Gothic" w:hAnsi="Century Gothic"/>
                <w:b/>
                <w:bCs/>
                <w:sz w:val="16"/>
                <w:szCs w:val="16"/>
              </w:rPr>
              <w:t>klimaintensiven Sektoren</w:t>
            </w:r>
            <w:r w:rsidR="00BC1312" w:rsidRPr="005A2FFB">
              <w:rPr>
                <w:rStyle w:val="Funotenzeichen"/>
                <w:rFonts w:ascii="Century Gothic" w:hAnsi="Century Gothic"/>
                <w:bCs/>
                <w:sz w:val="16"/>
              </w:rPr>
              <w:footnoteReference w:id="3"/>
            </w:r>
            <w:r>
              <w:rPr>
                <w:rFonts w:ascii="Century Gothic" w:hAnsi="Century Gothic"/>
                <w:b/>
                <w:bCs/>
                <w:sz w:val="16"/>
                <w:szCs w:val="16"/>
              </w:rPr>
              <w:t xml:space="preserve"> </w:t>
            </w:r>
            <w:r w:rsidRPr="002746D6">
              <w:rPr>
                <w:rFonts w:ascii="Century Gothic" w:hAnsi="Century Gothic"/>
                <w:bCs/>
                <w:sz w:val="16"/>
                <w:szCs w:val="16"/>
              </w:rPr>
              <w:t>t</w:t>
            </w:r>
            <w:r w:rsidR="005961B3" w:rsidRPr="00BC5E27">
              <w:rPr>
                <w:rFonts w:ascii="Century Gothic" w:hAnsi="Century Gothic"/>
                <w:sz w:val="16"/>
                <w:szCs w:val="16"/>
              </w:rPr>
              <w:t>ätig sind, müssen ihren Gesamtenergieverbrauch aus fossilen Quellen weiter nach Folgendem aufschlüsseln:</w:t>
            </w:r>
          </w:p>
          <w:p w:rsidR="005961B3" w:rsidRPr="00BC5E27" w:rsidRDefault="00BC5E27" w:rsidP="006450B2">
            <w:pPr>
              <w:pStyle w:val="Default"/>
              <w:numPr>
                <w:ilvl w:val="0"/>
                <w:numId w:val="3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C5E27">
              <w:rPr>
                <w:rFonts w:ascii="Century Gothic" w:hAnsi="Century Gothic"/>
                <w:sz w:val="16"/>
                <w:szCs w:val="16"/>
              </w:rPr>
              <w:t>Brenn</w:t>
            </w:r>
            <w:r>
              <w:rPr>
                <w:rFonts w:ascii="Century Gothic" w:hAnsi="Century Gothic"/>
                <w:sz w:val="16"/>
                <w:szCs w:val="16"/>
              </w:rPr>
              <w:t>st</w:t>
            </w:r>
            <w:r w:rsidR="005961B3" w:rsidRPr="00BC5E27">
              <w:rPr>
                <w:rFonts w:ascii="Century Gothic" w:hAnsi="Century Gothic"/>
                <w:sz w:val="16"/>
                <w:szCs w:val="16"/>
              </w:rPr>
              <w:t>offverbrauch aus Kohle und Kohleerzeugnissen,</w:t>
            </w:r>
          </w:p>
          <w:p w:rsidR="005961B3" w:rsidRPr="00BC5E27" w:rsidRDefault="00BC5E27" w:rsidP="006450B2">
            <w:pPr>
              <w:pStyle w:val="Default"/>
              <w:numPr>
                <w:ilvl w:val="0"/>
                <w:numId w:val="3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C5E27">
              <w:rPr>
                <w:rFonts w:ascii="Century Gothic" w:hAnsi="Century Gothic"/>
                <w:sz w:val="16"/>
                <w:szCs w:val="16"/>
              </w:rPr>
              <w:t>Br</w:t>
            </w:r>
            <w:r w:rsidR="005961B3" w:rsidRPr="00BC5E27">
              <w:rPr>
                <w:rFonts w:ascii="Century Gothic" w:hAnsi="Century Gothic"/>
                <w:sz w:val="16"/>
                <w:szCs w:val="16"/>
              </w:rPr>
              <w:t>ennstoffverbrauch aus Rohöl und Erdölerzeugnissen,</w:t>
            </w:r>
          </w:p>
          <w:p w:rsidR="005961B3" w:rsidRPr="00BC5E27" w:rsidRDefault="00BC5E27" w:rsidP="006450B2">
            <w:pPr>
              <w:pStyle w:val="Default"/>
              <w:numPr>
                <w:ilvl w:val="0"/>
                <w:numId w:val="3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C5E27">
              <w:rPr>
                <w:rFonts w:ascii="Century Gothic" w:hAnsi="Century Gothic"/>
                <w:sz w:val="16"/>
                <w:szCs w:val="16"/>
              </w:rPr>
              <w:t>Br</w:t>
            </w:r>
            <w:r w:rsidR="005961B3" w:rsidRPr="00BC5E27">
              <w:rPr>
                <w:rFonts w:ascii="Century Gothic" w:hAnsi="Century Gothic"/>
                <w:sz w:val="16"/>
                <w:szCs w:val="16"/>
              </w:rPr>
              <w:t>ennstoffverbrauch aus Erdgas,</w:t>
            </w:r>
          </w:p>
          <w:p w:rsidR="005961B3" w:rsidRPr="00BC5E27" w:rsidRDefault="005961B3" w:rsidP="006450B2">
            <w:pPr>
              <w:pStyle w:val="Default"/>
              <w:numPr>
                <w:ilvl w:val="0"/>
                <w:numId w:val="3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C5E27">
              <w:rPr>
                <w:rFonts w:ascii="Century Gothic" w:hAnsi="Century Gothic"/>
                <w:sz w:val="16"/>
                <w:szCs w:val="16"/>
              </w:rPr>
              <w:t>Brennstoffverbrauch aus anderen fossilen Quellen,</w:t>
            </w:r>
          </w:p>
          <w:p w:rsidR="00757904" w:rsidRPr="00BC5E27" w:rsidRDefault="00BC5E27" w:rsidP="006450B2">
            <w:pPr>
              <w:pStyle w:val="Default"/>
              <w:numPr>
                <w:ilvl w:val="0"/>
                <w:numId w:val="3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C5E27">
              <w:rPr>
                <w:rFonts w:ascii="Century Gothic" w:hAnsi="Century Gothic"/>
                <w:sz w:val="16"/>
                <w:szCs w:val="16"/>
              </w:rPr>
              <w:t>Ver</w:t>
            </w:r>
            <w:r w:rsidR="005961B3" w:rsidRPr="00BC5E27">
              <w:rPr>
                <w:rFonts w:ascii="Century Gothic" w:hAnsi="Century Gothic"/>
                <w:sz w:val="16"/>
                <w:szCs w:val="16"/>
              </w:rPr>
              <w:t xml:space="preserve">brauch aus </w:t>
            </w:r>
            <w:r w:rsidR="005961B3" w:rsidRPr="00BC5E27">
              <w:rPr>
                <w:rFonts w:ascii="Century Gothic" w:hAnsi="Century Gothic"/>
                <w:b/>
                <w:bCs/>
                <w:sz w:val="16"/>
                <w:szCs w:val="16"/>
              </w:rPr>
              <w:t>erworbener oder erhaltener Elektrizität</w:t>
            </w:r>
            <w:r w:rsidR="005961B3" w:rsidRPr="00BC5E27">
              <w:rPr>
                <w:rFonts w:ascii="Century Gothic" w:hAnsi="Century Gothic"/>
                <w:sz w:val="16"/>
                <w:szCs w:val="16"/>
              </w:rPr>
              <w:t xml:space="preserve">, </w:t>
            </w:r>
            <w:r w:rsidR="005961B3" w:rsidRPr="00BC5E27">
              <w:rPr>
                <w:rFonts w:ascii="Century Gothic" w:hAnsi="Century Gothic"/>
                <w:b/>
                <w:bCs/>
                <w:sz w:val="16"/>
                <w:szCs w:val="16"/>
              </w:rPr>
              <w:t>Wärme</w:t>
            </w:r>
            <w:r w:rsidR="005961B3" w:rsidRPr="00BC5E27">
              <w:rPr>
                <w:rFonts w:ascii="Century Gothic" w:hAnsi="Century Gothic"/>
                <w:sz w:val="16"/>
                <w:szCs w:val="16"/>
              </w:rPr>
              <w:t xml:space="preserve">, </w:t>
            </w:r>
            <w:r w:rsidR="005961B3" w:rsidRPr="00BC5E27">
              <w:rPr>
                <w:rFonts w:ascii="Century Gothic" w:hAnsi="Century Gothic"/>
                <w:b/>
                <w:bCs/>
                <w:sz w:val="16"/>
                <w:szCs w:val="16"/>
              </w:rPr>
              <w:t xml:space="preserve">Dampf </w:t>
            </w:r>
            <w:r w:rsidR="005961B3" w:rsidRPr="00BC5E27">
              <w:rPr>
                <w:rFonts w:ascii="Century Gothic" w:hAnsi="Century Gothic"/>
                <w:sz w:val="16"/>
                <w:szCs w:val="16"/>
              </w:rPr>
              <w:t xml:space="preserve">oder </w:t>
            </w:r>
            <w:r w:rsidR="005961B3" w:rsidRPr="00BC5E27">
              <w:rPr>
                <w:rFonts w:ascii="Century Gothic" w:hAnsi="Century Gothic"/>
                <w:b/>
                <w:bCs/>
                <w:sz w:val="16"/>
                <w:szCs w:val="16"/>
              </w:rPr>
              <w:t xml:space="preserve">Kühlung </w:t>
            </w:r>
            <w:r w:rsidR="005961B3" w:rsidRPr="00BC5E27">
              <w:rPr>
                <w:rFonts w:ascii="Century Gothic" w:hAnsi="Century Gothic"/>
                <w:sz w:val="16"/>
                <w:szCs w:val="16"/>
              </w:rPr>
              <w:t>aus erneuerbaren Quellen.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57904" w:rsidRPr="000E0C5F" w:rsidRDefault="00757904" w:rsidP="006450B2">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bl>
    <w:p w:rsidR="0043089D" w:rsidRPr="001B6A26" w:rsidRDefault="000A5E05" w:rsidP="001B6A26">
      <w:pPr>
        <w:pStyle w:val="Default"/>
        <w:rPr>
          <w:rFonts w:ascii="Century Gothic" w:hAnsi="Century Gothic"/>
          <w:sz w:val="12"/>
          <w:szCs w:val="12"/>
        </w:rPr>
      </w:pPr>
      <w:r w:rsidRPr="001B6A26">
        <w:rPr>
          <w:rFonts w:ascii="Century Gothic" w:hAnsi="Century Gothic"/>
          <w:sz w:val="12"/>
          <w:szCs w:val="12"/>
        </w:rPr>
        <w:t xml:space="preserve"> </w:t>
      </w: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
        <w:gridCol w:w="6"/>
        <w:gridCol w:w="6240"/>
        <w:gridCol w:w="416"/>
        <w:gridCol w:w="714"/>
        <w:gridCol w:w="713"/>
      </w:tblGrid>
      <w:tr w:rsidR="00BB3132" w:rsidRPr="00122B7B" w:rsidTr="006450B2">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6"/>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B3132" w:rsidRPr="00122B7B" w:rsidRDefault="00BB3132" w:rsidP="005F328B">
            <w:pPr>
              <w:spacing w:before="60" w:after="60"/>
              <w:jc w:val="left"/>
              <w:rPr>
                <w:color w:val="000000" w:themeColor="text1"/>
                <w:sz w:val="20"/>
                <w:szCs w:val="20"/>
              </w:rPr>
            </w:pPr>
            <w:r w:rsidRPr="00122B7B">
              <w:rPr>
                <w:color w:val="000000" w:themeColor="text1"/>
                <w:sz w:val="20"/>
                <w:szCs w:val="20"/>
              </w:rPr>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r w:rsidR="00A37749">
              <w:rPr>
                <w:color w:val="000000" w:themeColor="text1"/>
                <w:sz w:val="20"/>
                <w:szCs w:val="20"/>
              </w:rPr>
              <w:t>;</w:t>
            </w:r>
            <w:r>
              <w:rPr>
                <w:color w:val="000000" w:themeColor="text1"/>
                <w:sz w:val="20"/>
                <w:szCs w:val="20"/>
              </w:rPr>
              <w:t xml:space="preserve"> Forts.</w:t>
            </w:r>
          </w:p>
        </w:tc>
      </w:tr>
      <w:tr w:rsidR="00BB3132" w:rsidRPr="00BB3132" w:rsidTr="006450B2">
        <w:tblPrEx>
          <w:shd w:val="clear" w:color="auto" w:fill="228B22"/>
        </w:tblPrEx>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983" w:type="dxa"/>
            <w:shd w:val="clear" w:color="auto" w:fill="auto"/>
          </w:tcPr>
          <w:p w:rsidR="00BB3132" w:rsidRPr="00BB3132" w:rsidRDefault="00BB3132" w:rsidP="00BB3132">
            <w:pPr>
              <w:spacing w:before="60"/>
            </w:pPr>
          </w:p>
        </w:tc>
        <w:tc>
          <w:tcPr>
            <w:tcW w:w="6662" w:type="dxa"/>
            <w:gridSpan w:val="3"/>
            <w:shd w:val="clear" w:color="auto" w:fill="auto"/>
          </w:tcPr>
          <w:p w:rsidR="00BB3132" w:rsidRPr="00BB3132" w:rsidRDefault="00BB3132" w:rsidP="00BB3132">
            <w:pPr>
              <w:spacing w:before="60"/>
              <w:cnfStyle w:val="000000100000" w:firstRow="0" w:lastRow="0" w:firstColumn="0" w:lastColumn="0" w:oddVBand="0" w:evenVBand="0" w:oddHBand="1" w:evenHBand="0" w:firstRowFirstColumn="0" w:firstRowLastColumn="0" w:lastRowFirstColumn="0" w:lastRowLastColumn="0"/>
            </w:pPr>
          </w:p>
        </w:tc>
        <w:tc>
          <w:tcPr>
            <w:tcW w:w="714" w:type="dxa"/>
            <w:shd w:val="clear" w:color="auto" w:fill="auto"/>
          </w:tcPr>
          <w:p w:rsidR="00BB3132" w:rsidRPr="00BB3132" w:rsidRDefault="00BB3132" w:rsidP="00BB3132">
            <w:pPr>
              <w:spacing w:before="60"/>
              <w:cnfStyle w:val="000000100000" w:firstRow="0" w:lastRow="0" w:firstColumn="0" w:lastColumn="0" w:oddVBand="0" w:evenVBand="0" w:oddHBand="1" w:evenHBand="0" w:firstRowFirstColumn="0" w:firstRowLastColumn="0" w:lastRowFirstColumn="0" w:lastRowLastColumn="0"/>
            </w:pPr>
          </w:p>
        </w:tc>
        <w:tc>
          <w:tcPr>
            <w:tcW w:w="713" w:type="dxa"/>
            <w:shd w:val="clear" w:color="auto" w:fill="auto"/>
            <w:vAlign w:val="center"/>
          </w:tcPr>
          <w:p w:rsidR="00BB3132" w:rsidRPr="00BB3132" w:rsidRDefault="00BB3132" w:rsidP="00BB3132">
            <w:pPr>
              <w:spacing w:before="60"/>
              <w:cnfStyle w:val="000000100000" w:firstRow="0" w:lastRow="0" w:firstColumn="0" w:lastColumn="0" w:oddVBand="0" w:evenVBand="0" w:oddHBand="1" w:evenHBand="0" w:firstRowFirstColumn="0" w:firstRowLastColumn="0" w:lastRowFirstColumn="0" w:lastRowLastColumn="0"/>
            </w:pPr>
          </w:p>
        </w:tc>
      </w:tr>
      <w:tr w:rsidR="00BB3132" w:rsidRPr="00BB3132" w:rsidTr="00DC1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228B22"/>
            <w:vAlign w:val="center"/>
          </w:tcPr>
          <w:p w:rsidR="00E93469" w:rsidRPr="00BB3132" w:rsidRDefault="00E93469" w:rsidP="00503332">
            <w:pPr>
              <w:spacing w:before="60" w:after="60"/>
              <w:jc w:val="center"/>
              <w:rPr>
                <w:color w:val="FFFFFF" w:themeColor="background1"/>
                <w:sz w:val="20"/>
                <w:szCs w:val="20"/>
              </w:rPr>
            </w:pPr>
            <w:r w:rsidRPr="00BB3132">
              <w:rPr>
                <w:color w:val="FFFFFF" w:themeColor="background1"/>
                <w:sz w:val="20"/>
                <w:szCs w:val="20"/>
              </w:rPr>
              <w:t>Quelle ESRS E1</w:t>
            </w:r>
          </w:p>
        </w:tc>
        <w:tc>
          <w:tcPr>
            <w:tcW w:w="6240" w:type="dxa"/>
            <w:tcBorders>
              <w:top w:val="single" w:sz="4" w:space="0" w:color="auto"/>
              <w:left w:val="single" w:sz="4" w:space="0" w:color="auto"/>
              <w:bottom w:val="single" w:sz="4" w:space="0" w:color="auto"/>
              <w:right w:val="single" w:sz="4" w:space="0" w:color="auto"/>
            </w:tcBorders>
            <w:shd w:val="clear" w:color="auto" w:fill="228B22"/>
            <w:vAlign w:val="center"/>
          </w:tcPr>
          <w:p w:rsidR="00E93469" w:rsidRPr="00BB3132" w:rsidRDefault="00990933" w:rsidP="00503332">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B3132">
              <w:rPr>
                <w:b/>
                <w:color w:val="FFFFFF" w:themeColor="background1"/>
                <w:sz w:val="20"/>
                <w:szCs w:val="20"/>
              </w:rPr>
              <w:t>Parameter und Ziele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228B22"/>
            <w:vAlign w:val="center"/>
          </w:tcPr>
          <w:p w:rsidR="00E93469" w:rsidRPr="00BB3132" w:rsidRDefault="00E93469" w:rsidP="00503332">
            <w:pPr>
              <w:spacing w:before="60" w:after="60"/>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BB3132">
              <w:rPr>
                <w:b/>
                <w:color w:val="FFFFFF" w:themeColor="background1"/>
                <w:sz w:val="16"/>
                <w:szCs w:val="16"/>
              </w:rPr>
              <w:t>Bemerkungen, ggf. Verweis auf Datenpunkte</w:t>
            </w:r>
          </w:p>
        </w:tc>
      </w:tr>
      <w:tr w:rsidR="00E93469" w:rsidRPr="00757904" w:rsidTr="00DC1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bottom w:val="single" w:sz="4" w:space="0" w:color="auto"/>
            </w:tcBorders>
            <w:shd w:val="clear" w:color="auto" w:fill="C5F1C5"/>
          </w:tcPr>
          <w:p w:rsidR="00E93469" w:rsidRPr="0015165A" w:rsidRDefault="00E93469" w:rsidP="00503332">
            <w:pPr>
              <w:spacing w:beforeLines="60" w:before="144" w:afterLines="60" w:after="144"/>
              <w:jc w:val="center"/>
              <w:rPr>
                <w:sz w:val="16"/>
                <w:szCs w:val="16"/>
              </w:rPr>
            </w:pPr>
            <w:r w:rsidRPr="0015165A">
              <w:rPr>
                <w:sz w:val="16"/>
                <w:szCs w:val="16"/>
              </w:rPr>
              <w:t xml:space="preserve">Tz. </w:t>
            </w:r>
            <w:r>
              <w:rPr>
                <w:sz w:val="16"/>
                <w:szCs w:val="16"/>
              </w:rPr>
              <w:t>39</w:t>
            </w:r>
          </w:p>
        </w:tc>
        <w:tc>
          <w:tcPr>
            <w:tcW w:w="6240" w:type="dxa"/>
            <w:tcBorders>
              <w:top w:val="single" w:sz="4" w:space="0" w:color="auto"/>
              <w:bottom w:val="single" w:sz="4" w:space="0" w:color="auto"/>
            </w:tcBorders>
            <w:shd w:val="clear" w:color="auto" w:fill="auto"/>
            <w:vAlign w:val="center"/>
          </w:tcPr>
          <w:p w:rsidR="002D6417" w:rsidRPr="003F2C9C" w:rsidRDefault="00E93469" w:rsidP="003F2C9C">
            <w:pPr>
              <w:tabs>
                <w:tab w:val="left" w:pos="1961"/>
              </w:tabs>
              <w:spacing w:before="60" w:after="60"/>
              <w:cnfStyle w:val="000000100000" w:firstRow="0" w:lastRow="0" w:firstColumn="0" w:lastColumn="0" w:oddVBand="0" w:evenVBand="0" w:oddHBand="1" w:evenHBand="0" w:firstRowFirstColumn="0" w:firstRowLastColumn="0" w:lastRowFirstColumn="0" w:lastRowLastColumn="0"/>
              <w:rPr>
                <w:sz w:val="16"/>
                <w:szCs w:val="16"/>
              </w:rPr>
            </w:pPr>
            <w:r w:rsidRPr="003F2C9C">
              <w:rPr>
                <w:sz w:val="16"/>
                <w:szCs w:val="16"/>
              </w:rPr>
              <w:t xml:space="preserve">Darüber hinaus hat das Unternehmen gegebenenfalls seine Erzeugung </w:t>
            </w:r>
            <w:r w:rsidRPr="003F2C9C">
              <w:rPr>
                <w:b/>
                <w:bCs/>
                <w:sz w:val="16"/>
                <w:szCs w:val="16"/>
              </w:rPr>
              <w:t xml:space="preserve">nicht erneuerbarer Energie </w:t>
            </w:r>
            <w:r w:rsidRPr="003F2C9C">
              <w:rPr>
                <w:sz w:val="16"/>
                <w:szCs w:val="16"/>
              </w:rPr>
              <w:t xml:space="preserve">und seine Erzeugung von Energie aus </w:t>
            </w:r>
            <w:r w:rsidRPr="003F2C9C">
              <w:rPr>
                <w:b/>
                <w:bCs/>
                <w:sz w:val="16"/>
                <w:szCs w:val="16"/>
              </w:rPr>
              <w:t xml:space="preserve">erneuerbaren Quellen </w:t>
            </w:r>
            <w:r w:rsidRPr="003F2C9C">
              <w:rPr>
                <w:sz w:val="16"/>
                <w:szCs w:val="16"/>
              </w:rPr>
              <w:t>in MWh aufzuschlüsseln und getrennt anzugeben</w:t>
            </w:r>
            <w:r w:rsidR="00DC1A6E">
              <w:rPr>
                <w:rStyle w:val="Funotenzeichen"/>
                <w:sz w:val="16"/>
              </w:rPr>
              <w:footnoteReference w:id="4"/>
            </w:r>
          </w:p>
        </w:tc>
        <w:tc>
          <w:tcPr>
            <w:tcW w:w="1843" w:type="dxa"/>
            <w:gridSpan w:val="3"/>
            <w:tcBorders>
              <w:top w:val="single" w:sz="4" w:space="0" w:color="auto"/>
              <w:bottom w:val="single" w:sz="4" w:space="0" w:color="auto"/>
            </w:tcBorders>
            <w:shd w:val="clear" w:color="auto" w:fill="auto"/>
          </w:tcPr>
          <w:p w:rsidR="00E93469" w:rsidRPr="00757904" w:rsidRDefault="00E93469" w:rsidP="00503332">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F6DDB" w:rsidRPr="00757904" w:rsidTr="00DC1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bottom w:val="single" w:sz="4" w:space="0" w:color="auto"/>
            </w:tcBorders>
            <w:shd w:val="clear" w:color="auto" w:fill="C5F1C5"/>
          </w:tcPr>
          <w:p w:rsidR="00AF6DDB" w:rsidRPr="0015165A" w:rsidRDefault="00AF6DDB" w:rsidP="00503332">
            <w:pPr>
              <w:spacing w:beforeLines="60" w:before="144" w:afterLines="60" w:after="144"/>
              <w:jc w:val="center"/>
              <w:rPr>
                <w:sz w:val="16"/>
                <w:szCs w:val="16"/>
              </w:rPr>
            </w:pPr>
          </w:p>
        </w:tc>
        <w:tc>
          <w:tcPr>
            <w:tcW w:w="6240" w:type="dxa"/>
            <w:tcBorders>
              <w:top w:val="single" w:sz="4" w:space="0" w:color="auto"/>
              <w:bottom w:val="single" w:sz="4" w:space="0" w:color="auto"/>
            </w:tcBorders>
            <w:shd w:val="clear" w:color="auto" w:fill="auto"/>
            <w:vAlign w:val="center"/>
          </w:tcPr>
          <w:p w:rsidR="00AF6DDB" w:rsidRPr="00AF6DDB" w:rsidRDefault="00AF6DDB" w:rsidP="00AF6DDB">
            <w:pPr>
              <w:tabs>
                <w:tab w:val="left" w:pos="1961"/>
              </w:tabs>
              <w:spacing w:before="60" w:after="60"/>
              <w:cnfStyle w:val="000000000000" w:firstRow="0" w:lastRow="0" w:firstColumn="0" w:lastColumn="0" w:oddVBand="0" w:evenVBand="0" w:oddHBand="0" w:evenHBand="0" w:firstRowFirstColumn="0" w:firstRowLastColumn="0" w:lastRowFirstColumn="0" w:lastRowLastColumn="0"/>
              <w:rPr>
                <w:i/>
                <w:sz w:val="16"/>
                <w:szCs w:val="16"/>
              </w:rPr>
            </w:pPr>
            <w:r w:rsidRPr="00AF6DDB">
              <w:rPr>
                <w:i/>
                <w:sz w:val="16"/>
                <w:szCs w:val="16"/>
              </w:rPr>
              <w:t>Energieintensität auf der Grundlage der Nettoeinnahmen</w:t>
            </w:r>
            <w:r w:rsidR="00DC1A6E">
              <w:rPr>
                <w:rStyle w:val="Funotenzeichen"/>
                <w:i/>
                <w:sz w:val="16"/>
              </w:rPr>
              <w:footnoteReference w:id="5"/>
            </w:r>
          </w:p>
        </w:tc>
        <w:tc>
          <w:tcPr>
            <w:tcW w:w="1843" w:type="dxa"/>
            <w:gridSpan w:val="3"/>
            <w:tcBorders>
              <w:top w:val="single" w:sz="4" w:space="0" w:color="auto"/>
              <w:bottom w:val="single" w:sz="4" w:space="0" w:color="auto"/>
            </w:tcBorders>
            <w:shd w:val="clear" w:color="auto" w:fill="auto"/>
          </w:tcPr>
          <w:p w:rsidR="00AF6DDB" w:rsidRPr="00757904" w:rsidRDefault="00AF6DDB" w:rsidP="00503332">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4E7C5F" w:rsidRPr="00757904" w:rsidTr="00DC1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bottom w:val="single" w:sz="4" w:space="0" w:color="auto"/>
            </w:tcBorders>
            <w:shd w:val="clear" w:color="auto" w:fill="C5F1C5"/>
          </w:tcPr>
          <w:p w:rsidR="004E7C5F" w:rsidRPr="0015165A" w:rsidRDefault="004E7C5F" w:rsidP="00503332">
            <w:pPr>
              <w:spacing w:beforeLines="60" w:before="144" w:afterLines="60" w:after="144"/>
              <w:jc w:val="center"/>
              <w:rPr>
                <w:sz w:val="16"/>
                <w:szCs w:val="16"/>
              </w:rPr>
            </w:pPr>
            <w:r w:rsidRPr="0015165A">
              <w:rPr>
                <w:sz w:val="16"/>
                <w:szCs w:val="16"/>
              </w:rPr>
              <w:t xml:space="preserve">Tz. </w:t>
            </w:r>
            <w:r>
              <w:rPr>
                <w:sz w:val="16"/>
                <w:szCs w:val="16"/>
              </w:rPr>
              <w:t>40</w:t>
            </w:r>
          </w:p>
        </w:tc>
        <w:tc>
          <w:tcPr>
            <w:tcW w:w="6240" w:type="dxa"/>
            <w:tcBorders>
              <w:top w:val="single" w:sz="4" w:space="0" w:color="auto"/>
              <w:bottom w:val="single" w:sz="4" w:space="0" w:color="auto"/>
            </w:tcBorders>
            <w:shd w:val="clear" w:color="auto" w:fill="auto"/>
            <w:vAlign w:val="center"/>
          </w:tcPr>
          <w:p w:rsidR="004E7C5F" w:rsidRPr="00AF6DDB" w:rsidRDefault="00AF6DDB" w:rsidP="00AF6DDB">
            <w:pPr>
              <w:tabs>
                <w:tab w:val="left" w:pos="1961"/>
              </w:tabs>
              <w:spacing w:before="60" w:after="60"/>
              <w:cnfStyle w:val="000000100000" w:firstRow="0" w:lastRow="0" w:firstColumn="0" w:lastColumn="0" w:oddVBand="0" w:evenVBand="0" w:oddHBand="1" w:evenHBand="0" w:firstRowFirstColumn="0" w:firstRowLastColumn="0" w:lastRowFirstColumn="0" w:lastRowLastColumn="0"/>
              <w:rPr>
                <w:sz w:val="16"/>
                <w:szCs w:val="16"/>
              </w:rPr>
            </w:pPr>
            <w:r w:rsidRPr="00AF6DDB">
              <w:rPr>
                <w:sz w:val="16"/>
                <w:szCs w:val="16"/>
              </w:rPr>
              <w:t xml:space="preserve">Das Unternehmen stellt Informationen über die Energieintensität (Gesamtenergieverbrauch je Nettoeinnahme) im Zusammenhang mit Tätigkeiten in </w:t>
            </w:r>
            <w:r w:rsidRPr="00AF6DDB">
              <w:rPr>
                <w:b/>
                <w:bCs/>
                <w:sz w:val="16"/>
                <w:szCs w:val="16"/>
              </w:rPr>
              <w:t xml:space="preserve">klimaintensiven Sektoren </w:t>
            </w:r>
            <w:r w:rsidRPr="00AF6DDB">
              <w:rPr>
                <w:sz w:val="16"/>
                <w:szCs w:val="16"/>
              </w:rPr>
              <w:t>zur Verfügung.</w:t>
            </w:r>
          </w:p>
        </w:tc>
        <w:tc>
          <w:tcPr>
            <w:tcW w:w="1843" w:type="dxa"/>
            <w:gridSpan w:val="3"/>
            <w:tcBorders>
              <w:top w:val="single" w:sz="4" w:space="0" w:color="auto"/>
              <w:bottom w:val="single" w:sz="4" w:space="0" w:color="auto"/>
            </w:tcBorders>
            <w:shd w:val="clear" w:color="auto" w:fill="auto"/>
          </w:tcPr>
          <w:p w:rsidR="004E7C5F" w:rsidRPr="00757904" w:rsidRDefault="004E7C5F" w:rsidP="00503332">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4E7C5F" w:rsidRPr="00757904" w:rsidTr="00DC1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bottom w:val="single" w:sz="4" w:space="0" w:color="auto"/>
            </w:tcBorders>
            <w:shd w:val="clear" w:color="auto" w:fill="C5F1C5"/>
          </w:tcPr>
          <w:p w:rsidR="004E7C5F" w:rsidRPr="0015165A" w:rsidRDefault="004E7C5F" w:rsidP="00503332">
            <w:pPr>
              <w:spacing w:beforeLines="60" w:before="144" w:afterLines="60" w:after="144"/>
              <w:jc w:val="center"/>
              <w:rPr>
                <w:sz w:val="16"/>
                <w:szCs w:val="16"/>
              </w:rPr>
            </w:pPr>
            <w:r w:rsidRPr="0015165A">
              <w:rPr>
                <w:sz w:val="16"/>
                <w:szCs w:val="16"/>
              </w:rPr>
              <w:t xml:space="preserve">Tz. </w:t>
            </w:r>
            <w:r>
              <w:rPr>
                <w:sz w:val="16"/>
                <w:szCs w:val="16"/>
              </w:rPr>
              <w:t>41</w:t>
            </w:r>
          </w:p>
        </w:tc>
        <w:tc>
          <w:tcPr>
            <w:tcW w:w="6240" w:type="dxa"/>
            <w:tcBorders>
              <w:top w:val="single" w:sz="4" w:space="0" w:color="auto"/>
              <w:bottom w:val="single" w:sz="4" w:space="0" w:color="auto"/>
            </w:tcBorders>
            <w:shd w:val="clear" w:color="auto" w:fill="auto"/>
            <w:vAlign w:val="center"/>
          </w:tcPr>
          <w:p w:rsidR="004E7C5F" w:rsidRPr="00AF6DDB" w:rsidRDefault="00AF6DDB" w:rsidP="00AF6DDB">
            <w:pPr>
              <w:tabs>
                <w:tab w:val="left" w:pos="1961"/>
              </w:tabs>
              <w:spacing w:before="60" w:after="60"/>
              <w:cnfStyle w:val="000000000000" w:firstRow="0" w:lastRow="0" w:firstColumn="0" w:lastColumn="0" w:oddVBand="0" w:evenVBand="0" w:oddHBand="0" w:evenHBand="0" w:firstRowFirstColumn="0" w:firstRowLastColumn="0" w:lastRowFirstColumn="0" w:lastRowLastColumn="0"/>
              <w:rPr>
                <w:sz w:val="16"/>
                <w:szCs w:val="16"/>
              </w:rPr>
            </w:pPr>
            <w:r w:rsidRPr="00AF6DDB">
              <w:rPr>
                <w:sz w:val="16"/>
                <w:szCs w:val="16"/>
              </w:rPr>
              <w:t xml:space="preserve">Die Angaben zur Energieintensität nach Absatz 40 dürfen nur aus dem Gesamtenergieverbrauch und den Nettoeinnahmen aus Tätigkeiten in </w:t>
            </w:r>
            <w:r w:rsidRPr="00AF6DDB">
              <w:rPr>
                <w:b/>
                <w:bCs/>
                <w:sz w:val="16"/>
                <w:szCs w:val="16"/>
              </w:rPr>
              <w:t xml:space="preserve">klimaintensiven Sektoren </w:t>
            </w:r>
            <w:r w:rsidRPr="00AF6DDB">
              <w:rPr>
                <w:sz w:val="16"/>
                <w:szCs w:val="16"/>
              </w:rPr>
              <w:t>abgeleitet werden.</w:t>
            </w:r>
          </w:p>
        </w:tc>
        <w:tc>
          <w:tcPr>
            <w:tcW w:w="1843" w:type="dxa"/>
            <w:gridSpan w:val="3"/>
            <w:tcBorders>
              <w:top w:val="single" w:sz="4" w:space="0" w:color="auto"/>
              <w:bottom w:val="single" w:sz="4" w:space="0" w:color="auto"/>
            </w:tcBorders>
            <w:shd w:val="clear" w:color="auto" w:fill="auto"/>
          </w:tcPr>
          <w:p w:rsidR="004E7C5F" w:rsidRPr="00757904" w:rsidRDefault="004E7C5F" w:rsidP="00503332">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AF6DDB" w:rsidRPr="00757904" w:rsidTr="00DC1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bottom w:val="single" w:sz="4" w:space="0" w:color="auto"/>
            </w:tcBorders>
            <w:shd w:val="clear" w:color="auto" w:fill="C5F1C5"/>
          </w:tcPr>
          <w:p w:rsidR="00AF6DDB" w:rsidRPr="0015165A" w:rsidRDefault="00AF6DDB" w:rsidP="00503332">
            <w:pPr>
              <w:spacing w:beforeLines="60" w:before="144" w:afterLines="60" w:after="144"/>
              <w:jc w:val="center"/>
              <w:rPr>
                <w:sz w:val="16"/>
                <w:szCs w:val="16"/>
              </w:rPr>
            </w:pPr>
            <w:r w:rsidRPr="0015165A">
              <w:rPr>
                <w:sz w:val="16"/>
                <w:szCs w:val="16"/>
              </w:rPr>
              <w:t xml:space="preserve">Tz. </w:t>
            </w:r>
            <w:r>
              <w:rPr>
                <w:sz w:val="16"/>
                <w:szCs w:val="16"/>
              </w:rPr>
              <w:t>42</w:t>
            </w:r>
          </w:p>
        </w:tc>
        <w:tc>
          <w:tcPr>
            <w:tcW w:w="6240" w:type="dxa"/>
            <w:tcBorders>
              <w:top w:val="single" w:sz="4" w:space="0" w:color="auto"/>
              <w:bottom w:val="single" w:sz="4" w:space="0" w:color="auto"/>
            </w:tcBorders>
            <w:shd w:val="clear" w:color="auto" w:fill="auto"/>
            <w:vAlign w:val="center"/>
          </w:tcPr>
          <w:p w:rsidR="00AF6DDB" w:rsidRPr="00AF6DDB" w:rsidRDefault="00AF6DDB" w:rsidP="00AF6DDB">
            <w:pPr>
              <w:tabs>
                <w:tab w:val="left" w:pos="1961"/>
              </w:tabs>
              <w:spacing w:before="60" w:after="60"/>
              <w:cnfStyle w:val="000000100000" w:firstRow="0" w:lastRow="0" w:firstColumn="0" w:lastColumn="0" w:oddVBand="0" w:evenVBand="0" w:oddHBand="1" w:evenHBand="0" w:firstRowFirstColumn="0" w:firstRowLastColumn="0" w:lastRowFirstColumn="0" w:lastRowLastColumn="0"/>
              <w:rPr>
                <w:sz w:val="16"/>
                <w:szCs w:val="16"/>
              </w:rPr>
            </w:pPr>
            <w:r w:rsidRPr="00AF6DDB">
              <w:rPr>
                <w:sz w:val="16"/>
                <w:szCs w:val="16"/>
              </w:rPr>
              <w:t xml:space="preserve">Das Unternehmen gibt die </w:t>
            </w:r>
            <w:r w:rsidRPr="00AF6DDB">
              <w:rPr>
                <w:b/>
                <w:bCs/>
                <w:sz w:val="16"/>
                <w:szCs w:val="16"/>
              </w:rPr>
              <w:t xml:space="preserve">klimaintensiven Sektoren </w:t>
            </w:r>
            <w:r w:rsidRPr="00AF6DDB">
              <w:rPr>
                <w:sz w:val="16"/>
                <w:szCs w:val="16"/>
              </w:rPr>
              <w:t>an, die zur Bestimmung der Energieintensität gemäß Absatz 40 herangezogen werden.</w:t>
            </w:r>
          </w:p>
        </w:tc>
        <w:tc>
          <w:tcPr>
            <w:tcW w:w="1843" w:type="dxa"/>
            <w:gridSpan w:val="3"/>
            <w:tcBorders>
              <w:top w:val="single" w:sz="4" w:space="0" w:color="auto"/>
              <w:bottom w:val="single" w:sz="4" w:space="0" w:color="auto"/>
            </w:tcBorders>
            <w:shd w:val="clear" w:color="auto" w:fill="auto"/>
          </w:tcPr>
          <w:p w:rsidR="00AF6DDB" w:rsidRPr="00757904" w:rsidRDefault="00AF6DDB" w:rsidP="00503332">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4E7C5F" w:rsidRPr="00757904" w:rsidTr="00DC1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bottom w:val="single" w:sz="4" w:space="0" w:color="auto"/>
            </w:tcBorders>
            <w:shd w:val="clear" w:color="auto" w:fill="C5F1C5"/>
          </w:tcPr>
          <w:p w:rsidR="004E7C5F" w:rsidRPr="0015165A" w:rsidRDefault="004E7C5F" w:rsidP="00503332">
            <w:pPr>
              <w:spacing w:beforeLines="60" w:before="144" w:afterLines="60" w:after="144"/>
              <w:jc w:val="center"/>
              <w:rPr>
                <w:sz w:val="16"/>
                <w:szCs w:val="16"/>
              </w:rPr>
            </w:pPr>
            <w:r w:rsidRPr="0015165A">
              <w:rPr>
                <w:sz w:val="16"/>
                <w:szCs w:val="16"/>
              </w:rPr>
              <w:t xml:space="preserve">Tz. </w:t>
            </w:r>
            <w:r>
              <w:rPr>
                <w:sz w:val="16"/>
                <w:szCs w:val="16"/>
              </w:rPr>
              <w:t>4</w:t>
            </w:r>
            <w:r w:rsidR="00AF6DDB">
              <w:rPr>
                <w:sz w:val="16"/>
                <w:szCs w:val="16"/>
              </w:rPr>
              <w:t>3</w:t>
            </w:r>
          </w:p>
        </w:tc>
        <w:tc>
          <w:tcPr>
            <w:tcW w:w="6240" w:type="dxa"/>
            <w:tcBorders>
              <w:top w:val="single" w:sz="4" w:space="0" w:color="auto"/>
              <w:bottom w:val="single" w:sz="4" w:space="0" w:color="auto"/>
            </w:tcBorders>
            <w:shd w:val="clear" w:color="auto" w:fill="auto"/>
            <w:vAlign w:val="center"/>
          </w:tcPr>
          <w:p w:rsidR="004E7C5F" w:rsidRPr="00AF6DDB" w:rsidRDefault="00AF6DDB" w:rsidP="00AF6DDB">
            <w:pPr>
              <w:tabs>
                <w:tab w:val="left" w:pos="1961"/>
              </w:tabs>
              <w:spacing w:before="60" w:after="60"/>
              <w:cnfStyle w:val="000000000000" w:firstRow="0" w:lastRow="0" w:firstColumn="0" w:lastColumn="0" w:oddVBand="0" w:evenVBand="0" w:oddHBand="0" w:evenHBand="0" w:firstRowFirstColumn="0" w:firstRowLastColumn="0" w:lastRowFirstColumn="0" w:lastRowLastColumn="0"/>
              <w:rPr>
                <w:sz w:val="16"/>
                <w:szCs w:val="16"/>
              </w:rPr>
            </w:pPr>
            <w:r w:rsidRPr="00AF6DDB">
              <w:rPr>
                <w:sz w:val="16"/>
                <w:szCs w:val="16"/>
              </w:rPr>
              <w:t xml:space="preserve">Das Unternehmen hat den Abgleich der Nettoeinnahmen aus Tätigkeiten in </w:t>
            </w:r>
            <w:r w:rsidRPr="00AF6DDB">
              <w:rPr>
                <w:b/>
                <w:bCs/>
                <w:sz w:val="16"/>
                <w:szCs w:val="16"/>
              </w:rPr>
              <w:t xml:space="preserve">klimaintensiven Sektoren </w:t>
            </w:r>
            <w:r w:rsidRPr="00AF6DDB">
              <w:rPr>
                <w:sz w:val="16"/>
                <w:szCs w:val="16"/>
              </w:rPr>
              <w:t>(Bezugsgröße bei der Berechnung der Energieintensität gemäß Absatz 40) mit dem entsprechenden Posten oder den entsprechenden Erläuterungen im Abschluss anzugeben.</w:t>
            </w:r>
          </w:p>
        </w:tc>
        <w:tc>
          <w:tcPr>
            <w:tcW w:w="1843" w:type="dxa"/>
            <w:gridSpan w:val="3"/>
            <w:tcBorders>
              <w:top w:val="single" w:sz="4" w:space="0" w:color="auto"/>
              <w:bottom w:val="single" w:sz="4" w:space="0" w:color="auto"/>
            </w:tcBorders>
            <w:shd w:val="clear" w:color="auto" w:fill="auto"/>
          </w:tcPr>
          <w:p w:rsidR="004E7C5F" w:rsidRPr="00757904" w:rsidRDefault="004E7C5F" w:rsidP="00503332">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rsidR="00CB73F4" w:rsidRDefault="00CB73F4">
      <w:r>
        <w:rPr>
          <w:b/>
          <w:bCs/>
        </w:rPr>
        <w:br w:type="page"/>
      </w: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3"/>
        <w:gridCol w:w="6"/>
        <w:gridCol w:w="6240"/>
        <w:gridCol w:w="416"/>
        <w:gridCol w:w="714"/>
        <w:gridCol w:w="713"/>
      </w:tblGrid>
      <w:tr w:rsidR="00CB73F4" w:rsidRPr="00122B7B" w:rsidTr="00B5366B">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9072" w:type="dxa"/>
            <w:gridSpan w:val="6"/>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CB73F4" w:rsidRPr="00122B7B" w:rsidRDefault="00CB73F4" w:rsidP="00B5366B">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p>
        </w:tc>
      </w:tr>
      <w:tr w:rsidR="00CB73F4" w:rsidRPr="006450B2" w:rsidTr="006450B2">
        <w:tblPrEx>
          <w:shd w:val="clear" w:color="auto" w:fill="228B22"/>
        </w:tblPrEx>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983" w:type="dxa"/>
            <w:shd w:val="clear" w:color="auto" w:fill="auto"/>
          </w:tcPr>
          <w:p w:rsidR="00CB73F4" w:rsidRPr="006450B2" w:rsidRDefault="00CB73F4" w:rsidP="005F328B">
            <w:pPr>
              <w:spacing w:before="60"/>
              <w:rPr>
                <w:sz w:val="2"/>
                <w:szCs w:val="2"/>
              </w:rPr>
            </w:pPr>
          </w:p>
        </w:tc>
        <w:tc>
          <w:tcPr>
            <w:tcW w:w="6662" w:type="dxa"/>
            <w:gridSpan w:val="3"/>
            <w:shd w:val="clear" w:color="auto" w:fill="auto"/>
          </w:tcPr>
          <w:p w:rsidR="00CB73F4" w:rsidRPr="006450B2" w:rsidRDefault="00CB73F4" w:rsidP="005F328B">
            <w:pPr>
              <w:spacing w:before="60"/>
              <w:cnfStyle w:val="000000100000" w:firstRow="0" w:lastRow="0" w:firstColumn="0" w:lastColumn="0" w:oddVBand="0" w:evenVBand="0" w:oddHBand="1" w:evenHBand="0" w:firstRowFirstColumn="0" w:firstRowLastColumn="0" w:lastRowFirstColumn="0" w:lastRowLastColumn="0"/>
              <w:rPr>
                <w:sz w:val="2"/>
                <w:szCs w:val="2"/>
              </w:rPr>
            </w:pPr>
          </w:p>
        </w:tc>
        <w:tc>
          <w:tcPr>
            <w:tcW w:w="714" w:type="dxa"/>
            <w:shd w:val="clear" w:color="auto" w:fill="auto"/>
          </w:tcPr>
          <w:p w:rsidR="00CB73F4" w:rsidRPr="006450B2" w:rsidRDefault="00CB73F4" w:rsidP="005F328B">
            <w:pPr>
              <w:spacing w:before="60"/>
              <w:cnfStyle w:val="000000100000" w:firstRow="0" w:lastRow="0" w:firstColumn="0" w:lastColumn="0" w:oddVBand="0" w:evenVBand="0" w:oddHBand="1" w:evenHBand="0" w:firstRowFirstColumn="0" w:firstRowLastColumn="0" w:lastRowFirstColumn="0" w:lastRowLastColumn="0"/>
              <w:rPr>
                <w:sz w:val="2"/>
                <w:szCs w:val="2"/>
              </w:rPr>
            </w:pPr>
          </w:p>
        </w:tc>
        <w:tc>
          <w:tcPr>
            <w:tcW w:w="713" w:type="dxa"/>
            <w:shd w:val="clear" w:color="auto" w:fill="auto"/>
            <w:vAlign w:val="center"/>
          </w:tcPr>
          <w:p w:rsidR="00CB73F4" w:rsidRPr="006450B2" w:rsidRDefault="00CB73F4" w:rsidP="005F328B">
            <w:pPr>
              <w:spacing w:before="60"/>
              <w:cnfStyle w:val="000000100000" w:firstRow="0" w:lastRow="0" w:firstColumn="0" w:lastColumn="0" w:oddVBand="0" w:evenVBand="0" w:oddHBand="1" w:evenHBand="0" w:firstRowFirstColumn="0" w:firstRowLastColumn="0" w:lastRowFirstColumn="0" w:lastRowLastColumn="0"/>
              <w:rPr>
                <w:sz w:val="2"/>
                <w:szCs w:val="2"/>
              </w:rPr>
            </w:pPr>
          </w:p>
        </w:tc>
      </w:tr>
      <w:tr w:rsidR="00772E37" w:rsidRPr="00BB3132" w:rsidTr="00645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228B22"/>
            <w:vAlign w:val="center"/>
          </w:tcPr>
          <w:p w:rsidR="00772E37" w:rsidRPr="00BB3132" w:rsidRDefault="00772E37" w:rsidP="006450B2">
            <w:pPr>
              <w:spacing w:before="0"/>
              <w:contextualSpacing/>
              <w:jc w:val="center"/>
              <w:rPr>
                <w:color w:val="FFFFFF" w:themeColor="background1"/>
                <w:sz w:val="20"/>
                <w:szCs w:val="20"/>
              </w:rPr>
            </w:pPr>
            <w:r w:rsidRPr="00BB3132">
              <w:rPr>
                <w:color w:val="FFFFFF" w:themeColor="background1"/>
                <w:sz w:val="20"/>
                <w:szCs w:val="20"/>
              </w:rPr>
              <w:t>Quelle ESRS E1</w:t>
            </w:r>
          </w:p>
        </w:tc>
        <w:tc>
          <w:tcPr>
            <w:tcW w:w="6240" w:type="dxa"/>
            <w:tcBorders>
              <w:top w:val="single" w:sz="4" w:space="0" w:color="auto"/>
              <w:left w:val="single" w:sz="4" w:space="0" w:color="auto"/>
              <w:bottom w:val="single" w:sz="4" w:space="0" w:color="auto"/>
              <w:right w:val="single" w:sz="4" w:space="0" w:color="auto"/>
            </w:tcBorders>
            <w:shd w:val="clear" w:color="auto" w:fill="228B22"/>
            <w:vAlign w:val="center"/>
          </w:tcPr>
          <w:p w:rsidR="00772E37" w:rsidRPr="00BB3132" w:rsidRDefault="00772E37" w:rsidP="006450B2">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B3132">
              <w:rPr>
                <w:b/>
                <w:color w:val="FFFFFF" w:themeColor="background1"/>
                <w:sz w:val="20"/>
                <w:szCs w:val="20"/>
              </w:rPr>
              <w:t>Parameter und Ziele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228B22"/>
            <w:vAlign w:val="center"/>
          </w:tcPr>
          <w:p w:rsidR="00772E37" w:rsidRPr="00BB3132" w:rsidRDefault="00772E37" w:rsidP="006450B2">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BB3132">
              <w:rPr>
                <w:b/>
                <w:color w:val="FFFFFF" w:themeColor="background1"/>
                <w:sz w:val="16"/>
                <w:szCs w:val="16"/>
              </w:rPr>
              <w:t>Bemerkungen, ggf. Verweis auf Datenpunkte</w:t>
            </w:r>
          </w:p>
        </w:tc>
      </w:tr>
      <w:tr w:rsidR="005066D3" w:rsidRPr="005066D3" w:rsidTr="006450B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66D3" w:rsidRPr="00E22C75" w:rsidRDefault="005066D3" w:rsidP="006450B2">
            <w:pPr>
              <w:spacing w:before="0"/>
              <w:contextualSpacing/>
              <w:jc w:val="center"/>
              <w:rPr>
                <w:sz w:val="16"/>
                <w:szCs w:val="16"/>
              </w:rPr>
            </w:pP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5066D3" w:rsidRPr="005066D3" w:rsidRDefault="005066D3" w:rsidP="006450B2">
            <w:pPr>
              <w:spacing w:before="0"/>
              <w:contextualSpacing/>
              <w:cnfStyle w:val="000000100000" w:firstRow="0" w:lastRow="0" w:firstColumn="0" w:lastColumn="0" w:oddVBand="0" w:evenVBand="0" w:oddHBand="1" w:evenHBand="0" w:firstRowFirstColumn="0" w:firstRowLastColumn="0" w:lastRowFirstColumn="0" w:lastRowLastColumn="0"/>
              <w:rPr>
                <w:i/>
                <w:sz w:val="16"/>
                <w:szCs w:val="16"/>
              </w:rPr>
            </w:pPr>
            <w:r w:rsidRPr="005066D3">
              <w:rPr>
                <w:i/>
                <w:sz w:val="16"/>
                <w:szCs w:val="16"/>
              </w:rPr>
              <w:t>Leitlinien für die Berechnun</w:t>
            </w:r>
            <w:r>
              <w:rPr>
                <w:i/>
                <w:sz w:val="16"/>
                <w:szCs w:val="16"/>
              </w:rPr>
              <w:t>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66D3" w:rsidRPr="005066D3" w:rsidRDefault="005066D3" w:rsidP="006450B2">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C31157" w:rsidRPr="00C31157" w:rsidTr="006450B2">
        <w:trPr>
          <w:trHeight w:val="782"/>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165A" w:rsidRPr="00E22C75" w:rsidRDefault="0015165A" w:rsidP="006450B2">
            <w:pPr>
              <w:spacing w:before="0"/>
              <w:contextualSpacing/>
              <w:jc w:val="center"/>
              <w:rPr>
                <w:sz w:val="16"/>
                <w:szCs w:val="16"/>
              </w:rPr>
            </w:pPr>
            <w:r w:rsidRPr="00E22C75">
              <w:rPr>
                <w:sz w:val="16"/>
                <w:szCs w:val="16"/>
              </w:rPr>
              <w:t xml:space="preserve">AR </w:t>
            </w:r>
            <w:r w:rsidR="005066D3">
              <w:rPr>
                <w:sz w:val="16"/>
                <w:szCs w:val="16"/>
              </w:rPr>
              <w:t>32</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F94870" w:rsidRPr="00F94870" w:rsidRDefault="00F94870" w:rsidP="006450B2">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F94870">
              <w:rPr>
                <w:rFonts w:ascii="Century Gothic" w:hAnsi="Century Gothic"/>
                <w:sz w:val="16"/>
                <w:szCs w:val="16"/>
              </w:rPr>
              <w:t>Bei der Erstellung der nach Absatz 35 erforderlichen Informationen über den Energieverbrauch geht das Unternehmen wie folgt vor:</w:t>
            </w:r>
          </w:p>
          <w:p w:rsidR="00F94870" w:rsidRDefault="00F94870" w:rsidP="006450B2">
            <w:pPr>
              <w:pStyle w:val="Default"/>
              <w:numPr>
                <w:ilvl w:val="0"/>
                <w:numId w:val="33"/>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F94870">
              <w:rPr>
                <w:rFonts w:ascii="Century Gothic" w:hAnsi="Century Gothic"/>
                <w:sz w:val="16"/>
                <w:szCs w:val="16"/>
              </w:rPr>
              <w:t>Es übermittelt nur den Energieverbrauch aus Prozessen, die sich im Eigentum oder unter der Kontrolle des Unternehmens befinden, und wendet denselben Umfang an wie bei der Berichterstattung über Scope-1- und Scope-2-Emissionen,</w:t>
            </w:r>
          </w:p>
          <w:p w:rsidR="00F94870" w:rsidRDefault="00F94870" w:rsidP="006450B2">
            <w:pPr>
              <w:pStyle w:val="Default"/>
              <w:numPr>
                <w:ilvl w:val="0"/>
                <w:numId w:val="33"/>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e</w:t>
            </w:r>
            <w:r w:rsidRPr="00F94870">
              <w:rPr>
                <w:rFonts w:ascii="Century Gothic" w:hAnsi="Century Gothic"/>
                <w:sz w:val="16"/>
                <w:szCs w:val="16"/>
              </w:rPr>
              <w:t>s nimmt Einsatzstoffe und Brennstoffe aus, die nicht für energetische Zwecke verbrannt werden. Das Unternehmen, das Brennstoffe als Einsatzstoffe verbraucht, kann Informationen über diesen Verbrauch getrennt von den vorgeschriebenen Angaben vorlegen,</w:t>
            </w:r>
          </w:p>
          <w:p w:rsidR="00F94870" w:rsidRDefault="00F94870" w:rsidP="006450B2">
            <w:pPr>
              <w:pStyle w:val="Default"/>
              <w:numPr>
                <w:ilvl w:val="0"/>
                <w:numId w:val="33"/>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F94870">
              <w:rPr>
                <w:rFonts w:ascii="Century Gothic" w:hAnsi="Century Gothic"/>
                <w:sz w:val="16"/>
                <w:szCs w:val="16"/>
              </w:rPr>
              <w:t>es stellt sicher, dass alle quantitativen energiebezogenen Informationen in Megawattstunden (MWh) als unterer Heizwert angegeben werden. Sind Rohdaten energiebezogener Informationen nur in anderen Energieeinheiten als MWh (z. B. Gigajoule (GJ) oder British Thermal Units (</w:t>
            </w:r>
            <w:proofErr w:type="spellStart"/>
            <w:r w:rsidRPr="00F94870">
              <w:rPr>
                <w:rFonts w:ascii="Century Gothic" w:hAnsi="Century Gothic"/>
                <w:sz w:val="16"/>
                <w:szCs w:val="16"/>
              </w:rPr>
              <w:t>Btu</w:t>
            </w:r>
            <w:proofErr w:type="spellEnd"/>
            <w:r w:rsidRPr="00F94870">
              <w:rPr>
                <w:rFonts w:ascii="Century Gothic" w:hAnsi="Century Gothic"/>
                <w:sz w:val="16"/>
                <w:szCs w:val="16"/>
              </w:rPr>
              <w:t>)), Volumeneinheiten (z. B. Kubikfuß oder Gallonen) oder Masseneinheiten (z. B. Kilogramm oder Pfund) verfügbar, so sind sie unter Verwendung geeigneter Umrechnungsfaktoren in MWh umzurechnen (siehe z. B. Anhang II des 5. IPCC-Bewertungsberichts). Die Umrechnungsfaktoren für Brennstoffe sind transparent zu gestalten und einheitlich anzuwenden</w:t>
            </w:r>
            <w:r w:rsidR="00EB2240">
              <w:rPr>
                <w:rFonts w:ascii="Century Gothic" w:hAnsi="Century Gothic"/>
                <w:sz w:val="16"/>
                <w:szCs w:val="16"/>
              </w:rPr>
              <w:t>,</w:t>
            </w:r>
          </w:p>
          <w:p w:rsidR="0015165A" w:rsidRDefault="00EB2240" w:rsidP="006450B2">
            <w:pPr>
              <w:pStyle w:val="Default"/>
              <w:numPr>
                <w:ilvl w:val="0"/>
                <w:numId w:val="33"/>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B2240">
              <w:rPr>
                <w:rFonts w:ascii="Century Gothic" w:hAnsi="Century Gothic"/>
                <w:sz w:val="16"/>
                <w:szCs w:val="16"/>
              </w:rPr>
              <w:t>es wird sichergestellt, dass alle quantitativen energiebezogenen Informationen als Endenergieverbrauch übermittelt werden und sich auf die Energiemenge beziehen, die das Unternehmen tatsächlich verbraucht, beispielsweise unter Verwendung der Tabelle in Anhang IV der Richtlinie 2012/27 des Europäischen Parlaments und des Rates</w:t>
            </w:r>
            <w:r w:rsidR="00D45D98">
              <w:rPr>
                <w:sz w:val="16"/>
                <w:szCs w:val="16"/>
                <w:vertAlign w:val="superscript"/>
              </w:rPr>
              <w:t>48</w:t>
            </w:r>
            <w:r w:rsidR="00D45D98">
              <w:rPr>
                <w:rFonts w:ascii="Century Gothic" w:hAnsi="Century Gothic"/>
                <w:sz w:val="16"/>
                <w:szCs w:val="16"/>
              </w:rPr>
              <w:t xml:space="preserve"> </w:t>
            </w:r>
            <w:r w:rsidRPr="00EB2240">
              <w:rPr>
                <w:rFonts w:ascii="Century Gothic" w:hAnsi="Century Gothic"/>
                <w:sz w:val="16"/>
                <w:szCs w:val="16"/>
              </w:rPr>
              <w:t>zur Energieeffizienz,</w:t>
            </w:r>
          </w:p>
          <w:p w:rsidR="00292557" w:rsidRDefault="00292557" w:rsidP="006450B2">
            <w:pPr>
              <w:pStyle w:val="Default"/>
              <w:numPr>
                <w:ilvl w:val="0"/>
                <w:numId w:val="33"/>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A5C5B">
              <w:rPr>
                <w:rFonts w:ascii="Century Gothic" w:hAnsi="Century Gothic"/>
                <w:sz w:val="16"/>
                <w:szCs w:val="16"/>
              </w:rPr>
              <w:t>es vermeidet die Doppelzählung des Kraftstoffverbrauchs bei der Angabe des Verbrauchs selbst erzeugter Energie. Erzeugt das Unternehmen Strom entweder aus einer nicht erneuerbaren oder aus einer erneuerbaren Brennstoffquelle und verbraucht dann den erzeugten Strom, so wird der Energieverbrauch nur einmal beim Brennstoffverbrauch berechnet,</w:t>
            </w:r>
          </w:p>
          <w:p w:rsidR="00292557" w:rsidRPr="00EA5C5B" w:rsidRDefault="00292557" w:rsidP="006450B2">
            <w:pPr>
              <w:pStyle w:val="Default"/>
              <w:numPr>
                <w:ilvl w:val="0"/>
                <w:numId w:val="33"/>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A5C5B">
              <w:rPr>
                <w:rFonts w:ascii="Century Gothic" w:hAnsi="Century Gothic"/>
                <w:sz w:val="16"/>
                <w:szCs w:val="16"/>
              </w:rPr>
              <w:t>der Energieverbrauch wird nicht verrechnet, auch wenn vor Ort erzeugte Energie an Dritte verkauft und von diesen genutzt wird,</w:t>
            </w:r>
          </w:p>
          <w:p w:rsidR="00292557" w:rsidRPr="00EA5C5B" w:rsidRDefault="00292557" w:rsidP="006450B2">
            <w:pPr>
              <w:pStyle w:val="Default"/>
              <w:numPr>
                <w:ilvl w:val="0"/>
                <w:numId w:val="33"/>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A5C5B">
              <w:rPr>
                <w:rFonts w:ascii="Century Gothic" w:hAnsi="Century Gothic"/>
                <w:sz w:val="16"/>
                <w:szCs w:val="16"/>
              </w:rPr>
              <w:t>Energie, die innerhalb der Organisationsgrenze als „erworbene oder erhaltene“ Energie bezogen wird, wird nicht mitgezählt,</w:t>
            </w:r>
          </w:p>
          <w:p w:rsidR="00292557" w:rsidRDefault="00292557" w:rsidP="006450B2">
            <w:pPr>
              <w:pStyle w:val="Default"/>
              <w:numPr>
                <w:ilvl w:val="0"/>
                <w:numId w:val="33"/>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A5C5B">
              <w:rPr>
                <w:rFonts w:ascii="Century Gothic" w:hAnsi="Century Gothic"/>
                <w:sz w:val="16"/>
                <w:szCs w:val="16"/>
              </w:rPr>
              <w:t>es berücksichtigt Dampf, Wärme oder Kühlung, die es aus industriellen Prozessen eines Dritten als „Abfallenergie“ bezieht, als „erworbene oder erhaltene“ Energie,</w:t>
            </w:r>
          </w:p>
          <w:p w:rsidR="00292557" w:rsidRPr="00292557" w:rsidRDefault="00292557" w:rsidP="006450B2">
            <w:pPr>
              <w:pStyle w:val="Default"/>
              <w:numPr>
                <w:ilvl w:val="0"/>
                <w:numId w:val="33"/>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329F6">
              <w:rPr>
                <w:rFonts w:ascii="Century Gothic" w:hAnsi="Century Gothic"/>
                <w:sz w:val="16"/>
                <w:szCs w:val="16"/>
              </w:rPr>
              <w:t>es berücksichtigt erneuerbaren Wasserstoff</w:t>
            </w:r>
            <w:r>
              <w:rPr>
                <w:sz w:val="16"/>
                <w:szCs w:val="16"/>
                <w:vertAlign w:val="superscript"/>
              </w:rPr>
              <w:t>49</w:t>
            </w:r>
            <w:r>
              <w:rPr>
                <w:rFonts w:ascii="Century Gothic" w:hAnsi="Century Gothic"/>
                <w:sz w:val="16"/>
                <w:szCs w:val="16"/>
              </w:rPr>
              <w:t xml:space="preserve"> </w:t>
            </w:r>
            <w:r w:rsidRPr="00D329F6">
              <w:rPr>
                <w:rFonts w:ascii="Century Gothic" w:hAnsi="Century Gothic"/>
                <w:sz w:val="16"/>
                <w:szCs w:val="16"/>
              </w:rPr>
              <w:t>als erneuerbaren Brennstoff. Wasserstoff, der nicht vollständig aus erneuerbaren Quellen gewonnen wird, wird unter „Brennstoffverbrauch aus anderen nicht erneuerbaren Quellen“ erfasst und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165A" w:rsidRPr="00C31157" w:rsidRDefault="0015165A" w:rsidP="006450B2">
            <w:pPr>
              <w:spacing w:before="0"/>
              <w:contextualSpacing/>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bl>
    <w:p w:rsidR="00292557" w:rsidRDefault="00292557" w:rsidP="00A026DE">
      <w:pPr>
        <w:pStyle w:val="Default"/>
        <w:rPr>
          <w:rFonts w:ascii="Century Gothic" w:hAnsi="Century Gothic"/>
          <w:sz w:val="12"/>
          <w:szCs w:val="12"/>
        </w:rPr>
      </w:pPr>
    </w:p>
    <w:p w:rsidR="004A78FF" w:rsidRPr="00A026DE" w:rsidRDefault="004A78FF" w:rsidP="00A026DE">
      <w:pPr>
        <w:pStyle w:val="Default"/>
        <w:rPr>
          <w:rFonts w:ascii="Century Gothic" w:hAnsi="Century Gothic"/>
          <w:sz w:val="12"/>
          <w:szCs w:val="12"/>
        </w:rPr>
      </w:pPr>
    </w:p>
    <w:p w:rsidR="00064BDF" w:rsidRDefault="001B7958" w:rsidP="005D3425">
      <w:pPr>
        <w:pStyle w:val="Default"/>
        <w:ind w:left="142" w:hanging="142"/>
        <w:rPr>
          <w:rFonts w:ascii="Century Gothic" w:hAnsi="Century Gothic"/>
          <w:sz w:val="12"/>
          <w:szCs w:val="12"/>
        </w:rPr>
      </w:pPr>
      <w:r w:rsidRPr="001B7958">
        <w:rPr>
          <w:rFonts w:ascii="Century Gothic" w:hAnsi="Century Gothic"/>
          <w:sz w:val="12"/>
          <w:szCs w:val="12"/>
          <w:vertAlign w:val="superscript"/>
        </w:rPr>
        <w:t>48</w:t>
      </w:r>
      <w:r w:rsidR="00064BDF">
        <w:rPr>
          <w:rFonts w:ascii="Century Gothic" w:hAnsi="Century Gothic"/>
          <w:sz w:val="12"/>
          <w:szCs w:val="12"/>
        </w:rPr>
        <w:t xml:space="preserve"> </w:t>
      </w:r>
      <w:r w:rsidR="00064BDF" w:rsidRPr="00064BDF">
        <w:rPr>
          <w:rFonts w:ascii="Century Gothic" w:hAnsi="Century Gothic"/>
          <w:sz w:val="12"/>
          <w:szCs w:val="12"/>
        </w:rPr>
        <w:t>Richtlinie 2012/27/EU des Europäischen Parlaments und des Rates vom 25. Oktober 2012 zur Energieeffizienz, zur Änderung der Richtlinien 2009/125/EG und 2010/30/EU und zur Aufhebung der Richtlinien 2004/8/EG und 2006/32/EG (</w:t>
      </w:r>
      <w:proofErr w:type="spellStart"/>
      <w:r w:rsidR="00064BDF" w:rsidRPr="00064BDF">
        <w:rPr>
          <w:rFonts w:ascii="Century Gothic" w:hAnsi="Century Gothic"/>
          <w:sz w:val="12"/>
          <w:szCs w:val="12"/>
        </w:rPr>
        <w:t>ABl.</w:t>
      </w:r>
      <w:proofErr w:type="spellEnd"/>
      <w:r w:rsidR="00064BDF" w:rsidRPr="00064BDF">
        <w:rPr>
          <w:rFonts w:ascii="Century Gothic" w:hAnsi="Century Gothic"/>
          <w:sz w:val="12"/>
          <w:szCs w:val="12"/>
        </w:rPr>
        <w:t xml:space="preserve"> L 315 vom 14.11.2012, S. 1). </w:t>
      </w:r>
    </w:p>
    <w:p w:rsidR="00A026DE" w:rsidRPr="00064BDF" w:rsidRDefault="00A026DE" w:rsidP="00064BDF">
      <w:pPr>
        <w:pStyle w:val="Default"/>
        <w:rPr>
          <w:rFonts w:ascii="Century Gothic" w:hAnsi="Century Gothic"/>
          <w:sz w:val="12"/>
          <w:szCs w:val="12"/>
        </w:rPr>
      </w:pPr>
    </w:p>
    <w:p w:rsidR="00A026DE" w:rsidRPr="000C365B" w:rsidRDefault="001B7958" w:rsidP="005D3425">
      <w:pPr>
        <w:pStyle w:val="Default"/>
        <w:ind w:left="142" w:hanging="142"/>
        <w:rPr>
          <w:rFonts w:ascii="Century Gothic" w:hAnsi="Century Gothic"/>
          <w:sz w:val="12"/>
          <w:szCs w:val="12"/>
        </w:rPr>
      </w:pPr>
      <w:r w:rsidRPr="001B7958">
        <w:rPr>
          <w:rFonts w:ascii="Century Gothic" w:hAnsi="Century Gothic"/>
          <w:sz w:val="12"/>
          <w:szCs w:val="12"/>
          <w:vertAlign w:val="superscript"/>
        </w:rPr>
        <w:t>49</w:t>
      </w:r>
      <w:r w:rsidR="00A026DE" w:rsidRPr="000C365B">
        <w:rPr>
          <w:rFonts w:ascii="Century Gothic" w:hAnsi="Century Gothic"/>
          <w:sz w:val="12"/>
          <w:szCs w:val="12"/>
        </w:rPr>
        <w:t xml:space="preserve"> Unter Einhaltung der Anforderungen in delegierten Rechtsakten für Wasserstoff aus erneuerbaren Quellen: Delegierte Verordnung der Kommission vom 10. Februar 2023 zur Ergänzung der Richtlinie (EU) 2018/2001 des Europäischen Parlaments und des Rates durch die Festlegung einer Unionsmethode mit detaillierten Vorschriften für die Erzeugung flüssiger oder gasförmiger erneuerbarer Kraftstoffe nicht biogenen Ursprungs für den Verkehr und Delegierte Verordnung der Kommission vom 10. Februar 2023 zur Ergänzung der Richtlinie (EU) 2018/2001 des Europäischen Parlaments und des Rates durch Festlegung eines Mindestschwellenwertes für die Treibhausgaseinsparungen durch wiederverwertete kohlenstoffhaltige Kraftstoffe und einer Methode zur Ermittlung der Treibhausgaseinsparungen durch flüssige oder gasförmige erneuerbare Kraftstoffe nicht biogenen Ursprungs für den Verkehr sowie durch wiederverwertete kohlenstoffhaltige Kraftstoffe.</w:t>
      </w:r>
    </w:p>
    <w:p w:rsidR="001B6A26" w:rsidRPr="001E7284" w:rsidRDefault="001B6A26" w:rsidP="001E7284">
      <w:pPr>
        <w:pStyle w:val="Default"/>
        <w:rPr>
          <w:rFonts w:ascii="Century Gothic" w:hAnsi="Century Gothic"/>
          <w:b/>
          <w:bCs/>
          <w:sz w:val="12"/>
          <w:szCs w:val="12"/>
        </w:rPr>
      </w:pPr>
    </w:p>
    <w:tbl>
      <w:tblPr>
        <w:tblStyle w:val="Gitternetztabelle4Akzent6"/>
        <w:tblW w:w="9095"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
        <w:gridCol w:w="989"/>
        <w:gridCol w:w="5957"/>
        <w:gridCol w:w="283"/>
        <w:gridCol w:w="709"/>
        <w:gridCol w:w="1134"/>
      </w:tblGrid>
      <w:tr w:rsidR="001F25BB" w:rsidRPr="00122B7B" w:rsidTr="00A103EF">
        <w:trPr>
          <w:gridBefore w:val="1"/>
          <w:cnfStyle w:val="100000000000" w:firstRow="1" w:lastRow="0" w:firstColumn="0" w:lastColumn="0" w:oddVBand="0" w:evenVBand="0" w:oddHBand="0" w:evenHBand="0" w:firstRowFirstColumn="0" w:firstRowLastColumn="0" w:lastRowFirstColumn="0" w:lastRowLastColumn="0"/>
          <w:wBefore w:w="23" w:type="dxa"/>
          <w:trHeight w:val="460"/>
        </w:trPr>
        <w:tc>
          <w:tcPr>
            <w:cnfStyle w:val="001000000000" w:firstRow="0" w:lastRow="0" w:firstColumn="1" w:lastColumn="0" w:oddVBand="0" w:evenVBand="0" w:oddHBand="0" w:evenHBand="0" w:firstRowFirstColumn="0" w:firstRowLastColumn="0" w:lastRowFirstColumn="0" w:lastRowLastColumn="0"/>
            <w:tcW w:w="9072" w:type="dxa"/>
            <w:gridSpan w:val="5"/>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F25BB" w:rsidRPr="00122B7B" w:rsidRDefault="001F25BB" w:rsidP="005F328B">
            <w:pPr>
              <w:spacing w:before="60" w:after="60"/>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A37749">
              <w:rPr>
                <w:color w:val="000000" w:themeColor="text1"/>
                <w:sz w:val="20"/>
                <w:szCs w:val="20"/>
              </w:rPr>
              <w:t>;</w:t>
            </w:r>
            <w:r w:rsidR="00D12943">
              <w:rPr>
                <w:color w:val="000000" w:themeColor="text1"/>
                <w:sz w:val="20"/>
                <w:szCs w:val="20"/>
              </w:rPr>
              <w:t xml:space="preserve"> Forts.</w:t>
            </w:r>
          </w:p>
        </w:tc>
      </w:tr>
      <w:tr w:rsidR="001F25BB" w:rsidRPr="003576B4" w:rsidTr="00A103E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gridBefore w:val="1"/>
          <w:cnfStyle w:val="000000100000" w:firstRow="0" w:lastRow="0" w:firstColumn="0" w:lastColumn="0" w:oddVBand="0" w:evenVBand="0" w:oddHBand="1" w:evenHBand="0" w:firstRowFirstColumn="0" w:firstRowLastColumn="0" w:lastRowFirstColumn="0" w:lastRowLastColumn="0"/>
          <w:wBefore w:w="23" w:type="dxa"/>
          <w:trHeight w:val="187"/>
        </w:trPr>
        <w:tc>
          <w:tcPr>
            <w:cnfStyle w:val="001000000000" w:firstRow="0" w:lastRow="0" w:firstColumn="1" w:lastColumn="0" w:oddVBand="0" w:evenVBand="0" w:oddHBand="0" w:evenHBand="0" w:firstRowFirstColumn="0" w:firstRowLastColumn="0" w:lastRowFirstColumn="0" w:lastRowLastColumn="0"/>
            <w:tcW w:w="989" w:type="dxa"/>
            <w:tcBorders>
              <w:top w:val="nil"/>
              <w:left w:val="nil"/>
              <w:bottom w:val="nil"/>
              <w:right w:val="nil"/>
            </w:tcBorders>
            <w:shd w:val="clear" w:color="auto" w:fill="auto"/>
            <w:vAlign w:val="center"/>
          </w:tcPr>
          <w:p w:rsidR="001F25BB" w:rsidRPr="003576B4" w:rsidRDefault="001F25BB" w:rsidP="001F25BB">
            <w:pPr>
              <w:spacing w:before="60"/>
              <w:rPr>
                <w:sz w:val="2"/>
                <w:szCs w:val="2"/>
              </w:rPr>
            </w:pPr>
          </w:p>
        </w:tc>
        <w:tc>
          <w:tcPr>
            <w:tcW w:w="6240" w:type="dxa"/>
            <w:gridSpan w:val="2"/>
            <w:tcBorders>
              <w:top w:val="nil"/>
              <w:left w:val="nil"/>
              <w:bottom w:val="nil"/>
              <w:right w:val="nil"/>
            </w:tcBorders>
            <w:shd w:val="clear" w:color="auto" w:fill="auto"/>
            <w:vAlign w:val="center"/>
          </w:tcPr>
          <w:p w:rsidR="001F25BB" w:rsidRPr="003576B4" w:rsidRDefault="001F25BB" w:rsidP="001F25BB">
            <w:pPr>
              <w:spacing w:before="60"/>
              <w:cnfStyle w:val="000000100000" w:firstRow="0" w:lastRow="0" w:firstColumn="0" w:lastColumn="0" w:oddVBand="0" w:evenVBand="0" w:oddHBand="1" w:evenHBand="0" w:firstRowFirstColumn="0" w:firstRowLastColumn="0" w:lastRowFirstColumn="0" w:lastRowLastColumn="0"/>
              <w:rPr>
                <w:sz w:val="2"/>
                <w:szCs w:val="2"/>
              </w:rPr>
            </w:pPr>
          </w:p>
        </w:tc>
        <w:tc>
          <w:tcPr>
            <w:tcW w:w="1843" w:type="dxa"/>
            <w:gridSpan w:val="2"/>
            <w:tcBorders>
              <w:top w:val="nil"/>
              <w:left w:val="nil"/>
              <w:bottom w:val="nil"/>
              <w:right w:val="nil"/>
            </w:tcBorders>
            <w:shd w:val="clear" w:color="auto" w:fill="auto"/>
            <w:vAlign w:val="center"/>
          </w:tcPr>
          <w:p w:rsidR="001F25BB" w:rsidRPr="003576B4" w:rsidRDefault="001F25BB" w:rsidP="001F25BB">
            <w:pPr>
              <w:spacing w:before="60"/>
              <w:cnfStyle w:val="000000100000" w:firstRow="0" w:lastRow="0" w:firstColumn="0" w:lastColumn="0" w:oddVBand="0" w:evenVBand="0" w:oddHBand="1" w:evenHBand="0" w:firstRowFirstColumn="0" w:firstRowLastColumn="0" w:lastRowFirstColumn="0" w:lastRowLastColumn="0"/>
              <w:rPr>
                <w:sz w:val="2"/>
                <w:szCs w:val="2"/>
              </w:rPr>
            </w:pPr>
          </w:p>
        </w:tc>
      </w:tr>
      <w:tr w:rsidR="00730BB8" w:rsidRPr="00730BB8" w:rsidTr="00A103E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gridBefore w:val="1"/>
          <w:wBefore w:w="23" w:type="dxa"/>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nil"/>
              <w:left w:val="single" w:sz="4" w:space="0" w:color="auto"/>
              <w:bottom w:val="single" w:sz="4" w:space="0" w:color="auto"/>
              <w:right w:val="single" w:sz="4" w:space="0" w:color="auto"/>
            </w:tcBorders>
            <w:shd w:val="clear" w:color="auto" w:fill="228B22"/>
            <w:vAlign w:val="center"/>
          </w:tcPr>
          <w:p w:rsidR="003F7131" w:rsidRPr="00730BB8" w:rsidRDefault="003F7131" w:rsidP="00A103EF">
            <w:pPr>
              <w:spacing w:before="0"/>
              <w:contextualSpacing/>
              <w:jc w:val="center"/>
              <w:rPr>
                <w:color w:val="FFFFFF" w:themeColor="background1"/>
                <w:sz w:val="20"/>
                <w:szCs w:val="20"/>
              </w:rPr>
            </w:pPr>
            <w:r w:rsidRPr="00730BB8">
              <w:rPr>
                <w:color w:val="FFFFFF" w:themeColor="background1"/>
                <w:sz w:val="20"/>
                <w:szCs w:val="20"/>
              </w:rPr>
              <w:t>Quelle ESRS E1</w:t>
            </w:r>
          </w:p>
        </w:tc>
        <w:tc>
          <w:tcPr>
            <w:tcW w:w="6240" w:type="dxa"/>
            <w:gridSpan w:val="2"/>
            <w:tcBorders>
              <w:top w:val="nil"/>
              <w:left w:val="single" w:sz="4" w:space="0" w:color="auto"/>
              <w:bottom w:val="single" w:sz="4" w:space="0" w:color="auto"/>
              <w:right w:val="single" w:sz="4" w:space="0" w:color="auto"/>
            </w:tcBorders>
            <w:shd w:val="clear" w:color="auto" w:fill="228B22"/>
            <w:vAlign w:val="center"/>
          </w:tcPr>
          <w:p w:rsidR="003F7131" w:rsidRPr="00730BB8" w:rsidRDefault="00990933" w:rsidP="00A103EF">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730BB8">
              <w:rPr>
                <w:b/>
                <w:color w:val="FFFFFF" w:themeColor="background1"/>
                <w:sz w:val="20"/>
                <w:szCs w:val="20"/>
              </w:rPr>
              <w:t>Parameter und Ziele</w:t>
            </w:r>
          </w:p>
        </w:tc>
        <w:tc>
          <w:tcPr>
            <w:tcW w:w="1843" w:type="dxa"/>
            <w:gridSpan w:val="2"/>
            <w:tcBorders>
              <w:top w:val="nil"/>
              <w:left w:val="single" w:sz="4" w:space="0" w:color="auto"/>
              <w:bottom w:val="single" w:sz="4" w:space="0" w:color="auto"/>
              <w:right w:val="single" w:sz="4" w:space="0" w:color="auto"/>
            </w:tcBorders>
            <w:shd w:val="clear" w:color="auto" w:fill="228B22"/>
            <w:vAlign w:val="center"/>
          </w:tcPr>
          <w:p w:rsidR="003F7131" w:rsidRPr="00730BB8" w:rsidRDefault="003F7131" w:rsidP="00A103EF">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730BB8">
              <w:rPr>
                <w:b/>
                <w:color w:val="FFFFFF" w:themeColor="background1"/>
                <w:sz w:val="16"/>
                <w:szCs w:val="16"/>
              </w:rPr>
              <w:t>Bemerkungen, ggf. Verweis auf Datenpunkte</w:t>
            </w:r>
          </w:p>
        </w:tc>
      </w:tr>
      <w:tr w:rsidR="003A3E64" w:rsidRPr="00C31157" w:rsidTr="00A103E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gridBefore w:val="1"/>
          <w:cnfStyle w:val="000000100000" w:firstRow="0" w:lastRow="0" w:firstColumn="0" w:lastColumn="0" w:oddVBand="0" w:evenVBand="0" w:oddHBand="1" w:evenHBand="0" w:firstRowFirstColumn="0" w:firstRowLastColumn="0" w:lastRowFirstColumn="0" w:lastRowLastColumn="0"/>
          <w:wBefore w:w="23" w:type="dxa"/>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3E64" w:rsidRPr="00E22C75" w:rsidRDefault="003A3E64" w:rsidP="00A103EF">
            <w:pPr>
              <w:spacing w:before="0"/>
              <w:contextualSpacing/>
              <w:jc w:val="center"/>
              <w:rPr>
                <w:sz w:val="16"/>
                <w:szCs w:val="16"/>
              </w:rPr>
            </w:pPr>
            <w:r>
              <w:rPr>
                <w:sz w:val="16"/>
                <w:szCs w:val="16"/>
              </w:rPr>
              <w:t>A</w:t>
            </w:r>
            <w:r w:rsidR="006E6FDC">
              <w:rPr>
                <w:sz w:val="16"/>
                <w:szCs w:val="16"/>
              </w:rPr>
              <w:t>R</w:t>
            </w:r>
            <w:r>
              <w:rPr>
                <w:sz w:val="16"/>
                <w:szCs w:val="16"/>
              </w:rPr>
              <w:t xml:space="preserve"> </w:t>
            </w:r>
            <w:r w:rsidR="00EA5C5B">
              <w:rPr>
                <w:sz w:val="16"/>
                <w:szCs w:val="16"/>
              </w:rPr>
              <w:t>32</w:t>
            </w:r>
          </w:p>
        </w:tc>
        <w:tc>
          <w:tcPr>
            <w:tcW w:w="6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C5B" w:rsidRPr="00EA5C5B" w:rsidRDefault="00D329F6" w:rsidP="00A103EF">
            <w:pPr>
              <w:pStyle w:val="Default"/>
              <w:numPr>
                <w:ilvl w:val="0"/>
                <w:numId w:val="33"/>
              </w:numPr>
              <w:ind w:left="466" w:hanging="357"/>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329F6">
              <w:rPr>
                <w:rFonts w:ascii="Century Gothic" w:hAnsi="Century Gothic"/>
                <w:sz w:val="16"/>
                <w:szCs w:val="16"/>
              </w:rPr>
              <w:t>es</w:t>
            </w:r>
            <w:r w:rsidR="00EA5C5B" w:rsidRPr="00D329F6">
              <w:rPr>
                <w:rFonts w:ascii="Century Gothic" w:hAnsi="Century Gothic"/>
                <w:sz w:val="16"/>
                <w:szCs w:val="16"/>
              </w:rPr>
              <w:t xml:space="preserve"> folgt bei der Aufteilung von Strom, Dampf, Wärme oder Kühlung zwischen erneuerbaren und nicht erneuerbaren Quellen auf der Grundlage des Ansatzes zur Berechnung der marktbezogenen </w:t>
            </w:r>
            <w:proofErr w:type="spellStart"/>
            <w:r w:rsidR="00EA5C5B" w:rsidRPr="00D329F6">
              <w:rPr>
                <w:rFonts w:ascii="Century Gothic" w:hAnsi="Century Gothic"/>
                <w:sz w:val="16"/>
                <w:szCs w:val="16"/>
              </w:rPr>
              <w:t>Scope</w:t>
            </w:r>
            <w:proofErr w:type="spellEnd"/>
            <w:r w:rsidR="00EA5C5B" w:rsidRPr="00D329F6">
              <w:rPr>
                <w:rFonts w:ascii="Century Gothic" w:hAnsi="Century Gothic"/>
                <w:sz w:val="16"/>
                <w:szCs w:val="16"/>
              </w:rPr>
              <w:t xml:space="preserve">- 2-Treibhausgasemissionen einem konservativen Ansatz. Das Unternehmen berücksichtigt diesen Energieverbrauch nur dann als aus erneuerbaren Quellen stammend, wenn die Herkunft der erworbenen Energie in den vertraglichen Vereinbarungen mit seinen </w:t>
            </w:r>
            <w:r w:rsidR="00EA5C5B" w:rsidRPr="00D329F6">
              <w:rPr>
                <w:rFonts w:ascii="Century Gothic" w:hAnsi="Century Gothic"/>
                <w:b/>
                <w:bCs/>
                <w:sz w:val="16"/>
                <w:szCs w:val="16"/>
              </w:rPr>
              <w:t xml:space="preserve">Lieferanten </w:t>
            </w:r>
            <w:r w:rsidR="00EA5C5B" w:rsidRPr="00D329F6">
              <w:rPr>
                <w:rFonts w:ascii="Century Gothic" w:hAnsi="Century Gothic"/>
                <w:sz w:val="16"/>
                <w:szCs w:val="16"/>
              </w:rPr>
              <w:t xml:space="preserve">eindeutig festgelegt ist (Vereinbarung über den Bezug von erneuerbarem Strom, standardisierter Ökostromtarif, Marktinstrumente wie der Nachweis der Herkunft aus erneuerbaren Quellen in </w:t>
            </w:r>
            <w:r>
              <w:rPr>
                <w:rFonts w:ascii="Century Gothic" w:hAnsi="Century Gothic"/>
                <w:sz w:val="16"/>
                <w:szCs w:val="16"/>
              </w:rPr>
              <w:t>Europa</w:t>
            </w:r>
            <w:r w:rsidR="00A97E07">
              <w:rPr>
                <w:sz w:val="16"/>
                <w:szCs w:val="16"/>
                <w:vertAlign w:val="superscript"/>
              </w:rPr>
              <w:t>50</w:t>
            </w:r>
            <w:r>
              <w:rPr>
                <w:rFonts w:ascii="Century Gothic" w:hAnsi="Century Gothic"/>
                <w:sz w:val="16"/>
                <w:szCs w:val="16"/>
              </w:rPr>
              <w:t xml:space="preserve"> oder ähnliche Instrumente wie Zertifikate für erneuerbare Energien in den USA und Kanada usw.)</w:t>
            </w:r>
            <w:r w:rsidR="005A38A8">
              <w:rPr>
                <w:rFonts w:ascii="Century Gothic" w:hAnsi="Century Gothic"/>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3E64" w:rsidRPr="00C31157" w:rsidRDefault="003A3E64" w:rsidP="00A103EF">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2F569B" w:rsidRPr="002F569B" w:rsidTr="00A103E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gridBefore w:val="1"/>
          <w:wBefore w:w="23" w:type="dxa"/>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569B" w:rsidRDefault="002F569B" w:rsidP="00A103EF">
            <w:pPr>
              <w:spacing w:before="0"/>
              <w:contextualSpacing/>
              <w:jc w:val="center"/>
              <w:rPr>
                <w:sz w:val="16"/>
                <w:szCs w:val="16"/>
              </w:rPr>
            </w:pPr>
            <w:r>
              <w:rPr>
                <w:sz w:val="16"/>
                <w:szCs w:val="16"/>
              </w:rPr>
              <w:t>A</w:t>
            </w:r>
            <w:r w:rsidR="006E6FDC">
              <w:rPr>
                <w:sz w:val="16"/>
                <w:szCs w:val="16"/>
              </w:rPr>
              <w:t>R</w:t>
            </w:r>
            <w:r>
              <w:rPr>
                <w:sz w:val="16"/>
                <w:szCs w:val="16"/>
              </w:rPr>
              <w:t xml:space="preserve"> 33</w:t>
            </w:r>
          </w:p>
        </w:tc>
        <w:tc>
          <w:tcPr>
            <w:tcW w:w="6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569B" w:rsidRPr="002F569B" w:rsidRDefault="002F569B" w:rsidP="00A103EF">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F569B">
              <w:rPr>
                <w:rFonts w:ascii="Century Gothic" w:hAnsi="Century Gothic"/>
                <w:sz w:val="16"/>
                <w:szCs w:val="16"/>
              </w:rPr>
              <w:t xml:space="preserve">Die Angaben nach Absatz 37 Buchstabe a sind erforderlich, wenn das Unternehmen in mindestens einem </w:t>
            </w:r>
            <w:r w:rsidRPr="002F569B">
              <w:rPr>
                <w:rFonts w:ascii="Century Gothic" w:hAnsi="Century Gothic"/>
                <w:b/>
                <w:bCs/>
                <w:sz w:val="16"/>
                <w:szCs w:val="16"/>
              </w:rPr>
              <w:t xml:space="preserve">klimaintensiven Sektor </w:t>
            </w:r>
            <w:r w:rsidRPr="002F569B">
              <w:rPr>
                <w:rFonts w:ascii="Century Gothic" w:hAnsi="Century Gothic"/>
                <w:sz w:val="16"/>
                <w:szCs w:val="16"/>
              </w:rPr>
              <w:t>tätig ist. Die nach Absatz 38 Buchstaben a bis e erforderlichen Informationen umfassen auch Energie aus fossilen Quellen, die bei Betriebsvorgängen verbraucht wird, die nicht in klimaintensiven Sektoren erfolgen.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569B" w:rsidRPr="002F569B" w:rsidRDefault="002F569B" w:rsidP="00A103EF">
            <w:pPr>
              <w:spacing w:before="0"/>
              <w:contextualSpacing/>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A85143" w:rsidRPr="00A85143" w:rsidTr="00A103E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gridBefore w:val="1"/>
          <w:cnfStyle w:val="000000100000" w:firstRow="0" w:lastRow="0" w:firstColumn="0" w:lastColumn="0" w:oddVBand="0" w:evenVBand="0" w:oddHBand="1" w:evenHBand="0" w:firstRowFirstColumn="0" w:firstRowLastColumn="0" w:lastRowFirstColumn="0" w:lastRowLastColumn="0"/>
          <w:wBefore w:w="23" w:type="dxa"/>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5143" w:rsidRDefault="00A85143" w:rsidP="00A103EF">
            <w:pPr>
              <w:spacing w:before="0"/>
              <w:contextualSpacing/>
              <w:jc w:val="center"/>
              <w:rPr>
                <w:sz w:val="16"/>
                <w:szCs w:val="16"/>
              </w:rPr>
            </w:pPr>
            <w:r>
              <w:rPr>
                <w:sz w:val="16"/>
                <w:szCs w:val="16"/>
              </w:rPr>
              <w:t>A</w:t>
            </w:r>
            <w:r w:rsidR="006E6FDC">
              <w:rPr>
                <w:sz w:val="16"/>
                <w:szCs w:val="16"/>
              </w:rPr>
              <w:t>R</w:t>
            </w:r>
            <w:r>
              <w:rPr>
                <w:sz w:val="16"/>
                <w:szCs w:val="16"/>
              </w:rPr>
              <w:t xml:space="preserve"> 34</w:t>
            </w:r>
          </w:p>
        </w:tc>
        <w:tc>
          <w:tcPr>
            <w:tcW w:w="6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5143" w:rsidRPr="00A85143" w:rsidRDefault="00A85143" w:rsidP="00A103EF">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A85143">
              <w:rPr>
                <w:rFonts w:ascii="Century Gothic" w:hAnsi="Century Gothic"/>
                <w:sz w:val="16"/>
                <w:szCs w:val="16"/>
              </w:rPr>
              <w:t xml:space="preserve">Die Angaben zum Energieverbrauch und zum Energiemix können für </w:t>
            </w:r>
            <w:r w:rsidRPr="00A85143">
              <w:rPr>
                <w:rFonts w:ascii="Century Gothic" w:hAnsi="Century Gothic"/>
                <w:b/>
                <w:bCs/>
                <w:sz w:val="16"/>
                <w:szCs w:val="16"/>
              </w:rPr>
              <w:t xml:space="preserve">klimaintensive Sektoren </w:t>
            </w:r>
            <w:r w:rsidRPr="00A85143">
              <w:rPr>
                <w:rFonts w:ascii="Century Gothic" w:hAnsi="Century Gothic"/>
                <w:sz w:val="16"/>
                <w:szCs w:val="16"/>
              </w:rPr>
              <w:t>im folgenden Tabellenformat dargestellt werden, und für alle anderen Sektoren, indem die Zeilen 1 bis 5 weggelassen werden.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5143" w:rsidRPr="00A85143" w:rsidRDefault="00A85143" w:rsidP="00A103EF">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3576B4" w:rsidRPr="00A103EF" w:rsidTr="00A103E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gridBefore w:val="1"/>
          <w:wBefore w:w="23" w:type="dxa"/>
          <w:trHeight w:val="237"/>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nil"/>
              <w:bottom w:val="nil"/>
              <w:right w:val="nil"/>
            </w:tcBorders>
            <w:shd w:val="clear" w:color="auto" w:fill="auto"/>
          </w:tcPr>
          <w:p w:rsidR="003576B4" w:rsidRPr="00A103EF" w:rsidRDefault="003576B4" w:rsidP="00E22C75">
            <w:pPr>
              <w:spacing w:beforeLines="60" w:before="144" w:afterLines="60" w:after="144"/>
              <w:jc w:val="center"/>
              <w:rPr>
                <w:sz w:val="2"/>
                <w:szCs w:val="2"/>
              </w:rPr>
            </w:pPr>
          </w:p>
        </w:tc>
        <w:tc>
          <w:tcPr>
            <w:tcW w:w="6240" w:type="dxa"/>
            <w:gridSpan w:val="2"/>
            <w:tcBorders>
              <w:top w:val="single" w:sz="4" w:space="0" w:color="auto"/>
              <w:left w:val="nil"/>
              <w:bottom w:val="nil"/>
              <w:right w:val="nil"/>
            </w:tcBorders>
            <w:shd w:val="clear" w:color="auto" w:fill="auto"/>
            <w:vAlign w:val="center"/>
          </w:tcPr>
          <w:p w:rsidR="003576B4" w:rsidRPr="00A103EF" w:rsidRDefault="003576B4" w:rsidP="00A85143">
            <w:pPr>
              <w:pStyle w:val="Default"/>
              <w:spacing w:before="60" w:after="60"/>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
                <w:szCs w:val="2"/>
              </w:rPr>
            </w:pPr>
          </w:p>
        </w:tc>
        <w:tc>
          <w:tcPr>
            <w:tcW w:w="1843" w:type="dxa"/>
            <w:gridSpan w:val="2"/>
            <w:tcBorders>
              <w:top w:val="single" w:sz="4" w:space="0" w:color="auto"/>
              <w:left w:val="nil"/>
              <w:bottom w:val="nil"/>
              <w:right w:val="nil"/>
            </w:tcBorders>
            <w:shd w:val="clear" w:color="auto" w:fill="auto"/>
            <w:vAlign w:val="center"/>
          </w:tcPr>
          <w:p w:rsidR="003576B4" w:rsidRPr="00A103EF" w:rsidRDefault="003576B4" w:rsidP="002F569B">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sz w:val="2"/>
                <w:szCs w:val="2"/>
              </w:rPr>
            </w:pPr>
          </w:p>
        </w:tc>
      </w:tr>
      <w:tr w:rsidR="009C7B56" w:rsidRPr="005951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B0F0"/>
            <w:vAlign w:val="center"/>
          </w:tcPr>
          <w:p w:rsidR="009C7B56" w:rsidRPr="00DF021E" w:rsidRDefault="00DF021E" w:rsidP="003576B4">
            <w:pPr>
              <w:spacing w:before="0"/>
              <w:jc w:val="center"/>
              <w:rPr>
                <w:bCs w:val="0"/>
                <w:sz w:val="16"/>
                <w:szCs w:val="16"/>
              </w:rPr>
            </w:pPr>
            <w:r w:rsidRPr="00DF021E">
              <w:rPr>
                <w:bCs w:val="0"/>
                <w:sz w:val="16"/>
                <w:szCs w:val="16"/>
              </w:rPr>
              <w:t>Energieverbrauch und Energiemix</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B0F0"/>
          </w:tcPr>
          <w:p w:rsidR="009C7B56" w:rsidRPr="00DF021E" w:rsidRDefault="00DF021E" w:rsidP="003576B4">
            <w:pPr>
              <w:spacing w:before="0"/>
              <w:jc w:val="center"/>
              <w:cnfStyle w:val="000000100000" w:firstRow="0" w:lastRow="0" w:firstColumn="0" w:lastColumn="0" w:oddVBand="0" w:evenVBand="0" w:oddHBand="1" w:evenHBand="0" w:firstRowFirstColumn="0" w:firstRowLastColumn="0" w:lastRowFirstColumn="0" w:lastRowLastColumn="0"/>
              <w:rPr>
                <w:bCs/>
                <w:sz w:val="16"/>
                <w:szCs w:val="16"/>
              </w:rPr>
            </w:pPr>
            <w:r w:rsidRPr="00DF021E">
              <w:rPr>
                <w:sz w:val="16"/>
                <w:szCs w:val="16"/>
              </w:rPr>
              <w:t>Vergleich</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B0F0"/>
          </w:tcPr>
          <w:p w:rsidR="009C7B56" w:rsidRPr="00DF021E" w:rsidRDefault="00DF021E" w:rsidP="003576B4">
            <w:pPr>
              <w:spacing w:before="0"/>
              <w:jc w:val="center"/>
              <w:cnfStyle w:val="000000100000" w:firstRow="0" w:lastRow="0" w:firstColumn="0" w:lastColumn="0" w:oddVBand="0" w:evenVBand="0" w:oddHBand="1" w:evenHBand="0" w:firstRowFirstColumn="0" w:firstRowLastColumn="0" w:lastRowFirstColumn="0" w:lastRowLastColumn="0"/>
              <w:rPr>
                <w:bCs/>
                <w:sz w:val="16"/>
                <w:szCs w:val="16"/>
              </w:rPr>
            </w:pPr>
            <w:r w:rsidRPr="00DF021E">
              <w:rPr>
                <w:sz w:val="16"/>
                <w:szCs w:val="16"/>
              </w:rPr>
              <w:t>Jahr N</w:t>
            </w:r>
          </w:p>
        </w:tc>
      </w:tr>
      <w:tr w:rsidR="009C7B56" w:rsidRPr="005951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247"/>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C7B56" w:rsidRPr="00DF021E" w:rsidRDefault="00DF021E" w:rsidP="003576B4">
            <w:pPr>
              <w:pStyle w:val="Listenabsatz"/>
              <w:numPr>
                <w:ilvl w:val="0"/>
                <w:numId w:val="34"/>
              </w:numPr>
              <w:spacing w:before="0"/>
              <w:ind w:left="762" w:hanging="425"/>
              <w:jc w:val="left"/>
              <w:rPr>
                <w:b w:val="0"/>
                <w:sz w:val="16"/>
                <w:szCs w:val="16"/>
              </w:rPr>
            </w:pPr>
            <w:r w:rsidRPr="00DF021E">
              <w:rPr>
                <w:b w:val="0"/>
                <w:sz w:val="16"/>
                <w:szCs w:val="16"/>
              </w:rPr>
              <w:t>Brennstoffverbrauch aus Kohle und Kohleerzeugnissen (MWh)</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C7B56" w:rsidRPr="00DF021E" w:rsidRDefault="009C7B56"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C7B56" w:rsidRPr="00DF021E" w:rsidRDefault="009C7B56"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DF021E" w:rsidRPr="005951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DF021E" w:rsidRPr="00DF021E" w:rsidRDefault="00DF021E" w:rsidP="003576B4">
            <w:pPr>
              <w:pStyle w:val="Listenabsatz"/>
              <w:numPr>
                <w:ilvl w:val="0"/>
                <w:numId w:val="34"/>
              </w:numPr>
              <w:spacing w:before="0"/>
              <w:ind w:left="762" w:hanging="425"/>
              <w:jc w:val="left"/>
              <w:rPr>
                <w:b w:val="0"/>
                <w:sz w:val="16"/>
                <w:szCs w:val="16"/>
              </w:rPr>
            </w:pPr>
            <w:r w:rsidRPr="00DF021E">
              <w:rPr>
                <w:b w:val="0"/>
                <w:sz w:val="16"/>
                <w:szCs w:val="16"/>
              </w:rPr>
              <w:t xml:space="preserve">Brennstoffverbrauch aus </w:t>
            </w:r>
            <w:r>
              <w:rPr>
                <w:b w:val="0"/>
                <w:sz w:val="16"/>
                <w:szCs w:val="16"/>
              </w:rPr>
              <w:t>Rohöl und Erdölerzeugnissen</w:t>
            </w:r>
            <w:r w:rsidRPr="00DF021E">
              <w:rPr>
                <w:b w:val="0"/>
                <w:sz w:val="16"/>
                <w:szCs w:val="16"/>
              </w:rPr>
              <w:t xml:space="preserve"> (MWh)</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F021E" w:rsidRPr="00DF021E" w:rsidRDefault="00DF021E"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F021E" w:rsidRPr="00DF021E" w:rsidRDefault="00DF021E"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r>
      <w:tr w:rsidR="00DF021E" w:rsidRPr="005951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330"/>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DF021E" w:rsidRPr="00DF021E" w:rsidRDefault="00DF021E" w:rsidP="003576B4">
            <w:pPr>
              <w:pStyle w:val="Listenabsatz"/>
              <w:numPr>
                <w:ilvl w:val="0"/>
                <w:numId w:val="34"/>
              </w:numPr>
              <w:spacing w:before="0"/>
              <w:ind w:left="762" w:hanging="425"/>
              <w:jc w:val="left"/>
              <w:rPr>
                <w:b w:val="0"/>
                <w:sz w:val="16"/>
                <w:szCs w:val="16"/>
              </w:rPr>
            </w:pPr>
            <w:r w:rsidRPr="00DF021E">
              <w:rPr>
                <w:b w:val="0"/>
                <w:sz w:val="16"/>
                <w:szCs w:val="16"/>
              </w:rPr>
              <w:t xml:space="preserve">Brennstoffverbrauch aus </w:t>
            </w:r>
            <w:r>
              <w:rPr>
                <w:b w:val="0"/>
                <w:sz w:val="16"/>
                <w:szCs w:val="16"/>
              </w:rPr>
              <w:t>Erdgas</w:t>
            </w:r>
            <w:r w:rsidRPr="00DF021E">
              <w:rPr>
                <w:b w:val="0"/>
                <w:sz w:val="16"/>
                <w:szCs w:val="16"/>
              </w:rPr>
              <w:t xml:space="preserve"> (MWh)</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F021E" w:rsidRPr="00DF021E" w:rsidRDefault="00DF021E"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F021E" w:rsidRPr="00DF021E" w:rsidRDefault="00DF021E"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DF021E" w:rsidRPr="002648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DF021E" w:rsidRPr="00DF021E" w:rsidRDefault="00DF021E" w:rsidP="003576B4">
            <w:pPr>
              <w:pStyle w:val="Listenabsatz"/>
              <w:numPr>
                <w:ilvl w:val="0"/>
                <w:numId w:val="34"/>
              </w:numPr>
              <w:spacing w:before="0"/>
              <w:ind w:left="762" w:hanging="425"/>
              <w:jc w:val="left"/>
              <w:rPr>
                <w:b w:val="0"/>
                <w:sz w:val="16"/>
                <w:szCs w:val="16"/>
              </w:rPr>
            </w:pPr>
            <w:r w:rsidRPr="00DF021E">
              <w:rPr>
                <w:b w:val="0"/>
                <w:sz w:val="16"/>
                <w:szCs w:val="16"/>
              </w:rPr>
              <w:t xml:space="preserve">Brennstoffverbrauch aus </w:t>
            </w:r>
            <w:r>
              <w:rPr>
                <w:b w:val="0"/>
                <w:sz w:val="16"/>
                <w:szCs w:val="16"/>
              </w:rPr>
              <w:t>sonstigen fossilen Quellen</w:t>
            </w:r>
            <w:r w:rsidRPr="00DF021E">
              <w:rPr>
                <w:b w:val="0"/>
                <w:sz w:val="16"/>
                <w:szCs w:val="16"/>
              </w:rPr>
              <w:t xml:space="preserve"> (MWh)</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F021E" w:rsidRPr="00DF021E" w:rsidRDefault="00DF021E"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F021E" w:rsidRPr="00DF021E" w:rsidRDefault="00DF021E"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r>
      <w:tr w:rsidR="00DF021E" w:rsidRPr="002648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225"/>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DF021E" w:rsidRPr="00DF021E" w:rsidRDefault="00DF021E" w:rsidP="003576B4">
            <w:pPr>
              <w:pStyle w:val="Listenabsatz"/>
              <w:numPr>
                <w:ilvl w:val="0"/>
                <w:numId w:val="34"/>
              </w:numPr>
              <w:spacing w:before="0"/>
              <w:ind w:left="762" w:hanging="425"/>
              <w:jc w:val="left"/>
              <w:rPr>
                <w:b w:val="0"/>
                <w:sz w:val="16"/>
                <w:szCs w:val="16"/>
              </w:rPr>
            </w:pPr>
            <w:r>
              <w:rPr>
                <w:b w:val="0"/>
                <w:sz w:val="16"/>
                <w:szCs w:val="16"/>
              </w:rPr>
              <w:t>V</w:t>
            </w:r>
            <w:r w:rsidRPr="00DF021E">
              <w:rPr>
                <w:b w:val="0"/>
                <w:sz w:val="16"/>
                <w:szCs w:val="16"/>
              </w:rPr>
              <w:t xml:space="preserve">erbrauch aus </w:t>
            </w:r>
            <w:r>
              <w:rPr>
                <w:b w:val="0"/>
                <w:sz w:val="16"/>
                <w:szCs w:val="16"/>
              </w:rPr>
              <w:t>erworbener oder erhaltener Elektrizität, Wärme, Dampf und Kühlung und aus fossilen Quellen</w:t>
            </w:r>
            <w:r w:rsidRPr="00DF021E">
              <w:rPr>
                <w:b w:val="0"/>
                <w:sz w:val="16"/>
                <w:szCs w:val="16"/>
              </w:rPr>
              <w:t xml:space="preserve"> (MWh)</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F021E" w:rsidRPr="00DF021E" w:rsidRDefault="00DF021E"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F021E" w:rsidRPr="00DF021E" w:rsidRDefault="00DF021E"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107011" w:rsidRPr="00107011"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107011" w:rsidRPr="00107011" w:rsidRDefault="00107011" w:rsidP="003576B4">
            <w:pPr>
              <w:pStyle w:val="Listenabsatz"/>
              <w:numPr>
                <w:ilvl w:val="0"/>
                <w:numId w:val="34"/>
              </w:numPr>
              <w:spacing w:before="0"/>
              <w:jc w:val="left"/>
              <w:rPr>
                <w:sz w:val="16"/>
                <w:szCs w:val="16"/>
              </w:rPr>
            </w:pPr>
            <w:r w:rsidRPr="00107011">
              <w:rPr>
                <w:sz w:val="16"/>
                <w:szCs w:val="16"/>
              </w:rPr>
              <w:t>Gesamtverbrauch fossiler Energie (MWh) (Summe der Zeilen 1 bis 5)</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107011" w:rsidRPr="00107011" w:rsidRDefault="00107011"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107011" w:rsidRPr="00107011" w:rsidRDefault="00107011"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r>
      <w:tr w:rsidR="00107011" w:rsidRPr="005951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280"/>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107011" w:rsidRPr="00107011" w:rsidRDefault="00107011" w:rsidP="003576B4">
            <w:pPr>
              <w:pStyle w:val="Listenabsatz"/>
              <w:spacing w:before="0"/>
              <w:ind w:left="1754" w:hanging="709"/>
              <w:jc w:val="left"/>
              <w:rPr>
                <w:sz w:val="16"/>
                <w:szCs w:val="16"/>
              </w:rPr>
            </w:pPr>
            <w:r w:rsidRPr="00107011">
              <w:rPr>
                <w:sz w:val="16"/>
                <w:szCs w:val="16"/>
              </w:rPr>
              <w:t>Anteil fossiler Quellen am Gesamtenergieverbrauch (in %)</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107011" w:rsidRPr="00DF021E" w:rsidRDefault="00107011"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107011" w:rsidRPr="00DF021E" w:rsidRDefault="00107011"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107011" w:rsidRPr="005951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107011" w:rsidRPr="00107011" w:rsidRDefault="00107011" w:rsidP="003576B4">
            <w:pPr>
              <w:pStyle w:val="Listenabsatz"/>
              <w:numPr>
                <w:ilvl w:val="0"/>
                <w:numId w:val="34"/>
              </w:numPr>
              <w:spacing w:before="0"/>
              <w:jc w:val="left"/>
              <w:rPr>
                <w:sz w:val="16"/>
                <w:szCs w:val="16"/>
              </w:rPr>
            </w:pPr>
            <w:r w:rsidRPr="00107011">
              <w:rPr>
                <w:sz w:val="16"/>
                <w:szCs w:val="16"/>
              </w:rPr>
              <w:t>Verbrauch aus Kernkraftquellen (MWh)</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107011" w:rsidRPr="00DF021E" w:rsidRDefault="00107011"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107011" w:rsidRPr="00DF021E" w:rsidRDefault="00107011"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r>
      <w:tr w:rsidR="00107011" w:rsidRPr="002648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225"/>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107011" w:rsidRPr="00107011" w:rsidRDefault="00107011" w:rsidP="003576B4">
            <w:pPr>
              <w:pStyle w:val="Listenabsatz"/>
              <w:spacing w:before="0"/>
              <w:ind w:left="1045"/>
              <w:jc w:val="left"/>
              <w:rPr>
                <w:sz w:val="16"/>
                <w:szCs w:val="16"/>
              </w:rPr>
            </w:pPr>
            <w:r w:rsidRPr="00107011">
              <w:rPr>
                <w:sz w:val="16"/>
                <w:szCs w:val="16"/>
              </w:rPr>
              <w:t xml:space="preserve">Anteil </w:t>
            </w:r>
            <w:r>
              <w:rPr>
                <w:sz w:val="16"/>
                <w:szCs w:val="16"/>
              </w:rPr>
              <w:t xml:space="preserve">des Verbrauchs aus nuklearen Quellen </w:t>
            </w:r>
            <w:r w:rsidRPr="00107011">
              <w:rPr>
                <w:sz w:val="16"/>
                <w:szCs w:val="16"/>
              </w:rPr>
              <w:t>am Gesamtenergieverbrauch (in %)</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107011" w:rsidRPr="00DF021E" w:rsidRDefault="00107011"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107011" w:rsidRPr="00DF021E" w:rsidRDefault="00107011"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DA022B" w:rsidRPr="002648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DA022B" w:rsidRPr="00236668" w:rsidRDefault="00AF6EA4" w:rsidP="003576B4">
            <w:pPr>
              <w:pStyle w:val="Listenabsatz"/>
              <w:numPr>
                <w:ilvl w:val="0"/>
                <w:numId w:val="34"/>
              </w:numPr>
              <w:spacing w:before="0"/>
              <w:jc w:val="left"/>
              <w:rPr>
                <w:b w:val="0"/>
                <w:bCs w:val="0"/>
                <w:sz w:val="16"/>
                <w:szCs w:val="16"/>
              </w:rPr>
            </w:pPr>
            <w:r w:rsidRPr="00236668">
              <w:rPr>
                <w:b w:val="0"/>
                <w:bCs w:val="0"/>
                <w:sz w:val="16"/>
                <w:szCs w:val="16"/>
              </w:rPr>
              <w:t xml:space="preserve">Brennstoffverbrauch für erneuerbare Quellen, einschließlich Biomasse (auch Industrie- und Siedlungsabfällen biologischen Ursprungs, Biogas, </w:t>
            </w:r>
            <w:r w:rsidR="002B541F">
              <w:rPr>
                <w:b w:val="0"/>
                <w:bCs w:val="0"/>
                <w:sz w:val="16"/>
                <w:szCs w:val="16"/>
              </w:rPr>
              <w:t>W</w:t>
            </w:r>
            <w:r w:rsidRPr="00236668">
              <w:rPr>
                <w:b w:val="0"/>
                <w:bCs w:val="0"/>
                <w:sz w:val="16"/>
                <w:szCs w:val="16"/>
              </w:rPr>
              <w:t>asserstoff aus erneuerbaren Quellen usw.) (MWh)</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r>
      <w:tr w:rsidR="00DA022B" w:rsidRPr="002648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225"/>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DA022B" w:rsidRPr="00DF021E" w:rsidRDefault="002B541F" w:rsidP="003576B4">
            <w:pPr>
              <w:pStyle w:val="Listenabsatz"/>
              <w:numPr>
                <w:ilvl w:val="0"/>
                <w:numId w:val="34"/>
              </w:numPr>
              <w:spacing w:before="0"/>
              <w:jc w:val="left"/>
              <w:rPr>
                <w:bCs w:val="0"/>
                <w:sz w:val="16"/>
                <w:szCs w:val="16"/>
              </w:rPr>
            </w:pPr>
            <w:r>
              <w:rPr>
                <w:b w:val="0"/>
                <w:bCs w:val="0"/>
                <w:sz w:val="16"/>
                <w:szCs w:val="16"/>
              </w:rPr>
              <w:t>Verbrauch aus erworbener oder erhaltener Elektrizität, Wärme, Dampf und Kühlung und aus erneuerbaren Quellen (MWh)</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DA022B" w:rsidRPr="002648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DA022B" w:rsidRPr="002B541F" w:rsidRDefault="002B541F" w:rsidP="003576B4">
            <w:pPr>
              <w:pStyle w:val="Listenabsatz"/>
              <w:numPr>
                <w:ilvl w:val="0"/>
                <w:numId w:val="34"/>
              </w:numPr>
              <w:spacing w:before="0"/>
              <w:jc w:val="left"/>
              <w:rPr>
                <w:b w:val="0"/>
                <w:bCs w:val="0"/>
                <w:sz w:val="16"/>
                <w:szCs w:val="16"/>
              </w:rPr>
            </w:pPr>
            <w:r w:rsidRPr="002B541F">
              <w:rPr>
                <w:b w:val="0"/>
                <w:bCs w:val="0"/>
                <w:sz w:val="16"/>
                <w:szCs w:val="16"/>
              </w:rPr>
              <w:t>Verbrauch selbst erzeugter erneuerbarer Energie, bei der es sich nicht um Brennstoffe handelt (MWh)</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r>
      <w:tr w:rsidR="00DA022B" w:rsidRPr="002648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225"/>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DA022B" w:rsidRPr="00DF021E" w:rsidRDefault="005C2D56" w:rsidP="003576B4">
            <w:pPr>
              <w:pStyle w:val="Listenabsatz"/>
              <w:numPr>
                <w:ilvl w:val="0"/>
                <w:numId w:val="34"/>
              </w:numPr>
              <w:spacing w:before="0"/>
              <w:jc w:val="left"/>
              <w:rPr>
                <w:bCs w:val="0"/>
                <w:sz w:val="16"/>
                <w:szCs w:val="16"/>
              </w:rPr>
            </w:pPr>
            <w:r>
              <w:rPr>
                <w:bCs w:val="0"/>
                <w:sz w:val="16"/>
                <w:szCs w:val="16"/>
              </w:rPr>
              <w:t>Gesamtverbrauch erneuerbarer Energie (MWh) (Summe der Zeilen 8 bis 10)</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DA022B" w:rsidRPr="002648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DA022B" w:rsidRPr="005C2D56" w:rsidRDefault="005C2D56" w:rsidP="003576B4">
            <w:pPr>
              <w:pStyle w:val="Listenabsatz"/>
              <w:spacing w:before="0"/>
              <w:ind w:left="1045"/>
              <w:jc w:val="left"/>
              <w:rPr>
                <w:sz w:val="16"/>
                <w:szCs w:val="16"/>
              </w:rPr>
            </w:pPr>
            <w:r w:rsidRPr="00107011">
              <w:rPr>
                <w:sz w:val="16"/>
                <w:szCs w:val="16"/>
              </w:rPr>
              <w:t xml:space="preserve">Anteil </w:t>
            </w:r>
            <w:r>
              <w:rPr>
                <w:sz w:val="16"/>
                <w:szCs w:val="16"/>
              </w:rPr>
              <w:t xml:space="preserve">erneuerbarer Quellen </w:t>
            </w:r>
            <w:r w:rsidRPr="00107011">
              <w:rPr>
                <w:sz w:val="16"/>
                <w:szCs w:val="16"/>
              </w:rPr>
              <w:t>am Gesamtenergieverbrauch (in %)</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100000" w:firstRow="0" w:lastRow="0" w:firstColumn="0" w:lastColumn="0" w:oddVBand="0" w:evenVBand="0" w:oddHBand="1" w:evenHBand="0" w:firstRowFirstColumn="0" w:firstRowLastColumn="0" w:lastRowFirstColumn="0" w:lastRowLastColumn="0"/>
              <w:rPr>
                <w:sz w:val="16"/>
                <w:szCs w:val="16"/>
              </w:rPr>
            </w:pPr>
          </w:p>
        </w:tc>
      </w:tr>
      <w:tr w:rsidR="00DA022B" w:rsidRPr="0026484F" w:rsidTr="004A78F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225"/>
        </w:trPr>
        <w:tc>
          <w:tcPr>
            <w:cnfStyle w:val="001000000000" w:firstRow="0" w:lastRow="0" w:firstColumn="1" w:lastColumn="0" w:oddVBand="0" w:evenVBand="0" w:oddHBand="0" w:evenHBand="0" w:firstRowFirstColumn="0" w:firstRowLastColumn="0" w:lastRowFirstColumn="0" w:lastRowLastColumn="0"/>
            <w:tcW w:w="696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DA022B" w:rsidRPr="005C2D56" w:rsidRDefault="00A81B56" w:rsidP="003576B4">
            <w:pPr>
              <w:spacing w:before="0"/>
              <w:jc w:val="left"/>
              <w:rPr>
                <w:sz w:val="16"/>
                <w:szCs w:val="16"/>
              </w:rPr>
            </w:pPr>
            <w:r>
              <w:rPr>
                <w:sz w:val="16"/>
                <w:szCs w:val="16"/>
              </w:rPr>
              <w:t>Gesamtenergieverbrauch (MWh) (Summe der Zeilen 6 und 11)</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DA022B" w:rsidRPr="00DF021E" w:rsidRDefault="00DA022B" w:rsidP="003576B4">
            <w:pPr>
              <w:spacing w:before="0"/>
              <w:jc w:val="left"/>
              <w:cnfStyle w:val="000000000000" w:firstRow="0" w:lastRow="0" w:firstColumn="0" w:lastColumn="0" w:oddVBand="0" w:evenVBand="0" w:oddHBand="0" w:evenHBand="0" w:firstRowFirstColumn="0" w:firstRowLastColumn="0" w:lastRowFirstColumn="0" w:lastRowLastColumn="0"/>
              <w:rPr>
                <w:sz w:val="16"/>
                <w:szCs w:val="16"/>
              </w:rPr>
            </w:pPr>
          </w:p>
        </w:tc>
      </w:tr>
    </w:tbl>
    <w:p w:rsidR="003576B4" w:rsidRDefault="003576B4">
      <w:pPr>
        <w:spacing w:before="0"/>
        <w:jc w:val="left"/>
        <w:rPr>
          <w:sz w:val="16"/>
          <w:szCs w:val="28"/>
        </w:rPr>
      </w:pPr>
    </w:p>
    <w:p w:rsidR="004A78FF" w:rsidRDefault="004A78FF">
      <w:pPr>
        <w:spacing w:before="0"/>
        <w:jc w:val="left"/>
        <w:rPr>
          <w:sz w:val="16"/>
          <w:szCs w:val="28"/>
        </w:rPr>
      </w:pPr>
    </w:p>
    <w:p w:rsidR="003576B4" w:rsidRDefault="00180508" w:rsidP="001E4E94">
      <w:pPr>
        <w:spacing w:before="0"/>
        <w:ind w:left="142" w:hanging="142"/>
        <w:jc w:val="left"/>
        <w:rPr>
          <w:sz w:val="16"/>
          <w:szCs w:val="28"/>
        </w:rPr>
      </w:pPr>
      <w:r w:rsidRPr="00180508">
        <w:rPr>
          <w:sz w:val="12"/>
          <w:szCs w:val="12"/>
          <w:vertAlign w:val="superscript"/>
        </w:rPr>
        <w:t>50</w:t>
      </w:r>
      <w:r w:rsidR="003576B4" w:rsidRPr="000C365B">
        <w:rPr>
          <w:sz w:val="12"/>
          <w:szCs w:val="12"/>
        </w:rPr>
        <w:t xml:space="preserve"> Auf der Grundlage der Richtlinie (EU) 2018/2001 des Europäischen Parlaments und des Rates vom 11. Dezember 2018 zur Förderung der Nutzung von Energie aus erneuerbaren Quellen.</w:t>
      </w: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9"/>
        <w:gridCol w:w="6240"/>
        <w:gridCol w:w="1843"/>
      </w:tblGrid>
      <w:tr w:rsidR="00EF3095" w:rsidRPr="00122B7B" w:rsidTr="00B5366B">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F3095" w:rsidRPr="00122B7B" w:rsidRDefault="00EF3095" w:rsidP="00B5366B">
            <w:pPr>
              <w:spacing w:before="0"/>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A37749">
              <w:rPr>
                <w:color w:val="000000" w:themeColor="text1"/>
                <w:sz w:val="20"/>
                <w:szCs w:val="20"/>
              </w:rPr>
              <w:t>;</w:t>
            </w:r>
            <w:r>
              <w:rPr>
                <w:color w:val="000000" w:themeColor="text1"/>
                <w:sz w:val="20"/>
                <w:szCs w:val="20"/>
              </w:rPr>
              <w:t xml:space="preserve"> Forts.</w:t>
            </w:r>
          </w:p>
        </w:tc>
      </w:tr>
      <w:tr w:rsidR="00EF3095" w:rsidRPr="00B866B9" w:rsidTr="002559E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989" w:type="dxa"/>
            <w:tcBorders>
              <w:top w:val="nil"/>
              <w:left w:val="nil"/>
              <w:bottom w:val="nil"/>
              <w:right w:val="nil"/>
            </w:tcBorders>
            <w:shd w:val="clear" w:color="auto" w:fill="auto"/>
            <w:vAlign w:val="center"/>
          </w:tcPr>
          <w:p w:rsidR="00EF3095" w:rsidRPr="00B866B9" w:rsidRDefault="00EF3095" w:rsidP="005F328B">
            <w:pPr>
              <w:spacing w:before="60"/>
              <w:rPr>
                <w:sz w:val="2"/>
                <w:szCs w:val="2"/>
              </w:rPr>
            </w:pPr>
          </w:p>
        </w:tc>
        <w:tc>
          <w:tcPr>
            <w:tcW w:w="6240" w:type="dxa"/>
            <w:tcBorders>
              <w:top w:val="nil"/>
              <w:left w:val="nil"/>
              <w:bottom w:val="nil"/>
              <w:right w:val="nil"/>
            </w:tcBorders>
            <w:shd w:val="clear" w:color="auto" w:fill="auto"/>
            <w:vAlign w:val="center"/>
          </w:tcPr>
          <w:p w:rsidR="00EF3095" w:rsidRPr="00B866B9" w:rsidRDefault="00EF3095" w:rsidP="005F328B">
            <w:pPr>
              <w:spacing w:before="60"/>
              <w:cnfStyle w:val="000000100000" w:firstRow="0" w:lastRow="0" w:firstColumn="0" w:lastColumn="0" w:oddVBand="0" w:evenVBand="0" w:oddHBand="1" w:evenHBand="0" w:firstRowFirstColumn="0" w:firstRowLastColumn="0" w:lastRowFirstColumn="0" w:lastRowLastColumn="0"/>
              <w:rPr>
                <w:sz w:val="2"/>
                <w:szCs w:val="2"/>
              </w:rPr>
            </w:pPr>
          </w:p>
        </w:tc>
        <w:tc>
          <w:tcPr>
            <w:tcW w:w="1843" w:type="dxa"/>
            <w:tcBorders>
              <w:top w:val="nil"/>
              <w:left w:val="nil"/>
              <w:bottom w:val="nil"/>
              <w:right w:val="nil"/>
            </w:tcBorders>
            <w:shd w:val="clear" w:color="auto" w:fill="auto"/>
            <w:vAlign w:val="center"/>
          </w:tcPr>
          <w:p w:rsidR="00EF3095" w:rsidRPr="00B866B9" w:rsidRDefault="00EF3095" w:rsidP="005F328B">
            <w:pPr>
              <w:spacing w:before="60"/>
              <w:cnfStyle w:val="000000100000" w:firstRow="0" w:lastRow="0" w:firstColumn="0" w:lastColumn="0" w:oddVBand="0" w:evenVBand="0" w:oddHBand="1" w:evenHBand="0" w:firstRowFirstColumn="0" w:firstRowLastColumn="0" w:lastRowFirstColumn="0" w:lastRowLastColumn="0"/>
              <w:rPr>
                <w:sz w:val="2"/>
                <w:szCs w:val="2"/>
              </w:rPr>
            </w:pPr>
          </w:p>
        </w:tc>
      </w:tr>
      <w:tr w:rsidR="00EF3095" w:rsidRPr="00730BB8" w:rsidTr="00B866B9">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nil"/>
              <w:left w:val="single" w:sz="4" w:space="0" w:color="auto"/>
              <w:bottom w:val="single" w:sz="4" w:space="0" w:color="auto"/>
              <w:right w:val="single" w:sz="4" w:space="0" w:color="auto"/>
            </w:tcBorders>
            <w:shd w:val="clear" w:color="auto" w:fill="228B22"/>
            <w:vAlign w:val="center"/>
          </w:tcPr>
          <w:p w:rsidR="00EF3095" w:rsidRPr="00730BB8" w:rsidRDefault="00EF3095" w:rsidP="002559EE">
            <w:pPr>
              <w:spacing w:before="0"/>
              <w:contextualSpacing/>
              <w:jc w:val="center"/>
              <w:rPr>
                <w:color w:val="FFFFFF" w:themeColor="background1"/>
                <w:sz w:val="20"/>
                <w:szCs w:val="20"/>
              </w:rPr>
            </w:pPr>
            <w:r w:rsidRPr="00730BB8">
              <w:rPr>
                <w:color w:val="FFFFFF" w:themeColor="background1"/>
                <w:sz w:val="20"/>
                <w:szCs w:val="20"/>
              </w:rPr>
              <w:t>Quelle ESRS E1</w:t>
            </w:r>
          </w:p>
        </w:tc>
        <w:tc>
          <w:tcPr>
            <w:tcW w:w="6240" w:type="dxa"/>
            <w:tcBorders>
              <w:top w:val="nil"/>
              <w:left w:val="single" w:sz="4" w:space="0" w:color="auto"/>
              <w:bottom w:val="single" w:sz="4" w:space="0" w:color="auto"/>
              <w:right w:val="single" w:sz="4" w:space="0" w:color="auto"/>
            </w:tcBorders>
            <w:shd w:val="clear" w:color="auto" w:fill="228B22"/>
            <w:vAlign w:val="center"/>
          </w:tcPr>
          <w:p w:rsidR="00EF3095" w:rsidRPr="00730BB8" w:rsidRDefault="00EF3095" w:rsidP="002559E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730BB8">
              <w:rPr>
                <w:b/>
                <w:color w:val="FFFFFF" w:themeColor="background1"/>
                <w:sz w:val="20"/>
                <w:szCs w:val="20"/>
              </w:rPr>
              <w:t>Parameter und Ziele</w:t>
            </w:r>
          </w:p>
        </w:tc>
        <w:tc>
          <w:tcPr>
            <w:tcW w:w="1843" w:type="dxa"/>
            <w:tcBorders>
              <w:top w:val="nil"/>
              <w:left w:val="single" w:sz="4" w:space="0" w:color="auto"/>
              <w:bottom w:val="single" w:sz="4" w:space="0" w:color="auto"/>
              <w:right w:val="single" w:sz="4" w:space="0" w:color="auto"/>
            </w:tcBorders>
            <w:shd w:val="clear" w:color="auto" w:fill="228B22"/>
            <w:vAlign w:val="center"/>
          </w:tcPr>
          <w:p w:rsidR="00EF3095" w:rsidRPr="00730BB8" w:rsidRDefault="00EF3095" w:rsidP="002559E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730BB8">
              <w:rPr>
                <w:b/>
                <w:color w:val="FFFFFF" w:themeColor="background1"/>
                <w:sz w:val="16"/>
                <w:szCs w:val="16"/>
              </w:rPr>
              <w:t>Bemerkungen, ggf. Verweis auf Datenpunkte</w:t>
            </w:r>
          </w:p>
        </w:tc>
      </w:tr>
      <w:tr w:rsidR="00A81B56" w:rsidRPr="00C31157" w:rsidTr="00B866B9">
        <w:tblPrEx>
          <w:tblBorders>
            <w:top w:val="single" w:sz="4" w:space="0" w:color="FABF8F" w:themeColor="accent6" w:themeTint="99"/>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bottom w:val="single" w:sz="4" w:space="0" w:color="auto"/>
            </w:tcBorders>
            <w:shd w:val="clear" w:color="auto" w:fill="D9D9D9" w:themeFill="background1" w:themeFillShade="D9"/>
          </w:tcPr>
          <w:p w:rsidR="00A81B56" w:rsidRPr="00E22C75" w:rsidRDefault="00A81B56" w:rsidP="002559EE">
            <w:pPr>
              <w:spacing w:before="0"/>
              <w:contextualSpacing/>
              <w:jc w:val="center"/>
              <w:rPr>
                <w:sz w:val="16"/>
                <w:szCs w:val="16"/>
              </w:rPr>
            </w:pPr>
            <w:r w:rsidRPr="00A81B56">
              <w:rPr>
                <w:color w:val="000000" w:themeColor="text1"/>
                <w:sz w:val="16"/>
                <w:szCs w:val="16"/>
              </w:rPr>
              <w:t>A</w:t>
            </w:r>
            <w:r w:rsidR="006E6FDC">
              <w:rPr>
                <w:color w:val="000000" w:themeColor="text1"/>
                <w:sz w:val="16"/>
                <w:szCs w:val="16"/>
              </w:rPr>
              <w:t>R</w:t>
            </w:r>
            <w:r w:rsidRPr="00A81B56">
              <w:rPr>
                <w:color w:val="000000" w:themeColor="text1"/>
                <w:sz w:val="16"/>
                <w:szCs w:val="16"/>
              </w:rPr>
              <w:t xml:space="preserve"> 3</w:t>
            </w:r>
            <w:r>
              <w:rPr>
                <w:color w:val="000000" w:themeColor="text1"/>
                <w:sz w:val="16"/>
                <w:szCs w:val="16"/>
              </w:rPr>
              <w:t>5</w:t>
            </w:r>
          </w:p>
        </w:tc>
        <w:tc>
          <w:tcPr>
            <w:tcW w:w="6240" w:type="dxa"/>
            <w:tcBorders>
              <w:top w:val="single" w:sz="4" w:space="0" w:color="auto"/>
              <w:bottom w:val="single" w:sz="4" w:space="0" w:color="auto"/>
            </w:tcBorders>
            <w:shd w:val="clear" w:color="auto" w:fill="auto"/>
            <w:vAlign w:val="center"/>
          </w:tcPr>
          <w:p w:rsidR="00A81B56" w:rsidRPr="00A81B56" w:rsidRDefault="00A81B56" w:rsidP="002559EE">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A81B56">
              <w:rPr>
                <w:rFonts w:ascii="Century Gothic" w:hAnsi="Century Gothic"/>
                <w:sz w:val="16"/>
                <w:szCs w:val="16"/>
              </w:rPr>
              <w:t>Der Gesamtenergieverbrauch mit einer Unterscheidung zwischen dem Verbrauch fossiler, nuklearer und erneuerbarer Energie kann in der Nachhaltigkeitserklärung grafisch dargestellt werden, um die Entwicklungen im Laufe der Zeit zu veranschaulichen (z. B. durch ein Kreisdiagramm oder ein Balkendiagramm).</w:t>
            </w:r>
          </w:p>
        </w:tc>
        <w:tc>
          <w:tcPr>
            <w:tcW w:w="1843" w:type="dxa"/>
            <w:tcBorders>
              <w:top w:val="single" w:sz="4" w:space="0" w:color="auto"/>
              <w:bottom w:val="single" w:sz="4" w:space="0" w:color="auto"/>
            </w:tcBorders>
            <w:shd w:val="clear" w:color="auto" w:fill="auto"/>
            <w:vAlign w:val="center"/>
          </w:tcPr>
          <w:p w:rsidR="00A81B56" w:rsidRPr="00C31157" w:rsidRDefault="00A81B56" w:rsidP="002559EE">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8D64BE" w:rsidRPr="008D64BE" w:rsidTr="002559E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21"/>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64BE" w:rsidRPr="008D64BE" w:rsidRDefault="008D64BE" w:rsidP="002559EE">
            <w:pPr>
              <w:spacing w:before="0" w:line="480" w:lineRule="auto"/>
              <w:contextualSpacing/>
              <w:jc w:val="left"/>
              <w:rPr>
                <w:sz w:val="16"/>
                <w:szCs w:val="28"/>
              </w:rPr>
            </w:pP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8D64BE" w:rsidRPr="00B61DA4" w:rsidRDefault="008D64BE" w:rsidP="002559EE">
            <w:pPr>
              <w:spacing w:before="0"/>
              <w:contextualSpacing/>
              <w:cnfStyle w:val="000000000000" w:firstRow="0" w:lastRow="0" w:firstColumn="0" w:lastColumn="0" w:oddVBand="0" w:evenVBand="0" w:oddHBand="0" w:evenHBand="0" w:firstRowFirstColumn="0" w:firstRowLastColumn="0" w:lastRowFirstColumn="0" w:lastRowLastColumn="0"/>
              <w:rPr>
                <w:b/>
                <w:i/>
                <w:sz w:val="16"/>
                <w:szCs w:val="16"/>
              </w:rPr>
            </w:pPr>
            <w:r w:rsidRPr="00B61DA4">
              <w:rPr>
                <w:b/>
                <w:i/>
                <w:sz w:val="16"/>
                <w:szCs w:val="16"/>
              </w:rPr>
              <w:t>Energieintensität auf der Grundlage der Nettoeinnahmen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D64BE" w:rsidRPr="008D64BE" w:rsidRDefault="008D64BE" w:rsidP="002559EE">
            <w:pPr>
              <w:spacing w:before="0" w:line="480" w:lineRule="auto"/>
              <w:contextualSpacing/>
              <w:jc w:val="left"/>
              <w:cnfStyle w:val="000000000000" w:firstRow="0" w:lastRow="0" w:firstColumn="0" w:lastColumn="0" w:oddVBand="0" w:evenVBand="0" w:oddHBand="0" w:evenHBand="0" w:firstRowFirstColumn="0" w:firstRowLastColumn="0" w:lastRowFirstColumn="0" w:lastRowLastColumn="0"/>
              <w:rPr>
                <w:sz w:val="16"/>
                <w:szCs w:val="28"/>
              </w:rPr>
            </w:pPr>
          </w:p>
        </w:tc>
      </w:tr>
      <w:tr w:rsidR="00B50857" w:rsidRPr="005066D3" w:rsidTr="002559E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0857" w:rsidRPr="00E22C75" w:rsidRDefault="00B50857" w:rsidP="002559EE">
            <w:pPr>
              <w:spacing w:before="0"/>
              <w:contextualSpacing/>
              <w:jc w:val="center"/>
              <w:rPr>
                <w:sz w:val="16"/>
                <w:szCs w:val="16"/>
              </w:rPr>
            </w:pP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B50857" w:rsidRPr="00B50857" w:rsidRDefault="00D66F4E" w:rsidP="002559EE">
            <w:pPr>
              <w:spacing w:before="0"/>
              <w:contextualSpacing/>
              <w:cnfStyle w:val="000000100000" w:firstRow="0" w:lastRow="0" w:firstColumn="0" w:lastColumn="0" w:oddVBand="0" w:evenVBand="0" w:oddHBand="1" w:evenHBand="0" w:firstRowFirstColumn="0" w:firstRowLastColumn="0" w:lastRowFirstColumn="0" w:lastRowLastColumn="0"/>
              <w:rPr>
                <w:b/>
                <w:i/>
                <w:sz w:val="16"/>
                <w:szCs w:val="16"/>
              </w:rPr>
            </w:pPr>
            <w:r w:rsidRPr="005066D3">
              <w:rPr>
                <w:i/>
                <w:sz w:val="16"/>
                <w:szCs w:val="16"/>
              </w:rPr>
              <w:t>Leitlinien für die Berechnun</w:t>
            </w:r>
            <w:r>
              <w:rPr>
                <w:i/>
                <w:sz w:val="16"/>
                <w:szCs w:val="16"/>
              </w:rPr>
              <w:t>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0857" w:rsidRPr="005066D3" w:rsidRDefault="00B50857" w:rsidP="002559EE">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B50857" w:rsidRPr="005066D3" w:rsidTr="00B866B9">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34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0857" w:rsidRPr="00E22C75" w:rsidRDefault="006E6FDC" w:rsidP="002559EE">
            <w:pPr>
              <w:spacing w:before="0"/>
              <w:contextualSpacing/>
              <w:jc w:val="center"/>
              <w:rPr>
                <w:sz w:val="16"/>
                <w:szCs w:val="16"/>
              </w:rPr>
            </w:pPr>
            <w:r>
              <w:rPr>
                <w:sz w:val="16"/>
                <w:szCs w:val="16"/>
              </w:rPr>
              <w:t>AR 36</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5A3FA7" w:rsidRPr="005A3FA7" w:rsidRDefault="005A3FA7" w:rsidP="002559EE">
            <w:pPr>
              <w:pStyle w:val="Default"/>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A3FA7">
              <w:rPr>
                <w:rFonts w:ascii="Century Gothic" w:hAnsi="Century Gothic"/>
                <w:sz w:val="16"/>
                <w:szCs w:val="16"/>
              </w:rPr>
              <w:t>Bei der Zusammenstellung der nach Absatz 40 erforderlichen Informationen über die Energieintensität geht das Unternehmen wie folgt vor:</w:t>
            </w:r>
          </w:p>
          <w:p w:rsidR="005A3FA7" w:rsidRPr="005A3FA7" w:rsidRDefault="005A3FA7" w:rsidP="002559EE">
            <w:pPr>
              <w:pStyle w:val="Default"/>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p w:rsidR="00B50857" w:rsidRPr="005A3FA7" w:rsidRDefault="005A3FA7" w:rsidP="004A78FF">
            <w:pPr>
              <w:pStyle w:val="Default"/>
              <w:numPr>
                <w:ilvl w:val="0"/>
                <w:numId w:val="36"/>
              </w:numPr>
              <w:ind w:left="468"/>
              <w:contextualSpacing/>
              <w:cnfStyle w:val="000000000000" w:firstRow="0" w:lastRow="0" w:firstColumn="0" w:lastColumn="0" w:oddVBand="0" w:evenVBand="0" w:oddHBand="0" w:evenHBand="0" w:firstRowFirstColumn="0" w:firstRowLastColumn="0" w:lastRowFirstColumn="0" w:lastRowLastColumn="0"/>
              <w:rPr>
                <w:sz w:val="19"/>
                <w:szCs w:val="19"/>
              </w:rPr>
            </w:pPr>
            <w:r>
              <w:rPr>
                <w:rFonts w:ascii="Century Gothic" w:hAnsi="Century Gothic"/>
                <w:sz w:val="16"/>
                <w:szCs w:val="16"/>
              </w:rPr>
              <w:t>e</w:t>
            </w:r>
            <w:r w:rsidRPr="005A3FA7">
              <w:rPr>
                <w:rFonts w:ascii="Century Gothic" w:hAnsi="Century Gothic"/>
                <w:sz w:val="16"/>
                <w:szCs w:val="16"/>
              </w:rPr>
              <w:t>s berechnet die Energieintensität anhand der folgenden Formel:</w:t>
            </w:r>
          </w:p>
          <w:p w:rsidR="005A3FA7" w:rsidRDefault="005A3FA7" w:rsidP="004A78FF">
            <w:pPr>
              <w:pStyle w:val="Default"/>
              <w:ind w:left="468"/>
              <w:contextualSpacing/>
              <w:cnfStyle w:val="000000000000" w:firstRow="0" w:lastRow="0" w:firstColumn="0" w:lastColumn="0" w:oddVBand="0" w:evenVBand="0" w:oddHBand="0" w:evenHBand="0" w:firstRowFirstColumn="0" w:firstRowLastColumn="0" w:lastRowFirstColumn="0" w:lastRowLastColumn="0"/>
              <w:rPr>
                <w:sz w:val="19"/>
                <w:szCs w:val="19"/>
              </w:rPr>
            </w:pPr>
          </w:p>
          <w:p w:rsidR="005A3FA7" w:rsidRPr="00EB4DC0" w:rsidRDefault="005A3FA7" w:rsidP="004A78FF">
            <w:pPr>
              <w:pStyle w:val="Default"/>
              <w:ind w:left="468"/>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b/>
                <w:i/>
                <w:sz w:val="10"/>
                <w:szCs w:val="10"/>
              </w:rPr>
            </w:pPr>
            <w:r w:rsidRPr="00EB4DC0">
              <w:rPr>
                <w:rFonts w:ascii="Century Gothic" w:hAnsi="Century Gothic"/>
                <w:b/>
                <w:i/>
                <w:sz w:val="10"/>
                <w:szCs w:val="10"/>
              </w:rPr>
              <w:t>Gesamtenergieverbrauch aus Aktivitäten in klimaintensiven Sektoren (MWh)</w:t>
            </w:r>
          </w:p>
          <w:p w:rsidR="005A3FA7" w:rsidRPr="00EB4DC0" w:rsidRDefault="005A3FA7" w:rsidP="004A78FF">
            <w:pPr>
              <w:pStyle w:val="Default"/>
              <w:ind w:left="468"/>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b/>
                <w:i/>
                <w:sz w:val="10"/>
                <w:szCs w:val="10"/>
              </w:rPr>
            </w:pPr>
            <w:r w:rsidRPr="00EB4DC0">
              <w:rPr>
                <w:rFonts w:ascii="Century Gothic" w:hAnsi="Century Gothic"/>
                <w:b/>
                <w:i/>
                <w:sz w:val="10"/>
                <w:szCs w:val="10"/>
              </w:rPr>
              <w:t>_________________________________________________________________________</w:t>
            </w:r>
            <w:r w:rsidR="00EB4DC0" w:rsidRPr="00EB4DC0">
              <w:rPr>
                <w:rFonts w:ascii="Century Gothic" w:hAnsi="Century Gothic"/>
                <w:b/>
                <w:i/>
                <w:sz w:val="10"/>
                <w:szCs w:val="10"/>
              </w:rPr>
              <w:t>_</w:t>
            </w:r>
            <w:r w:rsidRPr="00EB4DC0">
              <w:rPr>
                <w:rFonts w:ascii="Century Gothic" w:hAnsi="Century Gothic"/>
                <w:b/>
                <w:i/>
                <w:sz w:val="10"/>
                <w:szCs w:val="10"/>
              </w:rPr>
              <w:t xml:space="preserve">  ;</w:t>
            </w:r>
          </w:p>
          <w:p w:rsidR="005A3FA7" w:rsidRPr="00EB4DC0" w:rsidRDefault="005A3FA7" w:rsidP="004A78FF">
            <w:pPr>
              <w:pStyle w:val="Default"/>
              <w:ind w:left="468"/>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b/>
                <w:i/>
                <w:sz w:val="10"/>
                <w:szCs w:val="10"/>
              </w:rPr>
            </w:pPr>
            <w:r w:rsidRPr="00EB4DC0">
              <w:rPr>
                <w:rFonts w:ascii="Century Gothic" w:hAnsi="Century Gothic"/>
                <w:b/>
                <w:i/>
                <w:sz w:val="10"/>
                <w:szCs w:val="10"/>
              </w:rPr>
              <w:t>Nettoeinnahme aus Aktivitäten in klimaintensiven Sektoren (Währungseinheit)</w:t>
            </w:r>
          </w:p>
          <w:p w:rsidR="005A3FA7" w:rsidRDefault="005A3FA7" w:rsidP="004A78FF">
            <w:pPr>
              <w:pStyle w:val="Default"/>
              <w:ind w:left="468"/>
              <w:contextualSpacing/>
              <w:cnfStyle w:val="000000000000" w:firstRow="0" w:lastRow="0" w:firstColumn="0" w:lastColumn="0" w:oddVBand="0" w:evenVBand="0" w:oddHBand="0" w:evenHBand="0" w:firstRowFirstColumn="0" w:firstRowLastColumn="0" w:lastRowFirstColumn="0" w:lastRowLastColumn="0"/>
              <w:rPr>
                <w:sz w:val="19"/>
                <w:szCs w:val="19"/>
              </w:rPr>
            </w:pPr>
          </w:p>
          <w:p w:rsidR="00110E57" w:rsidRDefault="00110E57" w:rsidP="004A78FF">
            <w:pPr>
              <w:pStyle w:val="Default"/>
              <w:numPr>
                <w:ilvl w:val="0"/>
                <w:numId w:val="36"/>
              </w:numPr>
              <w:ind w:left="468"/>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110E57">
              <w:rPr>
                <w:rFonts w:ascii="Century Gothic" w:hAnsi="Century Gothic"/>
                <w:sz w:val="16"/>
                <w:szCs w:val="16"/>
              </w:rPr>
              <w:t>es gibt den Gesamtenergieverbrauch in MWh und die Nettoeinnahmen in Währungseinheiten (z.B. Euro) an,</w:t>
            </w:r>
          </w:p>
          <w:p w:rsidR="00EB4DC0" w:rsidRDefault="00EB4DC0" w:rsidP="004A78FF">
            <w:pPr>
              <w:pStyle w:val="Default"/>
              <w:numPr>
                <w:ilvl w:val="0"/>
                <w:numId w:val="36"/>
              </w:numPr>
              <w:ind w:left="468"/>
              <w:contextualSpacing/>
              <w:cnfStyle w:val="000000000000" w:firstRow="0" w:lastRow="0" w:firstColumn="0" w:lastColumn="0" w:oddVBand="0" w:evenVBand="0" w:oddHBand="0" w:evenHBand="0" w:firstRowFirstColumn="0" w:firstRowLastColumn="0" w:lastRowFirstColumn="0" w:lastRowLastColumn="0"/>
              <w:rPr>
                <w:sz w:val="19"/>
                <w:szCs w:val="19"/>
              </w:rPr>
            </w:pPr>
            <w:r>
              <w:rPr>
                <w:rFonts w:ascii="Century Gothic" w:hAnsi="Century Gothic"/>
                <w:sz w:val="16"/>
                <w:szCs w:val="16"/>
              </w:rPr>
              <w:t>Zähler</w:t>
            </w:r>
            <w:r>
              <w:t xml:space="preserve"> </w:t>
            </w:r>
            <w:r w:rsidRPr="00EB4DC0">
              <w:rPr>
                <w:rFonts w:ascii="Century Gothic" w:hAnsi="Century Gothic"/>
                <w:sz w:val="16"/>
                <w:szCs w:val="16"/>
              </w:rPr>
              <w:t xml:space="preserve">und Nenner dürfen nur aus dem Anteil am Gesamtendenergieverbrauch (im Zähler) und den Nettoeinnahmen (im Nenner) bestehen, die Aktivitäten in </w:t>
            </w:r>
            <w:r w:rsidRPr="00EB4DC0">
              <w:rPr>
                <w:rFonts w:ascii="Century Gothic" w:hAnsi="Century Gothic"/>
                <w:b/>
                <w:bCs/>
                <w:sz w:val="16"/>
                <w:szCs w:val="16"/>
              </w:rPr>
              <w:t xml:space="preserve">klimaintensiven Sektoren </w:t>
            </w:r>
            <w:r w:rsidRPr="00EB4DC0">
              <w:rPr>
                <w:rFonts w:ascii="Century Gothic" w:hAnsi="Century Gothic"/>
                <w:sz w:val="16"/>
                <w:szCs w:val="16"/>
              </w:rPr>
              <w:t>zuzuordnen sind. Zähler und Nenner sollten in Bezug auf den Umfang einheitlich</w:t>
            </w:r>
            <w:r>
              <w:rPr>
                <w:sz w:val="19"/>
                <w:szCs w:val="19"/>
              </w:rPr>
              <w:t xml:space="preserve"> sein,</w:t>
            </w:r>
          </w:p>
          <w:p w:rsidR="00B61DA4" w:rsidRDefault="00B61DA4" w:rsidP="004A78FF">
            <w:pPr>
              <w:pStyle w:val="Default"/>
              <w:numPr>
                <w:ilvl w:val="0"/>
                <w:numId w:val="38"/>
              </w:numPr>
              <w:ind w:left="468"/>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sz w:val="19"/>
                <w:szCs w:val="19"/>
              </w:rPr>
              <w:t xml:space="preserve">es </w:t>
            </w:r>
            <w:r>
              <w:rPr>
                <w:rFonts w:ascii="Century Gothic" w:hAnsi="Century Gothic"/>
                <w:sz w:val="16"/>
                <w:szCs w:val="16"/>
              </w:rPr>
              <w:t>berechnet den Gesamtenergieverbrauch im Einklang mit der Anforderung nach Absatz 37,</w:t>
            </w:r>
          </w:p>
          <w:p w:rsidR="00B61DA4" w:rsidRPr="00EB4DC0" w:rsidRDefault="0096185A" w:rsidP="004A78FF">
            <w:pPr>
              <w:pStyle w:val="Default"/>
              <w:numPr>
                <w:ilvl w:val="0"/>
                <w:numId w:val="38"/>
              </w:numPr>
              <w:ind w:left="468"/>
              <w:contextualSpacing/>
              <w:jc w:val="both"/>
              <w:cnfStyle w:val="000000000000" w:firstRow="0" w:lastRow="0" w:firstColumn="0" w:lastColumn="0" w:oddVBand="0" w:evenVBand="0" w:oddHBand="0" w:evenHBand="0" w:firstRowFirstColumn="0" w:firstRowLastColumn="0" w:lastRowFirstColumn="0" w:lastRowLastColumn="0"/>
              <w:rPr>
                <w:sz w:val="19"/>
                <w:szCs w:val="19"/>
              </w:rPr>
            </w:pPr>
            <w:r>
              <w:rPr>
                <w:rFonts w:ascii="Century Gothic" w:hAnsi="Century Gothic"/>
                <w:sz w:val="16"/>
                <w:szCs w:val="16"/>
              </w:rPr>
              <w:t xml:space="preserve">es </w:t>
            </w:r>
            <w:r w:rsidR="00B61DA4">
              <w:rPr>
                <w:rFonts w:ascii="Century Gothic" w:hAnsi="Century Gothic"/>
                <w:sz w:val="16"/>
                <w:szCs w:val="16"/>
              </w:rPr>
              <w:t xml:space="preserve">berechnet die Nettoeinnahmen gemäß den für den Abschluss geltenden Rechnungslegungsstandards, d. h. IFRS 15 </w:t>
            </w:r>
            <w:r w:rsidR="00B61DA4" w:rsidRPr="00E477ED">
              <w:rPr>
                <w:rFonts w:ascii="Century Gothic" w:hAnsi="Century Gothic"/>
                <w:i/>
                <w:sz w:val="16"/>
                <w:szCs w:val="16"/>
              </w:rPr>
              <w:t>Erlöse aus Verträgen mit Kunden</w:t>
            </w:r>
            <w:r w:rsidR="00B61DA4">
              <w:rPr>
                <w:rFonts w:ascii="Century Gothic" w:hAnsi="Century Gothic"/>
                <w:sz w:val="16"/>
                <w:szCs w:val="16"/>
              </w:rPr>
              <w:t xml:space="preserve"> oder lokalen Rechnungslegungsanforderungen.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0857" w:rsidRPr="005066D3" w:rsidRDefault="00B50857" w:rsidP="002559EE">
            <w:pPr>
              <w:spacing w:before="0"/>
              <w:contextualSpacing/>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2F4A03" w:rsidRPr="00C31157" w:rsidTr="002559E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4A03" w:rsidRDefault="002F4A03" w:rsidP="002559EE">
            <w:pPr>
              <w:spacing w:before="0"/>
              <w:contextualSpacing/>
              <w:jc w:val="center"/>
              <w:rPr>
                <w:sz w:val="16"/>
                <w:szCs w:val="16"/>
              </w:rPr>
            </w:pPr>
            <w:r>
              <w:rPr>
                <w:sz w:val="16"/>
                <w:szCs w:val="16"/>
              </w:rPr>
              <w:t>AR 37</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2F4A03" w:rsidRPr="002F4A03" w:rsidRDefault="002F4A03" w:rsidP="002559EE">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F4A03">
              <w:rPr>
                <w:rFonts w:ascii="Century Gothic" w:hAnsi="Century Gothic"/>
                <w:sz w:val="16"/>
                <w:szCs w:val="16"/>
              </w:rPr>
              <w:t>Die quantitativen Informationen können in der nachstehenden Tabelle dargestellt werden.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F4A03" w:rsidRPr="00C31157" w:rsidRDefault="002F4A03" w:rsidP="002559EE">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bl>
    <w:p w:rsidR="00A81B56" w:rsidRDefault="00A81B56" w:rsidP="002D15F2">
      <w:pPr>
        <w:spacing w:before="0" w:line="720" w:lineRule="auto"/>
        <w:jc w:val="left"/>
        <w:rPr>
          <w:sz w:val="16"/>
          <w:szCs w:val="28"/>
        </w:rPr>
      </w:pPr>
    </w:p>
    <w:tbl>
      <w:tblPr>
        <w:tblStyle w:val="Gitternetztabelle4Akzent6"/>
        <w:tblW w:w="9095" w:type="dxa"/>
        <w:tblInd w:w="-46" w:type="dxa"/>
        <w:tblLayout w:type="fixed"/>
        <w:tblLook w:val="04A0" w:firstRow="1" w:lastRow="0" w:firstColumn="1" w:lastColumn="0" w:noHBand="0" w:noVBand="1"/>
      </w:tblPr>
      <w:tblGrid>
        <w:gridCol w:w="5126"/>
        <w:gridCol w:w="1276"/>
        <w:gridCol w:w="1276"/>
        <w:gridCol w:w="1417"/>
      </w:tblGrid>
      <w:tr w:rsidR="002F4A03" w:rsidRPr="0059514F" w:rsidTr="00C1308E">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51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B0F0"/>
            <w:vAlign w:val="center"/>
          </w:tcPr>
          <w:p w:rsidR="002F4A03" w:rsidRPr="00DF021E" w:rsidRDefault="002F4A03" w:rsidP="00503332">
            <w:pPr>
              <w:spacing w:before="60" w:after="60"/>
              <w:jc w:val="center"/>
              <w:rPr>
                <w:bCs w:val="0"/>
                <w:sz w:val="16"/>
                <w:szCs w:val="16"/>
              </w:rPr>
            </w:pPr>
            <w:r w:rsidRPr="00DF021E">
              <w:rPr>
                <w:bCs w:val="0"/>
                <w:sz w:val="16"/>
                <w:szCs w:val="16"/>
              </w:rPr>
              <w:t>Energ</w:t>
            </w:r>
            <w:r>
              <w:rPr>
                <w:bCs w:val="0"/>
                <w:sz w:val="16"/>
                <w:szCs w:val="16"/>
              </w:rPr>
              <w:t>ieintensität je Nettoeinnahme</w:t>
            </w:r>
          </w:p>
        </w:tc>
        <w:tc>
          <w:tcPr>
            <w:tcW w:w="12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B0F0"/>
          </w:tcPr>
          <w:p w:rsidR="002F4A03" w:rsidRPr="00DF021E" w:rsidRDefault="002F4A03" w:rsidP="00503332">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DF021E">
              <w:rPr>
                <w:bCs w:val="0"/>
                <w:sz w:val="16"/>
                <w:szCs w:val="16"/>
              </w:rPr>
              <w:t>Vergleich</w:t>
            </w:r>
          </w:p>
        </w:tc>
        <w:tc>
          <w:tcPr>
            <w:tcW w:w="12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B0F0"/>
          </w:tcPr>
          <w:p w:rsidR="002F4A03" w:rsidRPr="00DF021E" w:rsidRDefault="002F4A03" w:rsidP="00503332">
            <w:pPr>
              <w:spacing w:before="60" w:after="60"/>
              <w:jc w:val="center"/>
              <w:cnfStyle w:val="100000000000" w:firstRow="1" w:lastRow="0" w:firstColumn="0" w:lastColumn="0" w:oddVBand="0" w:evenVBand="0" w:oddHBand="0" w:evenHBand="0" w:firstRowFirstColumn="0" w:firstRowLastColumn="0" w:lastRowFirstColumn="0" w:lastRowLastColumn="0"/>
              <w:rPr>
                <w:bCs w:val="0"/>
                <w:sz w:val="16"/>
                <w:szCs w:val="16"/>
              </w:rPr>
            </w:pPr>
            <w:r>
              <w:rPr>
                <w:bCs w:val="0"/>
                <w:sz w:val="16"/>
                <w:szCs w:val="16"/>
              </w:rPr>
              <w:t>N</w:t>
            </w: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B0F0"/>
          </w:tcPr>
          <w:p w:rsidR="002F4A03" w:rsidRPr="00DF021E" w:rsidRDefault="002F4A03" w:rsidP="00503332">
            <w:pPr>
              <w:spacing w:before="60" w:after="60"/>
              <w:jc w:val="center"/>
              <w:cnfStyle w:val="100000000000" w:firstRow="1" w:lastRow="0" w:firstColumn="0" w:lastColumn="0" w:oddVBand="0" w:evenVBand="0" w:oddHBand="0" w:evenHBand="0" w:firstRowFirstColumn="0" w:firstRowLastColumn="0" w:lastRowFirstColumn="0" w:lastRowLastColumn="0"/>
              <w:rPr>
                <w:bCs w:val="0"/>
                <w:sz w:val="16"/>
                <w:szCs w:val="16"/>
              </w:rPr>
            </w:pPr>
            <w:r>
              <w:rPr>
                <w:bCs w:val="0"/>
                <w:sz w:val="16"/>
                <w:szCs w:val="16"/>
              </w:rPr>
              <w:t>% N / N-1</w:t>
            </w:r>
          </w:p>
        </w:tc>
      </w:tr>
      <w:tr w:rsidR="002F4A03" w:rsidRPr="0059514F" w:rsidTr="00C1308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1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2F4A03" w:rsidRPr="002F4A03" w:rsidRDefault="002F4A03" w:rsidP="002F4A03">
            <w:pPr>
              <w:spacing w:before="60" w:after="60"/>
              <w:jc w:val="left"/>
              <w:rPr>
                <w:b w:val="0"/>
                <w:sz w:val="14"/>
                <w:szCs w:val="14"/>
              </w:rPr>
            </w:pPr>
            <w:r w:rsidRPr="002F4A03">
              <w:rPr>
                <w:b w:val="0"/>
                <w:sz w:val="14"/>
                <w:szCs w:val="14"/>
              </w:rPr>
              <w:t>Gesamtenergieverbrauch aus Tätigkeiten in klimaintensiven Sektoren je Nettoeinnahme aus Tätigkeiten in k in klimaintensiven Sektoren</w:t>
            </w:r>
            <w:r w:rsidR="00C1308E">
              <w:rPr>
                <w:b w:val="0"/>
                <w:sz w:val="14"/>
                <w:szCs w:val="14"/>
              </w:rPr>
              <w:t xml:space="preserve"> (MWh/Währungseinheit)</w:t>
            </w:r>
          </w:p>
        </w:tc>
        <w:tc>
          <w:tcPr>
            <w:tcW w:w="12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2F4A03" w:rsidRPr="00DF021E" w:rsidRDefault="002F4A03" w:rsidP="00503332">
            <w:pPr>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2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2F4A03" w:rsidRPr="00DF021E" w:rsidRDefault="002F4A03" w:rsidP="00503332">
            <w:pPr>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2F4A03" w:rsidRPr="00DF021E" w:rsidRDefault="002F4A03" w:rsidP="00503332">
            <w:pPr>
              <w:spacing w:before="60" w:after="60"/>
              <w:jc w:val="left"/>
              <w:cnfStyle w:val="000000100000" w:firstRow="0" w:lastRow="0" w:firstColumn="0" w:lastColumn="0" w:oddVBand="0" w:evenVBand="0" w:oddHBand="1" w:evenHBand="0" w:firstRowFirstColumn="0" w:firstRowLastColumn="0" w:lastRowFirstColumn="0" w:lastRowLastColumn="0"/>
              <w:rPr>
                <w:sz w:val="16"/>
                <w:szCs w:val="16"/>
              </w:rPr>
            </w:pPr>
          </w:p>
        </w:tc>
      </w:tr>
    </w:tbl>
    <w:p w:rsidR="002F4A03" w:rsidRDefault="002F4A03" w:rsidP="00CF672B">
      <w:pPr>
        <w:spacing w:before="0" w:line="720" w:lineRule="auto"/>
        <w:jc w:val="left"/>
        <w:rPr>
          <w:sz w:val="16"/>
          <w:szCs w:val="28"/>
        </w:rPr>
      </w:pPr>
    </w:p>
    <w:p w:rsidR="00FE3018" w:rsidRDefault="00FE3018">
      <w:r>
        <w:rPr>
          <w:b/>
          <w:bCs/>
        </w:rPr>
        <w:br w:type="page"/>
      </w: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9"/>
        <w:gridCol w:w="6240"/>
        <w:gridCol w:w="1843"/>
      </w:tblGrid>
      <w:tr w:rsidR="00FE3018" w:rsidRPr="00122B7B" w:rsidTr="00D571DC">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FE3018" w:rsidRPr="00122B7B" w:rsidRDefault="00FE3018" w:rsidP="00D571DC">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A37749">
              <w:rPr>
                <w:color w:val="000000" w:themeColor="text1"/>
                <w:sz w:val="20"/>
                <w:szCs w:val="20"/>
              </w:rPr>
              <w:t>;</w:t>
            </w:r>
            <w:r>
              <w:rPr>
                <w:color w:val="000000" w:themeColor="text1"/>
                <w:sz w:val="20"/>
                <w:szCs w:val="20"/>
              </w:rPr>
              <w:t xml:space="preserve"> Forts.</w:t>
            </w:r>
          </w:p>
        </w:tc>
      </w:tr>
      <w:tr w:rsidR="00FE3018" w:rsidRPr="00C4111A" w:rsidTr="006E4177">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89" w:type="dxa"/>
            <w:tcBorders>
              <w:top w:val="nil"/>
              <w:left w:val="nil"/>
              <w:bottom w:val="nil"/>
              <w:right w:val="nil"/>
            </w:tcBorders>
            <w:shd w:val="clear" w:color="auto" w:fill="auto"/>
            <w:vAlign w:val="center"/>
          </w:tcPr>
          <w:p w:rsidR="00FE3018" w:rsidRPr="00C4111A" w:rsidRDefault="00FE3018" w:rsidP="005F328B">
            <w:pPr>
              <w:spacing w:before="60"/>
              <w:rPr>
                <w:sz w:val="2"/>
                <w:szCs w:val="2"/>
              </w:rPr>
            </w:pPr>
          </w:p>
        </w:tc>
        <w:tc>
          <w:tcPr>
            <w:tcW w:w="6240" w:type="dxa"/>
            <w:tcBorders>
              <w:top w:val="nil"/>
              <w:left w:val="nil"/>
              <w:bottom w:val="nil"/>
              <w:right w:val="nil"/>
            </w:tcBorders>
            <w:shd w:val="clear" w:color="auto" w:fill="auto"/>
            <w:vAlign w:val="center"/>
          </w:tcPr>
          <w:p w:rsidR="00FE3018" w:rsidRPr="00C4111A" w:rsidRDefault="00FE3018" w:rsidP="005F328B">
            <w:pPr>
              <w:spacing w:before="60"/>
              <w:cnfStyle w:val="000000100000" w:firstRow="0" w:lastRow="0" w:firstColumn="0" w:lastColumn="0" w:oddVBand="0" w:evenVBand="0" w:oddHBand="1" w:evenHBand="0" w:firstRowFirstColumn="0" w:firstRowLastColumn="0" w:lastRowFirstColumn="0" w:lastRowLastColumn="0"/>
              <w:rPr>
                <w:sz w:val="2"/>
                <w:szCs w:val="2"/>
              </w:rPr>
            </w:pPr>
          </w:p>
        </w:tc>
        <w:tc>
          <w:tcPr>
            <w:tcW w:w="1843" w:type="dxa"/>
            <w:tcBorders>
              <w:top w:val="nil"/>
              <w:left w:val="nil"/>
              <w:bottom w:val="nil"/>
              <w:right w:val="nil"/>
            </w:tcBorders>
            <w:shd w:val="clear" w:color="auto" w:fill="auto"/>
            <w:vAlign w:val="center"/>
          </w:tcPr>
          <w:p w:rsidR="00FE3018" w:rsidRPr="00C4111A" w:rsidRDefault="00FE3018" w:rsidP="005F328B">
            <w:pPr>
              <w:spacing w:before="60"/>
              <w:cnfStyle w:val="000000100000" w:firstRow="0" w:lastRow="0" w:firstColumn="0" w:lastColumn="0" w:oddVBand="0" w:evenVBand="0" w:oddHBand="1" w:evenHBand="0" w:firstRowFirstColumn="0" w:firstRowLastColumn="0" w:lastRowFirstColumn="0" w:lastRowLastColumn="0"/>
              <w:rPr>
                <w:sz w:val="2"/>
                <w:szCs w:val="2"/>
              </w:rPr>
            </w:pPr>
          </w:p>
        </w:tc>
      </w:tr>
      <w:tr w:rsidR="00FE3018" w:rsidRPr="00730BB8" w:rsidTr="00D571D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674"/>
        </w:trPr>
        <w:tc>
          <w:tcPr>
            <w:cnfStyle w:val="001000000000" w:firstRow="0" w:lastRow="0" w:firstColumn="1" w:lastColumn="0" w:oddVBand="0" w:evenVBand="0" w:oddHBand="0" w:evenHBand="0" w:firstRowFirstColumn="0" w:firstRowLastColumn="0" w:lastRowFirstColumn="0" w:lastRowLastColumn="0"/>
            <w:tcW w:w="989" w:type="dxa"/>
            <w:tcBorders>
              <w:top w:val="nil"/>
              <w:left w:val="single" w:sz="4" w:space="0" w:color="auto"/>
              <w:bottom w:val="single" w:sz="4" w:space="0" w:color="auto"/>
              <w:right w:val="single" w:sz="4" w:space="0" w:color="auto"/>
            </w:tcBorders>
            <w:shd w:val="clear" w:color="auto" w:fill="228B22"/>
            <w:vAlign w:val="center"/>
          </w:tcPr>
          <w:p w:rsidR="00FE3018" w:rsidRPr="00730BB8" w:rsidRDefault="00FE3018" w:rsidP="00D571DC">
            <w:pPr>
              <w:spacing w:before="0"/>
              <w:contextualSpacing/>
              <w:jc w:val="center"/>
              <w:rPr>
                <w:color w:val="FFFFFF" w:themeColor="background1"/>
                <w:sz w:val="20"/>
                <w:szCs w:val="20"/>
              </w:rPr>
            </w:pPr>
            <w:r w:rsidRPr="00730BB8">
              <w:rPr>
                <w:color w:val="FFFFFF" w:themeColor="background1"/>
                <w:sz w:val="20"/>
                <w:szCs w:val="20"/>
              </w:rPr>
              <w:t>Quelle ESRS E1</w:t>
            </w:r>
          </w:p>
        </w:tc>
        <w:tc>
          <w:tcPr>
            <w:tcW w:w="6240" w:type="dxa"/>
            <w:tcBorders>
              <w:top w:val="nil"/>
              <w:left w:val="single" w:sz="4" w:space="0" w:color="auto"/>
              <w:bottom w:val="single" w:sz="4" w:space="0" w:color="auto"/>
              <w:right w:val="single" w:sz="4" w:space="0" w:color="auto"/>
            </w:tcBorders>
            <w:shd w:val="clear" w:color="auto" w:fill="228B22"/>
            <w:vAlign w:val="center"/>
          </w:tcPr>
          <w:p w:rsidR="00FE3018" w:rsidRPr="00730BB8" w:rsidRDefault="00FE3018" w:rsidP="00D571DC">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730BB8">
              <w:rPr>
                <w:b/>
                <w:color w:val="FFFFFF" w:themeColor="background1"/>
                <w:sz w:val="20"/>
                <w:szCs w:val="20"/>
              </w:rPr>
              <w:t>Parameter und Ziele</w:t>
            </w:r>
          </w:p>
        </w:tc>
        <w:tc>
          <w:tcPr>
            <w:tcW w:w="1843" w:type="dxa"/>
            <w:tcBorders>
              <w:top w:val="nil"/>
              <w:left w:val="single" w:sz="4" w:space="0" w:color="auto"/>
              <w:bottom w:val="single" w:sz="4" w:space="0" w:color="auto"/>
              <w:right w:val="single" w:sz="4" w:space="0" w:color="auto"/>
            </w:tcBorders>
            <w:shd w:val="clear" w:color="auto" w:fill="228B22"/>
            <w:vAlign w:val="center"/>
          </w:tcPr>
          <w:p w:rsidR="00FE3018" w:rsidRPr="00730BB8" w:rsidRDefault="00FE3018" w:rsidP="00D571DC">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730BB8">
              <w:rPr>
                <w:b/>
                <w:color w:val="FFFFFF" w:themeColor="background1"/>
                <w:sz w:val="16"/>
                <w:szCs w:val="16"/>
              </w:rPr>
              <w:t>Bemerkungen, ggf. Verweis auf Datenpunkte</w:t>
            </w:r>
          </w:p>
        </w:tc>
      </w:tr>
      <w:tr w:rsidR="00C16B87" w:rsidRPr="005066D3" w:rsidTr="00C4111A">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6B87" w:rsidRPr="00E22C75" w:rsidRDefault="00C16B87" w:rsidP="00D571DC">
            <w:pPr>
              <w:spacing w:before="0"/>
              <w:contextualSpacing/>
              <w:jc w:val="center"/>
              <w:rPr>
                <w:sz w:val="16"/>
                <w:szCs w:val="16"/>
              </w:rPr>
            </w:pP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C16B87" w:rsidRPr="00C16B87" w:rsidRDefault="00C16B87" w:rsidP="00D571DC">
            <w:pPr>
              <w:spacing w:before="0"/>
              <w:contextualSpacing/>
              <w:cnfStyle w:val="000000100000" w:firstRow="0" w:lastRow="0" w:firstColumn="0" w:lastColumn="0" w:oddVBand="0" w:evenVBand="0" w:oddHBand="1" w:evenHBand="0" w:firstRowFirstColumn="0" w:firstRowLastColumn="0" w:lastRowFirstColumn="0" w:lastRowLastColumn="0"/>
              <w:rPr>
                <w:b/>
                <w:i/>
                <w:sz w:val="16"/>
                <w:szCs w:val="16"/>
              </w:rPr>
            </w:pPr>
            <w:r w:rsidRPr="00C16B87">
              <w:rPr>
                <w:rFonts w:cs="EUAlbertina"/>
                <w:i/>
                <w:color w:val="000000"/>
                <w:sz w:val="16"/>
                <w:szCs w:val="16"/>
              </w:rPr>
              <w:t>Konnektivität der Energieintensität auf der Grundlage der Nettoeinnahmen mit Informationen zur Finanzberichterstattung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6B87" w:rsidRPr="005066D3" w:rsidRDefault="00C16B87" w:rsidP="00D571DC">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C16B87" w:rsidRPr="005066D3" w:rsidTr="00C4111A">
        <w:trPr>
          <w:trHeight w:val="34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6B87" w:rsidRPr="00E22C75" w:rsidRDefault="00C16B87" w:rsidP="00D571DC">
            <w:pPr>
              <w:spacing w:before="0"/>
              <w:contextualSpacing/>
              <w:jc w:val="center"/>
              <w:rPr>
                <w:sz w:val="16"/>
                <w:szCs w:val="16"/>
              </w:rPr>
            </w:pPr>
            <w:r>
              <w:rPr>
                <w:sz w:val="16"/>
                <w:szCs w:val="16"/>
              </w:rPr>
              <w:t>AR 38</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C16B87" w:rsidRPr="00C16B87" w:rsidRDefault="00C16B87" w:rsidP="00D571DC">
            <w:pPr>
              <w:pStyle w:val="Default"/>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16B87">
              <w:rPr>
                <w:rFonts w:ascii="Century Gothic" w:hAnsi="Century Gothic"/>
                <w:sz w:val="16"/>
                <w:szCs w:val="16"/>
              </w:rPr>
              <w:t xml:space="preserve">Der Abgleich zwischen den Nettoeinnahmen aus Tätigkeiten in </w:t>
            </w:r>
            <w:r w:rsidRPr="00C16B87">
              <w:rPr>
                <w:rFonts w:ascii="Century Gothic" w:hAnsi="Century Gothic"/>
                <w:b/>
                <w:bCs/>
                <w:sz w:val="16"/>
                <w:szCs w:val="16"/>
              </w:rPr>
              <w:t xml:space="preserve">klimaintensiven Sektoren </w:t>
            </w:r>
            <w:r w:rsidRPr="00C16B87">
              <w:rPr>
                <w:rFonts w:ascii="Century Gothic" w:hAnsi="Century Gothic"/>
                <w:sz w:val="16"/>
                <w:szCs w:val="16"/>
              </w:rPr>
              <w:t>und dem entsprechenden Posten oder den Angaben des Abschlusses (gemäß Absatz 43) kann wie folgt dargestellt werden:</w:t>
            </w:r>
          </w:p>
          <w:p w:rsidR="00C16B87" w:rsidRPr="004A78FF" w:rsidRDefault="00C16B87" w:rsidP="00D571DC">
            <w:pPr>
              <w:pStyle w:val="Default"/>
              <w:numPr>
                <w:ilvl w:val="0"/>
                <w:numId w:val="41"/>
              </w:numPr>
              <w:ind w:left="468"/>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4A78FF">
              <w:rPr>
                <w:rFonts w:ascii="Century Gothic" w:hAnsi="Century Gothic"/>
                <w:sz w:val="16"/>
                <w:szCs w:val="16"/>
              </w:rPr>
              <w:t>durch einen Querverweis auf den entsprechenden Posten oder die Angaben im Abschluss oder</w:t>
            </w:r>
          </w:p>
          <w:p w:rsidR="00C16B87" w:rsidRPr="00EB4DC0" w:rsidRDefault="00C16B87" w:rsidP="00D571DC">
            <w:pPr>
              <w:pStyle w:val="Default"/>
              <w:numPr>
                <w:ilvl w:val="0"/>
                <w:numId w:val="41"/>
              </w:numPr>
              <w:ind w:left="468"/>
              <w:contextualSpacing/>
              <w:cnfStyle w:val="000000000000" w:firstRow="0" w:lastRow="0" w:firstColumn="0" w:lastColumn="0" w:oddVBand="0" w:evenVBand="0" w:oddHBand="0" w:evenHBand="0" w:firstRowFirstColumn="0" w:firstRowLastColumn="0" w:lastRowFirstColumn="0" w:lastRowLastColumn="0"/>
              <w:rPr>
                <w:sz w:val="19"/>
                <w:szCs w:val="19"/>
              </w:rPr>
            </w:pPr>
            <w:r w:rsidRPr="004A78FF">
              <w:rPr>
                <w:rFonts w:ascii="Century Gothic" w:hAnsi="Century Gothic"/>
                <w:sz w:val="16"/>
                <w:szCs w:val="16"/>
              </w:rPr>
              <w:t>durch einen quantitativen Abgleich unter Verwendung des nachstehenden Tabellenformats, wenn die Nettoeinnahmen nicht direkt mit einem Posten oder einer Angabe im Abschluss verknüpft werden können.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6B87" w:rsidRPr="005066D3" w:rsidRDefault="00C16B87" w:rsidP="00D571DC">
            <w:pPr>
              <w:spacing w:before="0"/>
              <w:contextualSpacing/>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rsidR="00092FD1" w:rsidRDefault="00092FD1" w:rsidP="00C16B87">
      <w:pPr>
        <w:spacing w:before="0"/>
        <w:jc w:val="left"/>
        <w:rPr>
          <w:sz w:val="16"/>
          <w:szCs w:val="28"/>
        </w:rPr>
      </w:pPr>
    </w:p>
    <w:tbl>
      <w:tblPr>
        <w:tblStyle w:val="Tabellenraster"/>
        <w:tblW w:w="0" w:type="auto"/>
        <w:tblCellMar>
          <w:top w:w="85" w:type="dxa"/>
          <w:bottom w:w="85" w:type="dxa"/>
        </w:tblCellMar>
        <w:tblLook w:val="04A0" w:firstRow="1" w:lastRow="0" w:firstColumn="1" w:lastColumn="0" w:noHBand="0" w:noVBand="1"/>
      </w:tblPr>
      <w:tblGrid>
        <w:gridCol w:w="4531"/>
        <w:gridCol w:w="4531"/>
      </w:tblGrid>
      <w:tr w:rsidR="002D15F2" w:rsidTr="006E4177">
        <w:trPr>
          <w:trHeight w:val="284"/>
        </w:trPr>
        <w:tc>
          <w:tcPr>
            <w:tcW w:w="4531" w:type="dxa"/>
            <w:vAlign w:val="center"/>
          </w:tcPr>
          <w:p w:rsidR="002D15F2" w:rsidRDefault="002D15F2" w:rsidP="006E4177">
            <w:pPr>
              <w:spacing w:before="0"/>
              <w:contextualSpacing/>
              <w:jc w:val="left"/>
              <w:rPr>
                <w:sz w:val="16"/>
                <w:szCs w:val="28"/>
              </w:rPr>
            </w:pPr>
            <w:r>
              <w:rPr>
                <w:sz w:val="16"/>
                <w:szCs w:val="28"/>
              </w:rPr>
              <w:t>Nettoeinnahmen aus Aktivitäten in klimaintensiven Sektoren, die zur Berechnung der Energieintensität herangezogen werden</w:t>
            </w:r>
          </w:p>
        </w:tc>
        <w:tc>
          <w:tcPr>
            <w:tcW w:w="4531" w:type="dxa"/>
            <w:vAlign w:val="center"/>
          </w:tcPr>
          <w:p w:rsidR="002D15F2" w:rsidRDefault="002D15F2" w:rsidP="006E4177">
            <w:pPr>
              <w:spacing w:before="0"/>
              <w:contextualSpacing/>
              <w:jc w:val="left"/>
              <w:rPr>
                <w:sz w:val="16"/>
                <w:szCs w:val="28"/>
              </w:rPr>
            </w:pPr>
          </w:p>
        </w:tc>
      </w:tr>
      <w:tr w:rsidR="002D15F2" w:rsidTr="006E4177">
        <w:trPr>
          <w:trHeight w:val="284"/>
        </w:trPr>
        <w:tc>
          <w:tcPr>
            <w:tcW w:w="4531" w:type="dxa"/>
            <w:vAlign w:val="center"/>
          </w:tcPr>
          <w:p w:rsidR="002D15F2" w:rsidRDefault="002D15F2" w:rsidP="006E4177">
            <w:pPr>
              <w:spacing w:before="0"/>
              <w:contextualSpacing/>
              <w:jc w:val="left"/>
              <w:rPr>
                <w:sz w:val="16"/>
                <w:szCs w:val="28"/>
              </w:rPr>
            </w:pPr>
            <w:r>
              <w:rPr>
                <w:sz w:val="16"/>
                <w:szCs w:val="28"/>
              </w:rPr>
              <w:t>Nettoeinnahmen (sonstige)</w:t>
            </w:r>
          </w:p>
        </w:tc>
        <w:tc>
          <w:tcPr>
            <w:tcW w:w="4531" w:type="dxa"/>
            <w:vAlign w:val="center"/>
          </w:tcPr>
          <w:p w:rsidR="002D15F2" w:rsidRDefault="002D15F2" w:rsidP="006E4177">
            <w:pPr>
              <w:spacing w:before="0"/>
              <w:contextualSpacing/>
              <w:jc w:val="left"/>
              <w:rPr>
                <w:sz w:val="16"/>
                <w:szCs w:val="28"/>
              </w:rPr>
            </w:pPr>
          </w:p>
        </w:tc>
      </w:tr>
      <w:tr w:rsidR="002D15F2" w:rsidTr="006E4177">
        <w:trPr>
          <w:trHeight w:val="284"/>
        </w:trPr>
        <w:tc>
          <w:tcPr>
            <w:tcW w:w="4531" w:type="dxa"/>
            <w:vAlign w:val="center"/>
          </w:tcPr>
          <w:p w:rsidR="002D15F2" w:rsidRDefault="002D15F2" w:rsidP="006E4177">
            <w:pPr>
              <w:spacing w:before="0"/>
              <w:contextualSpacing/>
              <w:jc w:val="left"/>
              <w:rPr>
                <w:sz w:val="16"/>
                <w:szCs w:val="28"/>
              </w:rPr>
            </w:pPr>
            <w:r>
              <w:rPr>
                <w:sz w:val="16"/>
                <w:szCs w:val="28"/>
              </w:rPr>
              <w:t>Gesamtnettoeinnahmen (Abschluss)</w:t>
            </w:r>
          </w:p>
        </w:tc>
        <w:tc>
          <w:tcPr>
            <w:tcW w:w="4531" w:type="dxa"/>
            <w:vAlign w:val="center"/>
          </w:tcPr>
          <w:p w:rsidR="002D15F2" w:rsidRDefault="002D15F2" w:rsidP="006E4177">
            <w:pPr>
              <w:spacing w:before="0"/>
              <w:contextualSpacing/>
              <w:jc w:val="left"/>
              <w:rPr>
                <w:sz w:val="16"/>
                <w:szCs w:val="28"/>
              </w:rPr>
            </w:pPr>
          </w:p>
        </w:tc>
      </w:tr>
    </w:tbl>
    <w:p w:rsidR="00A12DC7" w:rsidRDefault="00A12DC7" w:rsidP="00C16B87">
      <w:pPr>
        <w:spacing w:before="0"/>
        <w:jc w:val="left"/>
        <w:rPr>
          <w:sz w:val="16"/>
          <w:szCs w:val="28"/>
        </w:rPr>
      </w:pPr>
    </w:p>
    <w:sectPr w:rsidR="00A12DC7" w:rsidSect="00E87DA5">
      <w:headerReference w:type="default" r:id="rId9"/>
      <w:footerReference w:type="default" r:id="rId10"/>
      <w:headerReference w:type="first" r:id="rId11"/>
      <w:footerReference w:type="first" r:id="rId12"/>
      <w:footnotePr>
        <w:numStart w:val="33"/>
      </w:footnotePr>
      <w:type w:val="continuous"/>
      <w:pgSz w:w="11907" w:h="16839" w:code="9"/>
      <w:pgMar w:top="1099" w:right="1701" w:bottom="1134" w:left="1134" w:header="1134"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C29" w:rsidRDefault="009E6C29">
      <w:pPr>
        <w:spacing w:before="0"/>
      </w:pPr>
      <w:r>
        <w:separator/>
      </w:r>
    </w:p>
  </w:endnote>
  <w:endnote w:type="continuationSeparator" w:id="0">
    <w:p w:rsidR="009E6C29" w:rsidRDefault="009E6C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E87DA5" w:rsidTr="0001466E">
      <w:trPr>
        <w:trHeight w:hRule="exact" w:val="1191"/>
      </w:trPr>
      <w:tc>
        <w:tcPr>
          <w:tcW w:w="2265" w:type="dxa"/>
          <w:vAlign w:val="bottom"/>
          <w:hideMark/>
        </w:tcPr>
        <w:p w:rsidR="00E87DA5" w:rsidRDefault="00E87DA5" w:rsidP="00E87DA5">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890331506"/>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E87DA5" w:rsidRDefault="00E87DA5" w:rsidP="00E87DA5">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E87DA5" w:rsidRDefault="00E87DA5" w:rsidP="00E87DA5">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5099822E" wp14:editId="2C240058">
                <wp:extent cx="1125855" cy="4318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E87DA5" w:rsidRDefault="00E87DA5" w:rsidP="00E87DA5">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C2DFD71" wp14:editId="0B60D137">
                <wp:extent cx="1151255" cy="4318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E87DA5" w:rsidRDefault="00E87DA5" w:rsidP="00E87DA5">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Praxishilfe 5/1</w:t>
          </w:r>
          <w:r>
            <w:rPr>
              <w:rFonts w:eastAsiaTheme="minorHAnsi" w:cstheme="minorBidi"/>
              <w:b/>
              <w:color w:val="228B22"/>
              <w:sz w:val="20"/>
              <w:lang w:eastAsia="en-US"/>
            </w:rPr>
            <w:t>5</w:t>
          </w:r>
        </w:p>
        <w:p w:rsidR="00E87DA5" w:rsidRDefault="00E87DA5" w:rsidP="00E87DA5">
          <w:pPr>
            <w:tabs>
              <w:tab w:val="left" w:pos="2100"/>
            </w:tabs>
            <w:spacing w:before="0"/>
            <w:jc w:val="right"/>
            <w:rPr>
              <w:sz w:val="20"/>
            </w:rPr>
          </w:pPr>
          <w:r>
            <w:rPr>
              <w:rFonts w:eastAsiaTheme="minorHAnsi" w:cstheme="minorBidi"/>
              <w:sz w:val="20"/>
              <w:lang w:eastAsia="en-US"/>
            </w:rPr>
            <w:t>Stand: 01.08.2024</w:t>
          </w:r>
        </w:p>
      </w:tc>
    </w:tr>
  </w:tbl>
  <w:p w:rsidR="009E6C29" w:rsidRPr="00E87DA5" w:rsidRDefault="009E6C29" w:rsidP="00E87DA5">
    <w:pPr>
      <w:pStyle w:val="Fuzeile"/>
      <w:rPr>
        <w:rFonts w:eastAsiaTheme="minorHAns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E87DA5" w:rsidTr="0001466E">
      <w:trPr>
        <w:trHeight w:hRule="exact" w:val="1191"/>
      </w:trPr>
      <w:tc>
        <w:tcPr>
          <w:tcW w:w="2265" w:type="dxa"/>
          <w:vAlign w:val="bottom"/>
          <w:hideMark/>
        </w:tcPr>
        <w:p w:rsidR="00E87DA5" w:rsidRDefault="00E87DA5" w:rsidP="00E87DA5">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767294923"/>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E87DA5" w:rsidRDefault="00E87DA5" w:rsidP="00E87DA5">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E87DA5" w:rsidRDefault="00E87DA5" w:rsidP="00E87DA5">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5099822E" wp14:editId="2C240058">
                <wp:extent cx="1125855" cy="4318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E87DA5" w:rsidRDefault="00E87DA5" w:rsidP="00E87DA5">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C2DFD71" wp14:editId="0B60D137">
                <wp:extent cx="1151255" cy="4318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E87DA5" w:rsidRDefault="00E87DA5" w:rsidP="00E87DA5">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Praxishilfe 5/1</w:t>
          </w:r>
          <w:r>
            <w:rPr>
              <w:rFonts w:eastAsiaTheme="minorHAnsi" w:cstheme="minorBidi"/>
              <w:b/>
              <w:color w:val="228B22"/>
              <w:sz w:val="20"/>
              <w:lang w:eastAsia="en-US"/>
            </w:rPr>
            <w:t>5</w:t>
          </w:r>
        </w:p>
        <w:p w:rsidR="00E87DA5" w:rsidRDefault="00E87DA5" w:rsidP="00E87DA5">
          <w:pPr>
            <w:tabs>
              <w:tab w:val="left" w:pos="2100"/>
            </w:tabs>
            <w:spacing w:before="0"/>
            <w:jc w:val="right"/>
            <w:rPr>
              <w:sz w:val="20"/>
            </w:rPr>
          </w:pPr>
          <w:r>
            <w:rPr>
              <w:rFonts w:eastAsiaTheme="minorHAnsi" w:cstheme="minorBidi"/>
              <w:sz w:val="20"/>
              <w:lang w:eastAsia="en-US"/>
            </w:rPr>
            <w:t>Stand: 01.08.2024</w:t>
          </w:r>
        </w:p>
      </w:tc>
    </w:tr>
  </w:tbl>
  <w:p w:rsidR="009E6C29" w:rsidRPr="00E87DA5" w:rsidRDefault="009E6C29" w:rsidP="00E87DA5">
    <w:pPr>
      <w:pStyle w:val="Fuzeile"/>
      <w:rPr>
        <w:rFonts w:eastAsiaTheme="minorHAns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C29" w:rsidRDefault="009E6C29" w:rsidP="00EE217B">
      <w:pPr>
        <w:pStyle w:val="Fuzeile"/>
      </w:pPr>
    </w:p>
    <w:p w:rsidR="009E6C29" w:rsidRPr="00EE217B" w:rsidRDefault="009E6C29" w:rsidP="00EE217B">
      <w:pPr>
        <w:spacing w:before="0"/>
        <w:jc w:val="center"/>
      </w:pPr>
      <w:r w:rsidRPr="00027F72">
        <w:separator/>
      </w:r>
      <w:r w:rsidRPr="00027F72">
        <w:separator/>
      </w:r>
    </w:p>
  </w:footnote>
  <w:footnote w:type="continuationSeparator" w:id="0">
    <w:p w:rsidR="009E6C29" w:rsidRDefault="009E6C29" w:rsidP="00711AB6">
      <w:pPr>
        <w:spacing w:before="0"/>
        <w:jc w:val="center"/>
      </w:pPr>
    </w:p>
    <w:p w:rsidR="009E6C29" w:rsidRPr="00711AB6" w:rsidRDefault="009E6C29" w:rsidP="00711AB6">
      <w:pPr>
        <w:spacing w:before="0"/>
        <w:jc w:val="center"/>
      </w:pPr>
      <w:r w:rsidRPr="00027F72">
        <w:separator/>
      </w:r>
      <w:r w:rsidRPr="00027F72">
        <w:separator/>
      </w:r>
    </w:p>
  </w:footnote>
  <w:footnote w:id="1">
    <w:p w:rsidR="00BC1312" w:rsidRDefault="00BC1312" w:rsidP="00BC1312">
      <w:pPr>
        <w:pStyle w:val="Funotentext"/>
        <w:ind w:left="0" w:firstLine="0"/>
      </w:pPr>
      <w:r>
        <w:rPr>
          <w:rStyle w:val="Funotenzeichen"/>
        </w:rPr>
        <w:footnoteRef/>
      </w:r>
      <w:r>
        <w:t xml:space="preserve"> </w:t>
      </w:r>
      <w:r w:rsidRPr="001B6A26">
        <w:rPr>
          <w:sz w:val="12"/>
          <w:szCs w:val="12"/>
        </w:rPr>
        <w:t>Diese Informationen unterstützen den Informationsbedarf von Finanzmarktteilnehmern, die der Verordnung (EU) 2019/2088 unterliegen, da sie von einem verpflichtenden Indikator in Bezug auf die wichtigsten negativen Auswirkungen gemäß dem Indikator Nr. 5 in Anhang I Tabelle I der Delegierten Verordnung (EU) 2022/1288 der Kommission in Bezug auf Offenlegungsvorschriften für nachhaltige Investitionen („Anteil des Energieverbrauchs und der Energieerzeugung aus nicht erneuerbaren Energiequellen“) abgeleitet werden. Die Aufschlüsselung dient als Referenz für einen zusätzlichen Indikator für die wichtigsten nachteiligen Auswirkungen gemäß Indikator Nummer 5 in Tabelle II desselben Anhangs („Aufschlüsselung des Energieverbrauchs nach Art der nicht erneuerbaren Energiequellen“).</w:t>
      </w:r>
    </w:p>
  </w:footnote>
  <w:footnote w:id="2">
    <w:p w:rsidR="00BC1312" w:rsidRDefault="00BC1312">
      <w:pPr>
        <w:pStyle w:val="Funotentext"/>
      </w:pPr>
      <w:r>
        <w:rPr>
          <w:rStyle w:val="Funotenzeichen"/>
        </w:rPr>
        <w:footnoteRef/>
      </w:r>
      <w:r>
        <w:t xml:space="preserve"> </w:t>
      </w:r>
      <w:r w:rsidRPr="001B6A26">
        <w:rPr>
          <w:sz w:val="12"/>
          <w:szCs w:val="12"/>
        </w:rPr>
        <w:t>Unter Einhaltung der Anforderungen in delegierten Rechtsakten für Wasserstoff aus erneuerbaren Quellen: Delegierte Verordnung der Kommission vom 10. Februar 2023 zur Ergänzung der Richtlinie (EU) 2018/2001 des Europäischen Parlaments und des Rates durch die Festlegung einer Unionsmethode mit detaillierten Vorschriften für die Erzeugung flüssiger oder gasförmiger erneuerbarer Kraftstoffe nicht biogenen Ursprungs für den Verkehr und Delegierte Verordnung der Kommission vom 10. Februar 2023 zur Ergänzung der Richtlinie (EU) 2018/2001 des Europäischen Parlaments und des Rates durch Festlegung eines Mindestschwellenwertes für die Treibhausgaseinsparungen durch wiederverwertete kohlenstoffhaltige Kraftstoffe und einer Methode zur Ermittlung der Treibhausgaseinsparungen durch flüssige oder gasförmige erneuerbare Kraftstoffe nicht biogenen Ursprungs für den Verkehr sowie durch wiederverwertete kohlenstoffhaltige Kraftstoffe.</w:t>
      </w:r>
    </w:p>
  </w:footnote>
  <w:footnote w:id="3">
    <w:p w:rsidR="00BC1312" w:rsidRDefault="00BC1312">
      <w:pPr>
        <w:pStyle w:val="Funotentext"/>
      </w:pPr>
      <w:r>
        <w:rPr>
          <w:rStyle w:val="Funotenzeichen"/>
        </w:rPr>
        <w:footnoteRef/>
      </w:r>
      <w:r>
        <w:t xml:space="preserve"> </w:t>
      </w:r>
      <w:r w:rsidRPr="001B6A26">
        <w:rPr>
          <w:sz w:val="12"/>
          <w:szCs w:val="12"/>
        </w:rPr>
        <w:t>Klimaintensive Sektoren sind die Sektoren, die in den Abschnitten A bis H du in Abschnitt L (gemäß der Definition in der Verordnung (EU) 2022/1288) aufgeführt sind.</w:t>
      </w:r>
    </w:p>
  </w:footnote>
  <w:footnote w:id="4">
    <w:p w:rsidR="00DC1A6E" w:rsidRDefault="00DC1A6E">
      <w:pPr>
        <w:pStyle w:val="Funotentext"/>
      </w:pPr>
      <w:r>
        <w:rPr>
          <w:rStyle w:val="Funotenzeichen"/>
        </w:rPr>
        <w:footnoteRef/>
      </w:r>
      <w:r>
        <w:t xml:space="preserve"> </w:t>
      </w:r>
      <w:r w:rsidRPr="001E7284">
        <w:rPr>
          <w:sz w:val="12"/>
          <w:szCs w:val="12"/>
        </w:rPr>
        <w:t>Diese Informationen unterstützen den Informationsbedarf von Finanzmarktteilnehmern, die der Verordnung (EU) 2019/2088 unterliegen, da sie von einem verpflichtenden Indikator in Bezug auf die wichtigsten negativen Auswirkungen gemäß dem Indikator Nr. 5 in Anhang I Tabelle I der Delegierten Verordnung (EU) 2022/1288 der Kommission in Bezug auf Offenlegungsvorschriften für nachhaltige Investitionen („Anteil des Energieverbrauchs und der Energieerzeugung aus nicht erneuerbaren Energiequellen“) abgeleitet werden.</w:t>
      </w:r>
    </w:p>
  </w:footnote>
  <w:footnote w:id="5">
    <w:p w:rsidR="00DC1A6E" w:rsidRDefault="00DC1A6E">
      <w:pPr>
        <w:pStyle w:val="Funotentext"/>
      </w:pPr>
      <w:r>
        <w:rPr>
          <w:rStyle w:val="Funotenzeichen"/>
        </w:rPr>
        <w:footnoteRef/>
      </w:r>
      <w:r>
        <w:t xml:space="preserve"> </w:t>
      </w:r>
      <w:r w:rsidRPr="001E7284">
        <w:rPr>
          <w:sz w:val="12"/>
          <w:szCs w:val="12"/>
        </w:rPr>
        <w:t>Diese Informationen unterstützen den Informationsbedarf von Finanzmarktteilnehmern, die der Verordnung (EU) 2019/2088 unterliegen, da sie von einem verpflichtenden Indikator in Bezug auf die wichtigsten negativen Auswirkungen gemäß dem Indikator Nr. 6 in Anhang I Tabelle I der Delegierten Verordnung (EU) 2022/1288 der Kommission in Bezug auf Offenlegungsvorschriften für nachhaltige Investitionen („Intensität des Energieverbrauchs nach klimaintensiven Sektoren“) abgeleitet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0B2" w:rsidRDefault="006450B2" w:rsidP="00B5366B">
    <w:pPr>
      <w:pStyle w:val="Kopfzeile"/>
      <w:pBdr>
        <w:bottom w:val="none" w:sz="0" w:space="0" w:color="auto"/>
      </w:pBdr>
    </w:pP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983"/>
      <w:gridCol w:w="6662"/>
      <w:gridCol w:w="714"/>
      <w:gridCol w:w="713"/>
    </w:tblGrid>
    <w:tr w:rsidR="006450B2" w:rsidTr="00A90361">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83" w:type="dxa"/>
          <w:tcBorders>
            <w:top w:val="none" w:sz="0" w:space="0" w:color="auto"/>
            <w:left w:val="none" w:sz="0" w:space="0" w:color="auto"/>
            <w:bottom w:val="none" w:sz="0" w:space="0" w:color="auto"/>
            <w:right w:val="none" w:sz="0" w:space="0" w:color="auto"/>
          </w:tcBorders>
          <w:shd w:val="clear" w:color="auto" w:fill="C5F1C5"/>
        </w:tcPr>
        <w:p w:rsidR="006450B2" w:rsidRPr="00D7430B" w:rsidRDefault="006450B2" w:rsidP="00B5366B">
          <w:pPr>
            <w:spacing w:beforeLines="60" w:before="144" w:afterLines="60" w:after="144"/>
            <w:rPr>
              <w:color w:val="000000" w:themeColor="text1"/>
              <w:sz w:val="20"/>
              <w:szCs w:val="20"/>
            </w:rPr>
          </w:pPr>
          <w:r w:rsidRPr="00D7430B">
            <w:rPr>
              <w:color w:val="000000" w:themeColor="text1"/>
              <w:sz w:val="20"/>
              <w:szCs w:val="20"/>
            </w:rPr>
            <w:t>E1-5</w:t>
          </w:r>
        </w:p>
      </w:tc>
      <w:tc>
        <w:tcPr>
          <w:tcW w:w="6662" w:type="dxa"/>
          <w:tcBorders>
            <w:top w:val="none" w:sz="0" w:space="0" w:color="auto"/>
            <w:left w:val="none" w:sz="0" w:space="0" w:color="auto"/>
            <w:bottom w:val="none" w:sz="0" w:space="0" w:color="auto"/>
            <w:right w:val="none" w:sz="0" w:space="0" w:color="auto"/>
          </w:tcBorders>
          <w:shd w:val="clear" w:color="auto" w:fill="C5F1C5"/>
        </w:tcPr>
        <w:p w:rsidR="006450B2" w:rsidRPr="00D7430B" w:rsidRDefault="006450B2" w:rsidP="00B5366B">
          <w:pPr>
            <w:spacing w:beforeLines="60" w:before="144" w:afterLines="60" w:after="144"/>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D7430B">
            <w:rPr>
              <w:color w:val="000000" w:themeColor="text1"/>
              <w:sz w:val="20"/>
              <w:szCs w:val="20"/>
            </w:rPr>
            <w:t>Energieverbrauch und Energiemix</w:t>
          </w:r>
          <w:r>
            <w:rPr>
              <w:color w:val="000000" w:themeColor="text1"/>
              <w:sz w:val="20"/>
              <w:szCs w:val="20"/>
            </w:rPr>
            <w:t>; Forts.</w:t>
          </w:r>
        </w:p>
      </w:tc>
      <w:tc>
        <w:tcPr>
          <w:tcW w:w="714" w:type="dxa"/>
          <w:tcBorders>
            <w:top w:val="none" w:sz="0" w:space="0" w:color="auto"/>
            <w:left w:val="none" w:sz="0" w:space="0" w:color="auto"/>
            <w:bottom w:val="none" w:sz="0" w:space="0" w:color="auto"/>
            <w:right w:val="none" w:sz="0" w:space="0" w:color="auto"/>
          </w:tcBorders>
          <w:shd w:val="clear" w:color="auto" w:fill="auto"/>
        </w:tcPr>
        <w:p w:rsidR="006450B2" w:rsidRPr="003C0F68" w:rsidRDefault="006450B2" w:rsidP="00B5366B">
          <w:pPr>
            <w:spacing w:beforeLines="60" w:before="144" w:afterLines="60" w:after="144"/>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1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6450B2" w:rsidRPr="00572574" w:rsidRDefault="002028A4" w:rsidP="00B5366B">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24</w:t>
          </w:r>
        </w:p>
      </w:tc>
    </w:tr>
  </w:tbl>
  <w:p w:rsidR="006450B2" w:rsidRPr="001A22B6" w:rsidRDefault="006450B2" w:rsidP="00B5366B">
    <w:pPr>
      <w:pStyle w:val="Kopfzeile"/>
      <w:pBdr>
        <w:bottom w:val="none" w:sz="0" w:space="0" w:color="auto"/>
      </w:pBdr>
      <w:rPr>
        <w:sz w:val="2"/>
        <w:szCs w:val="2"/>
      </w:rPr>
    </w:pPr>
  </w:p>
  <w:p w:rsidR="009E6C29" w:rsidRPr="00665F75" w:rsidRDefault="009E6C29" w:rsidP="00B73242">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29" w:rsidRPr="00354556" w:rsidRDefault="009E6C29" w:rsidP="00354556">
    <w:pPr>
      <w:pStyle w:val="Kopfzeile"/>
      <w:pBdr>
        <w:bottom w:val="none" w:sz="0" w:space="0" w:color="auto"/>
      </w:pBdr>
      <w:spacing w:before="0"/>
      <w:rPr>
        <w:sz w:val="2"/>
      </w:rPr>
    </w:pPr>
    <w:r w:rsidRPr="00354556">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02AF1B19"/>
    <w:multiLevelType w:val="hybridMultilevel"/>
    <w:tmpl w:val="E508F298"/>
    <w:lvl w:ilvl="0" w:tplc="5654671A">
      <w:start w:val="1"/>
      <w:numFmt w:val="lowerLetter"/>
      <w:lvlText w:val="%1)"/>
      <w:lvlJc w:val="left"/>
      <w:pPr>
        <w:ind w:left="720" w:hanging="360"/>
      </w:pPr>
      <w:rPr>
        <w:rFonts w:ascii="Century Gothic" w:hAnsi="Century Gothic" w:hint="default"/>
        <w:b w:val="0"/>
        <w:color w:val="000000" w:themeColor="text1"/>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4A446C4"/>
    <w:multiLevelType w:val="hybridMultilevel"/>
    <w:tmpl w:val="52E2FCD4"/>
    <w:lvl w:ilvl="0" w:tplc="B22CB94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88C0593"/>
    <w:multiLevelType w:val="hybridMultilevel"/>
    <w:tmpl w:val="E2F210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A70F23"/>
    <w:multiLevelType w:val="hybridMultilevel"/>
    <w:tmpl w:val="B3A8C0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3" w15:restartNumberingAfterBreak="0">
    <w:nsid w:val="14B3595E"/>
    <w:multiLevelType w:val="hybridMultilevel"/>
    <w:tmpl w:val="717E8D10"/>
    <w:lvl w:ilvl="0" w:tplc="3BF4561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D85F3D"/>
    <w:multiLevelType w:val="hybridMultilevel"/>
    <w:tmpl w:val="EF509932"/>
    <w:lvl w:ilvl="0" w:tplc="6652DE64">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6" w15:restartNumberingAfterBreak="0">
    <w:nsid w:val="211C7A30"/>
    <w:multiLevelType w:val="hybridMultilevel"/>
    <w:tmpl w:val="557AA6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186CF5"/>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7C74675"/>
    <w:multiLevelType w:val="hybridMultilevel"/>
    <w:tmpl w:val="557AA6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2773CFE"/>
    <w:multiLevelType w:val="hybridMultilevel"/>
    <w:tmpl w:val="ADAC3B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498623C"/>
    <w:multiLevelType w:val="hybridMultilevel"/>
    <w:tmpl w:val="8D56BE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6E4B56"/>
    <w:multiLevelType w:val="hybridMultilevel"/>
    <w:tmpl w:val="388E2E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3F5CF7"/>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7BA62BE"/>
    <w:multiLevelType w:val="hybridMultilevel"/>
    <w:tmpl w:val="1C3A2FB6"/>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837290E"/>
    <w:multiLevelType w:val="hybridMultilevel"/>
    <w:tmpl w:val="6D9426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CBB5F51"/>
    <w:multiLevelType w:val="hybridMultilevel"/>
    <w:tmpl w:val="7B4ECF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C37609"/>
    <w:multiLevelType w:val="hybridMultilevel"/>
    <w:tmpl w:val="2FB81E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F855ADD"/>
    <w:multiLevelType w:val="hybridMultilevel"/>
    <w:tmpl w:val="C17EA7A4"/>
    <w:lvl w:ilvl="0" w:tplc="8E1E9C4E">
      <w:start w:val="1"/>
      <w:numFmt w:val="lowerLetter"/>
      <w:lvlText w:val="%1)"/>
      <w:lvlJc w:val="left"/>
      <w:pPr>
        <w:ind w:left="720" w:hanging="360"/>
      </w:pPr>
      <w:rPr>
        <w:rFonts w:ascii="Century Gothic" w:hAnsi="Century Gothic"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1672C91"/>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F90E4B"/>
    <w:multiLevelType w:val="hybridMultilevel"/>
    <w:tmpl w:val="1C3A2FB6"/>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63B5398"/>
    <w:multiLevelType w:val="hybridMultilevel"/>
    <w:tmpl w:val="E508F298"/>
    <w:lvl w:ilvl="0" w:tplc="5654671A">
      <w:start w:val="1"/>
      <w:numFmt w:val="lowerLetter"/>
      <w:lvlText w:val="%1)"/>
      <w:lvlJc w:val="left"/>
      <w:pPr>
        <w:ind w:left="720" w:hanging="360"/>
      </w:pPr>
      <w:rPr>
        <w:rFonts w:ascii="Century Gothic" w:hAnsi="Century Gothic" w:hint="default"/>
        <w:b w:val="0"/>
        <w:color w:val="000000" w:themeColor="text1"/>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78D760F"/>
    <w:multiLevelType w:val="hybridMultilevel"/>
    <w:tmpl w:val="C69249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9D6720"/>
    <w:multiLevelType w:val="hybridMultilevel"/>
    <w:tmpl w:val="E5D4A5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D71122"/>
    <w:multiLevelType w:val="hybridMultilevel"/>
    <w:tmpl w:val="08BC783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35" w15:restartNumberingAfterBreak="0">
    <w:nsid w:val="6C8A427E"/>
    <w:multiLevelType w:val="hybridMultilevel"/>
    <w:tmpl w:val="C17EA7A4"/>
    <w:lvl w:ilvl="0" w:tplc="8E1E9C4E">
      <w:start w:val="1"/>
      <w:numFmt w:val="lowerLetter"/>
      <w:lvlText w:val="%1)"/>
      <w:lvlJc w:val="left"/>
      <w:pPr>
        <w:ind w:left="720" w:hanging="360"/>
      </w:pPr>
      <w:rPr>
        <w:rFonts w:ascii="Century Gothic" w:hAnsi="Century Gothic"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F141DB0"/>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3512912"/>
    <w:multiLevelType w:val="hybridMultilevel"/>
    <w:tmpl w:val="717E8D10"/>
    <w:lvl w:ilvl="0" w:tplc="3BF4561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4FB22C1"/>
    <w:multiLevelType w:val="hybridMultilevel"/>
    <w:tmpl w:val="F8F20466"/>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EF63A8"/>
    <w:multiLevelType w:val="hybridMultilevel"/>
    <w:tmpl w:val="C472CADE"/>
    <w:lvl w:ilvl="0" w:tplc="632287CE">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num w:numId="1">
    <w:abstractNumId w:val="40"/>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34"/>
  </w:num>
  <w:num w:numId="12">
    <w:abstractNumId w:val="15"/>
  </w:num>
  <w:num w:numId="13">
    <w:abstractNumId w:val="25"/>
  </w:num>
  <w:num w:numId="14">
    <w:abstractNumId w:val="31"/>
  </w:num>
  <w:num w:numId="15">
    <w:abstractNumId w:val="38"/>
  </w:num>
  <w:num w:numId="16">
    <w:abstractNumId w:val="29"/>
  </w:num>
  <w:num w:numId="17">
    <w:abstractNumId w:val="23"/>
  </w:num>
  <w:num w:numId="18">
    <w:abstractNumId w:val="28"/>
  </w:num>
  <w:num w:numId="19">
    <w:abstractNumId w:val="36"/>
  </w:num>
  <w:num w:numId="20">
    <w:abstractNumId w:val="22"/>
  </w:num>
  <w:num w:numId="21">
    <w:abstractNumId w:val="17"/>
  </w:num>
  <w:num w:numId="22">
    <w:abstractNumId w:val="20"/>
  </w:num>
  <w:num w:numId="23">
    <w:abstractNumId w:val="30"/>
  </w:num>
  <w:num w:numId="24">
    <w:abstractNumId w:val="8"/>
  </w:num>
  <w:num w:numId="25">
    <w:abstractNumId w:val="9"/>
  </w:num>
  <w:num w:numId="26">
    <w:abstractNumId w:val="11"/>
  </w:num>
  <w:num w:numId="27">
    <w:abstractNumId w:val="26"/>
  </w:num>
  <w:num w:numId="28">
    <w:abstractNumId w:val="19"/>
  </w:num>
  <w:num w:numId="29">
    <w:abstractNumId w:val="24"/>
  </w:num>
  <w:num w:numId="30">
    <w:abstractNumId w:val="10"/>
  </w:num>
  <w:num w:numId="31">
    <w:abstractNumId w:val="32"/>
  </w:num>
  <w:num w:numId="32">
    <w:abstractNumId w:val="21"/>
  </w:num>
  <w:num w:numId="33">
    <w:abstractNumId w:val="16"/>
  </w:num>
  <w:num w:numId="34">
    <w:abstractNumId w:val="13"/>
  </w:num>
  <w:num w:numId="35">
    <w:abstractNumId w:val="33"/>
  </w:num>
  <w:num w:numId="36">
    <w:abstractNumId w:val="27"/>
  </w:num>
  <w:num w:numId="37">
    <w:abstractNumId w:val="18"/>
  </w:num>
  <w:num w:numId="38">
    <w:abstractNumId w:val="14"/>
  </w:num>
  <w:num w:numId="39">
    <w:abstractNumId w:val="37"/>
  </w:num>
  <w:num w:numId="40">
    <w:abstractNumId w:val="35"/>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35169"/>
  </w:hdrShapeDefaults>
  <w:footnotePr>
    <w:numStart w:val="3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FE"/>
    <w:rsid w:val="00002230"/>
    <w:rsid w:val="00002EED"/>
    <w:rsid w:val="000030A9"/>
    <w:rsid w:val="00003B4A"/>
    <w:rsid w:val="000054E6"/>
    <w:rsid w:val="00010454"/>
    <w:rsid w:val="0001477C"/>
    <w:rsid w:val="00017D55"/>
    <w:rsid w:val="000213D0"/>
    <w:rsid w:val="0002748A"/>
    <w:rsid w:val="00030ECD"/>
    <w:rsid w:val="0003242D"/>
    <w:rsid w:val="0003449D"/>
    <w:rsid w:val="0004061E"/>
    <w:rsid w:val="0004096F"/>
    <w:rsid w:val="000503CF"/>
    <w:rsid w:val="0005284F"/>
    <w:rsid w:val="0005326E"/>
    <w:rsid w:val="000616B8"/>
    <w:rsid w:val="00061DFD"/>
    <w:rsid w:val="00064BDF"/>
    <w:rsid w:val="00064F40"/>
    <w:rsid w:val="000732FA"/>
    <w:rsid w:val="00075E7C"/>
    <w:rsid w:val="00080B9A"/>
    <w:rsid w:val="00086B8A"/>
    <w:rsid w:val="00087150"/>
    <w:rsid w:val="00092FD1"/>
    <w:rsid w:val="0009344D"/>
    <w:rsid w:val="00097B2B"/>
    <w:rsid w:val="000A1223"/>
    <w:rsid w:val="000A5E05"/>
    <w:rsid w:val="000B1337"/>
    <w:rsid w:val="000C1937"/>
    <w:rsid w:val="000C365B"/>
    <w:rsid w:val="000C5E56"/>
    <w:rsid w:val="000C61BA"/>
    <w:rsid w:val="000D349D"/>
    <w:rsid w:val="000D6428"/>
    <w:rsid w:val="000E0C5F"/>
    <w:rsid w:val="000E26F7"/>
    <w:rsid w:val="000E57B4"/>
    <w:rsid w:val="000F2D44"/>
    <w:rsid w:val="00106BBE"/>
    <w:rsid w:val="00107011"/>
    <w:rsid w:val="00110E57"/>
    <w:rsid w:val="00111AC6"/>
    <w:rsid w:val="00114EA5"/>
    <w:rsid w:val="00115916"/>
    <w:rsid w:val="001205E2"/>
    <w:rsid w:val="00130748"/>
    <w:rsid w:val="00143F11"/>
    <w:rsid w:val="001468B7"/>
    <w:rsid w:val="0015165A"/>
    <w:rsid w:val="001610A2"/>
    <w:rsid w:val="00165A53"/>
    <w:rsid w:val="00180508"/>
    <w:rsid w:val="00180880"/>
    <w:rsid w:val="00182B83"/>
    <w:rsid w:val="00184E10"/>
    <w:rsid w:val="00187E46"/>
    <w:rsid w:val="00192E1F"/>
    <w:rsid w:val="00193E2F"/>
    <w:rsid w:val="00194FDC"/>
    <w:rsid w:val="0019585B"/>
    <w:rsid w:val="001A1B58"/>
    <w:rsid w:val="001A22B6"/>
    <w:rsid w:val="001A6337"/>
    <w:rsid w:val="001B3F50"/>
    <w:rsid w:val="001B6A26"/>
    <w:rsid w:val="001B6F80"/>
    <w:rsid w:val="001B7418"/>
    <w:rsid w:val="001B7958"/>
    <w:rsid w:val="001B7E25"/>
    <w:rsid w:val="001C0D6B"/>
    <w:rsid w:val="001C1789"/>
    <w:rsid w:val="001D22E2"/>
    <w:rsid w:val="001E1F96"/>
    <w:rsid w:val="001E38E2"/>
    <w:rsid w:val="001E4E94"/>
    <w:rsid w:val="001E6D78"/>
    <w:rsid w:val="001E7284"/>
    <w:rsid w:val="001E7A82"/>
    <w:rsid w:val="001F04DD"/>
    <w:rsid w:val="001F25BB"/>
    <w:rsid w:val="002028A4"/>
    <w:rsid w:val="002051B1"/>
    <w:rsid w:val="002065BE"/>
    <w:rsid w:val="0021047B"/>
    <w:rsid w:val="00213C34"/>
    <w:rsid w:val="00222629"/>
    <w:rsid w:val="00236668"/>
    <w:rsid w:val="002559EE"/>
    <w:rsid w:val="00257647"/>
    <w:rsid w:val="0026484F"/>
    <w:rsid w:val="002717FB"/>
    <w:rsid w:val="002746D6"/>
    <w:rsid w:val="00280D52"/>
    <w:rsid w:val="00283F41"/>
    <w:rsid w:val="00284FA6"/>
    <w:rsid w:val="00285560"/>
    <w:rsid w:val="00285C0D"/>
    <w:rsid w:val="00290924"/>
    <w:rsid w:val="00291F83"/>
    <w:rsid w:val="00292557"/>
    <w:rsid w:val="0029592F"/>
    <w:rsid w:val="00295EF4"/>
    <w:rsid w:val="002A064F"/>
    <w:rsid w:val="002A0C98"/>
    <w:rsid w:val="002A29CF"/>
    <w:rsid w:val="002A3549"/>
    <w:rsid w:val="002B17CE"/>
    <w:rsid w:val="002B298F"/>
    <w:rsid w:val="002B37AC"/>
    <w:rsid w:val="002B541F"/>
    <w:rsid w:val="002B7B81"/>
    <w:rsid w:val="002B7BC2"/>
    <w:rsid w:val="002B7DF1"/>
    <w:rsid w:val="002C7903"/>
    <w:rsid w:val="002D0908"/>
    <w:rsid w:val="002D15F2"/>
    <w:rsid w:val="002D6417"/>
    <w:rsid w:val="002D7E2D"/>
    <w:rsid w:val="002F09D8"/>
    <w:rsid w:val="002F4A03"/>
    <w:rsid w:val="002F569B"/>
    <w:rsid w:val="002F6B99"/>
    <w:rsid w:val="002F771F"/>
    <w:rsid w:val="00301DCE"/>
    <w:rsid w:val="00304799"/>
    <w:rsid w:val="00316941"/>
    <w:rsid w:val="003177E3"/>
    <w:rsid w:val="00340216"/>
    <w:rsid w:val="00342964"/>
    <w:rsid w:val="00343DB4"/>
    <w:rsid w:val="00352142"/>
    <w:rsid w:val="0035325F"/>
    <w:rsid w:val="00354556"/>
    <w:rsid w:val="003576B4"/>
    <w:rsid w:val="00360F3D"/>
    <w:rsid w:val="00364269"/>
    <w:rsid w:val="003703D1"/>
    <w:rsid w:val="00376DCD"/>
    <w:rsid w:val="00382BCD"/>
    <w:rsid w:val="003875E4"/>
    <w:rsid w:val="003932A1"/>
    <w:rsid w:val="003A3E64"/>
    <w:rsid w:val="003A6CCF"/>
    <w:rsid w:val="003A6FEB"/>
    <w:rsid w:val="003A7861"/>
    <w:rsid w:val="003B2A7D"/>
    <w:rsid w:val="003B420D"/>
    <w:rsid w:val="003D15FE"/>
    <w:rsid w:val="003E348F"/>
    <w:rsid w:val="003E5835"/>
    <w:rsid w:val="003F1B18"/>
    <w:rsid w:val="003F2C9C"/>
    <w:rsid w:val="003F7131"/>
    <w:rsid w:val="00402C0A"/>
    <w:rsid w:val="00403766"/>
    <w:rsid w:val="004076E9"/>
    <w:rsid w:val="004113BA"/>
    <w:rsid w:val="0041402E"/>
    <w:rsid w:val="00414D05"/>
    <w:rsid w:val="004155B8"/>
    <w:rsid w:val="00416098"/>
    <w:rsid w:val="00416270"/>
    <w:rsid w:val="004248A0"/>
    <w:rsid w:val="00425D64"/>
    <w:rsid w:val="004279BD"/>
    <w:rsid w:val="0043089D"/>
    <w:rsid w:val="0043323A"/>
    <w:rsid w:val="00433509"/>
    <w:rsid w:val="00440D21"/>
    <w:rsid w:val="00445BB8"/>
    <w:rsid w:val="0044742E"/>
    <w:rsid w:val="00454046"/>
    <w:rsid w:val="00454705"/>
    <w:rsid w:val="00465DB3"/>
    <w:rsid w:val="0047207E"/>
    <w:rsid w:val="00474BBC"/>
    <w:rsid w:val="004867BC"/>
    <w:rsid w:val="0049126F"/>
    <w:rsid w:val="00494040"/>
    <w:rsid w:val="004A78FF"/>
    <w:rsid w:val="004B0628"/>
    <w:rsid w:val="004B2234"/>
    <w:rsid w:val="004B32C2"/>
    <w:rsid w:val="004B5526"/>
    <w:rsid w:val="004B5A8E"/>
    <w:rsid w:val="004B6272"/>
    <w:rsid w:val="004B6415"/>
    <w:rsid w:val="004C3F5D"/>
    <w:rsid w:val="004C60FF"/>
    <w:rsid w:val="004D43D5"/>
    <w:rsid w:val="004D52B5"/>
    <w:rsid w:val="004D6C91"/>
    <w:rsid w:val="004E699D"/>
    <w:rsid w:val="004E7C5F"/>
    <w:rsid w:val="004F1A62"/>
    <w:rsid w:val="004F1C26"/>
    <w:rsid w:val="004F1E92"/>
    <w:rsid w:val="0050152B"/>
    <w:rsid w:val="00503C2E"/>
    <w:rsid w:val="005060F4"/>
    <w:rsid w:val="005066D3"/>
    <w:rsid w:val="005101D4"/>
    <w:rsid w:val="005126C2"/>
    <w:rsid w:val="00516C43"/>
    <w:rsid w:val="0052103B"/>
    <w:rsid w:val="00523480"/>
    <w:rsid w:val="00525CDB"/>
    <w:rsid w:val="00527267"/>
    <w:rsid w:val="00527970"/>
    <w:rsid w:val="00533698"/>
    <w:rsid w:val="00534A4B"/>
    <w:rsid w:val="00537185"/>
    <w:rsid w:val="005473EF"/>
    <w:rsid w:val="00547D5B"/>
    <w:rsid w:val="0055136F"/>
    <w:rsid w:val="0055156D"/>
    <w:rsid w:val="00555A08"/>
    <w:rsid w:val="00567521"/>
    <w:rsid w:val="00572574"/>
    <w:rsid w:val="00583AA1"/>
    <w:rsid w:val="0058527F"/>
    <w:rsid w:val="00585859"/>
    <w:rsid w:val="005913EC"/>
    <w:rsid w:val="005921A2"/>
    <w:rsid w:val="0059488F"/>
    <w:rsid w:val="00594C08"/>
    <w:rsid w:val="0059514F"/>
    <w:rsid w:val="005961B3"/>
    <w:rsid w:val="005967E6"/>
    <w:rsid w:val="005A05DD"/>
    <w:rsid w:val="005A2FFB"/>
    <w:rsid w:val="005A38A8"/>
    <w:rsid w:val="005A3FA7"/>
    <w:rsid w:val="005A69F6"/>
    <w:rsid w:val="005B024A"/>
    <w:rsid w:val="005B0A68"/>
    <w:rsid w:val="005B57D7"/>
    <w:rsid w:val="005B7F7F"/>
    <w:rsid w:val="005C1C85"/>
    <w:rsid w:val="005C2D56"/>
    <w:rsid w:val="005C5708"/>
    <w:rsid w:val="005D1825"/>
    <w:rsid w:val="005D26BD"/>
    <w:rsid w:val="005D2A74"/>
    <w:rsid w:val="005D3425"/>
    <w:rsid w:val="005D4260"/>
    <w:rsid w:val="005D7367"/>
    <w:rsid w:val="005E0577"/>
    <w:rsid w:val="005E07BD"/>
    <w:rsid w:val="005E7803"/>
    <w:rsid w:val="005E7E25"/>
    <w:rsid w:val="005F0174"/>
    <w:rsid w:val="005F25D3"/>
    <w:rsid w:val="005F30C5"/>
    <w:rsid w:val="005F6F40"/>
    <w:rsid w:val="00632C1A"/>
    <w:rsid w:val="00633840"/>
    <w:rsid w:val="006415FE"/>
    <w:rsid w:val="0064498E"/>
    <w:rsid w:val="006450B2"/>
    <w:rsid w:val="006454CF"/>
    <w:rsid w:val="0065198F"/>
    <w:rsid w:val="006521FF"/>
    <w:rsid w:val="00665F75"/>
    <w:rsid w:val="00666AFB"/>
    <w:rsid w:val="0066763B"/>
    <w:rsid w:val="0068164E"/>
    <w:rsid w:val="00684B37"/>
    <w:rsid w:val="0069771B"/>
    <w:rsid w:val="006A27FA"/>
    <w:rsid w:val="006A4B5D"/>
    <w:rsid w:val="006B4A4A"/>
    <w:rsid w:val="006B5D9F"/>
    <w:rsid w:val="006C4228"/>
    <w:rsid w:val="006D4432"/>
    <w:rsid w:val="006D45A1"/>
    <w:rsid w:val="006D7242"/>
    <w:rsid w:val="006E24F6"/>
    <w:rsid w:val="006E4177"/>
    <w:rsid w:val="006E6FDC"/>
    <w:rsid w:val="006E7126"/>
    <w:rsid w:val="006F281C"/>
    <w:rsid w:val="006F5808"/>
    <w:rsid w:val="007024CA"/>
    <w:rsid w:val="007026D1"/>
    <w:rsid w:val="00711AB6"/>
    <w:rsid w:val="00715003"/>
    <w:rsid w:val="00716DD5"/>
    <w:rsid w:val="00720E5C"/>
    <w:rsid w:val="00730BB8"/>
    <w:rsid w:val="00740CB3"/>
    <w:rsid w:val="00742EA1"/>
    <w:rsid w:val="00744577"/>
    <w:rsid w:val="00744772"/>
    <w:rsid w:val="00744C9A"/>
    <w:rsid w:val="0074617E"/>
    <w:rsid w:val="007506E6"/>
    <w:rsid w:val="00757904"/>
    <w:rsid w:val="007626C5"/>
    <w:rsid w:val="00763FC1"/>
    <w:rsid w:val="007648E0"/>
    <w:rsid w:val="00765666"/>
    <w:rsid w:val="00772791"/>
    <w:rsid w:val="00772E37"/>
    <w:rsid w:val="0078728B"/>
    <w:rsid w:val="00790130"/>
    <w:rsid w:val="00796513"/>
    <w:rsid w:val="00797F93"/>
    <w:rsid w:val="007A060E"/>
    <w:rsid w:val="007A0F21"/>
    <w:rsid w:val="007A3E0C"/>
    <w:rsid w:val="007A407E"/>
    <w:rsid w:val="007B1945"/>
    <w:rsid w:val="007D3976"/>
    <w:rsid w:val="007D5FBF"/>
    <w:rsid w:val="007D6927"/>
    <w:rsid w:val="007E0249"/>
    <w:rsid w:val="007F3A7C"/>
    <w:rsid w:val="00802ED4"/>
    <w:rsid w:val="00805892"/>
    <w:rsid w:val="0081072B"/>
    <w:rsid w:val="008248D3"/>
    <w:rsid w:val="008318D3"/>
    <w:rsid w:val="00834FC0"/>
    <w:rsid w:val="008471C9"/>
    <w:rsid w:val="008507A2"/>
    <w:rsid w:val="00855B99"/>
    <w:rsid w:val="00861273"/>
    <w:rsid w:val="00862DDF"/>
    <w:rsid w:val="00864BB0"/>
    <w:rsid w:val="00870FFE"/>
    <w:rsid w:val="00872C95"/>
    <w:rsid w:val="00872F5F"/>
    <w:rsid w:val="0087591D"/>
    <w:rsid w:val="008764C8"/>
    <w:rsid w:val="0088020C"/>
    <w:rsid w:val="00884570"/>
    <w:rsid w:val="00891EEA"/>
    <w:rsid w:val="008934ED"/>
    <w:rsid w:val="008976BA"/>
    <w:rsid w:val="008A33BD"/>
    <w:rsid w:val="008A5560"/>
    <w:rsid w:val="008B4862"/>
    <w:rsid w:val="008B71B0"/>
    <w:rsid w:val="008C44B0"/>
    <w:rsid w:val="008C4725"/>
    <w:rsid w:val="008D1A8E"/>
    <w:rsid w:val="008D64BE"/>
    <w:rsid w:val="008E06CC"/>
    <w:rsid w:val="008E0D82"/>
    <w:rsid w:val="008E0FC7"/>
    <w:rsid w:val="008E116B"/>
    <w:rsid w:val="008F387D"/>
    <w:rsid w:val="008F75E7"/>
    <w:rsid w:val="00903282"/>
    <w:rsid w:val="009075A9"/>
    <w:rsid w:val="009212B4"/>
    <w:rsid w:val="0092653E"/>
    <w:rsid w:val="009343B2"/>
    <w:rsid w:val="00934C5B"/>
    <w:rsid w:val="00940E01"/>
    <w:rsid w:val="00946E50"/>
    <w:rsid w:val="0095164D"/>
    <w:rsid w:val="0095198B"/>
    <w:rsid w:val="00952AD1"/>
    <w:rsid w:val="00953C0B"/>
    <w:rsid w:val="0096185A"/>
    <w:rsid w:val="00970211"/>
    <w:rsid w:val="0097372E"/>
    <w:rsid w:val="009760D0"/>
    <w:rsid w:val="00977270"/>
    <w:rsid w:val="009773FE"/>
    <w:rsid w:val="00984AAE"/>
    <w:rsid w:val="00985A96"/>
    <w:rsid w:val="009873F3"/>
    <w:rsid w:val="00990776"/>
    <w:rsid w:val="00990933"/>
    <w:rsid w:val="0099236A"/>
    <w:rsid w:val="00994A69"/>
    <w:rsid w:val="00996405"/>
    <w:rsid w:val="009974E2"/>
    <w:rsid w:val="009A6E64"/>
    <w:rsid w:val="009C0A38"/>
    <w:rsid w:val="009C1E3E"/>
    <w:rsid w:val="009C2FF2"/>
    <w:rsid w:val="009C542C"/>
    <w:rsid w:val="009C6EFB"/>
    <w:rsid w:val="009C7454"/>
    <w:rsid w:val="009C7804"/>
    <w:rsid w:val="009C7B56"/>
    <w:rsid w:val="009D0798"/>
    <w:rsid w:val="009D429E"/>
    <w:rsid w:val="009E1FB1"/>
    <w:rsid w:val="009E52C9"/>
    <w:rsid w:val="009E6C29"/>
    <w:rsid w:val="009F6E01"/>
    <w:rsid w:val="00A026DE"/>
    <w:rsid w:val="00A06317"/>
    <w:rsid w:val="00A103EF"/>
    <w:rsid w:val="00A12DC7"/>
    <w:rsid w:val="00A21C49"/>
    <w:rsid w:val="00A237ED"/>
    <w:rsid w:val="00A23F62"/>
    <w:rsid w:val="00A27581"/>
    <w:rsid w:val="00A31197"/>
    <w:rsid w:val="00A37749"/>
    <w:rsid w:val="00A5114A"/>
    <w:rsid w:val="00A613A1"/>
    <w:rsid w:val="00A61ADB"/>
    <w:rsid w:val="00A62C9B"/>
    <w:rsid w:val="00A649A3"/>
    <w:rsid w:val="00A7113B"/>
    <w:rsid w:val="00A75CE3"/>
    <w:rsid w:val="00A80F95"/>
    <w:rsid w:val="00A81B56"/>
    <w:rsid w:val="00A8486F"/>
    <w:rsid w:val="00A85143"/>
    <w:rsid w:val="00A87FE5"/>
    <w:rsid w:val="00A90361"/>
    <w:rsid w:val="00A90655"/>
    <w:rsid w:val="00A946ED"/>
    <w:rsid w:val="00A97E07"/>
    <w:rsid w:val="00AA65D6"/>
    <w:rsid w:val="00AB613B"/>
    <w:rsid w:val="00AC17EE"/>
    <w:rsid w:val="00AC3CBC"/>
    <w:rsid w:val="00AD1C9A"/>
    <w:rsid w:val="00AE290A"/>
    <w:rsid w:val="00AF1983"/>
    <w:rsid w:val="00AF4845"/>
    <w:rsid w:val="00AF6DDB"/>
    <w:rsid w:val="00AF6EA4"/>
    <w:rsid w:val="00AF76A2"/>
    <w:rsid w:val="00B114B0"/>
    <w:rsid w:val="00B1324F"/>
    <w:rsid w:val="00B13741"/>
    <w:rsid w:val="00B15817"/>
    <w:rsid w:val="00B1680D"/>
    <w:rsid w:val="00B175D2"/>
    <w:rsid w:val="00B21570"/>
    <w:rsid w:val="00B2286E"/>
    <w:rsid w:val="00B22993"/>
    <w:rsid w:val="00B24281"/>
    <w:rsid w:val="00B261B2"/>
    <w:rsid w:val="00B34064"/>
    <w:rsid w:val="00B3475C"/>
    <w:rsid w:val="00B435CE"/>
    <w:rsid w:val="00B451B0"/>
    <w:rsid w:val="00B45F09"/>
    <w:rsid w:val="00B50770"/>
    <w:rsid w:val="00B50857"/>
    <w:rsid w:val="00B5366B"/>
    <w:rsid w:val="00B57319"/>
    <w:rsid w:val="00B61DA4"/>
    <w:rsid w:val="00B622E9"/>
    <w:rsid w:val="00B6345C"/>
    <w:rsid w:val="00B66196"/>
    <w:rsid w:val="00B6637D"/>
    <w:rsid w:val="00B73242"/>
    <w:rsid w:val="00B760B6"/>
    <w:rsid w:val="00B77530"/>
    <w:rsid w:val="00B866B9"/>
    <w:rsid w:val="00B870E2"/>
    <w:rsid w:val="00B91F5A"/>
    <w:rsid w:val="00BA02EC"/>
    <w:rsid w:val="00BA1533"/>
    <w:rsid w:val="00BA1564"/>
    <w:rsid w:val="00BA7590"/>
    <w:rsid w:val="00BB3132"/>
    <w:rsid w:val="00BB6D9B"/>
    <w:rsid w:val="00BB730F"/>
    <w:rsid w:val="00BB7EE1"/>
    <w:rsid w:val="00BC0E3E"/>
    <w:rsid w:val="00BC1312"/>
    <w:rsid w:val="00BC5E27"/>
    <w:rsid w:val="00BC6A51"/>
    <w:rsid w:val="00BD2864"/>
    <w:rsid w:val="00BD37FF"/>
    <w:rsid w:val="00BD62C0"/>
    <w:rsid w:val="00BE368B"/>
    <w:rsid w:val="00BE4FB5"/>
    <w:rsid w:val="00BF0354"/>
    <w:rsid w:val="00BF2B89"/>
    <w:rsid w:val="00BF7EB9"/>
    <w:rsid w:val="00C10F24"/>
    <w:rsid w:val="00C1308E"/>
    <w:rsid w:val="00C16B87"/>
    <w:rsid w:val="00C24E59"/>
    <w:rsid w:val="00C30D7D"/>
    <w:rsid w:val="00C31157"/>
    <w:rsid w:val="00C407A8"/>
    <w:rsid w:val="00C4111A"/>
    <w:rsid w:val="00C43D74"/>
    <w:rsid w:val="00C470A2"/>
    <w:rsid w:val="00C50BAE"/>
    <w:rsid w:val="00C61048"/>
    <w:rsid w:val="00C850F9"/>
    <w:rsid w:val="00C8522D"/>
    <w:rsid w:val="00C85BD0"/>
    <w:rsid w:val="00C91AC1"/>
    <w:rsid w:val="00C929A0"/>
    <w:rsid w:val="00C940C7"/>
    <w:rsid w:val="00C9577E"/>
    <w:rsid w:val="00CA5FDE"/>
    <w:rsid w:val="00CA64ED"/>
    <w:rsid w:val="00CA6FFC"/>
    <w:rsid w:val="00CB24C7"/>
    <w:rsid w:val="00CB3640"/>
    <w:rsid w:val="00CB73F4"/>
    <w:rsid w:val="00CC19EF"/>
    <w:rsid w:val="00CC536F"/>
    <w:rsid w:val="00CD1A9A"/>
    <w:rsid w:val="00CD4117"/>
    <w:rsid w:val="00CE2C28"/>
    <w:rsid w:val="00CE73C2"/>
    <w:rsid w:val="00CF672B"/>
    <w:rsid w:val="00CF74D3"/>
    <w:rsid w:val="00CF7BE5"/>
    <w:rsid w:val="00D00009"/>
    <w:rsid w:val="00D0588E"/>
    <w:rsid w:val="00D12943"/>
    <w:rsid w:val="00D13823"/>
    <w:rsid w:val="00D13BD1"/>
    <w:rsid w:val="00D239B7"/>
    <w:rsid w:val="00D308D8"/>
    <w:rsid w:val="00D329F6"/>
    <w:rsid w:val="00D330A7"/>
    <w:rsid w:val="00D3468F"/>
    <w:rsid w:val="00D45365"/>
    <w:rsid w:val="00D45D98"/>
    <w:rsid w:val="00D571DC"/>
    <w:rsid w:val="00D61222"/>
    <w:rsid w:val="00D6322C"/>
    <w:rsid w:val="00D6407B"/>
    <w:rsid w:val="00D65E04"/>
    <w:rsid w:val="00D66F4E"/>
    <w:rsid w:val="00D7430B"/>
    <w:rsid w:val="00DA022B"/>
    <w:rsid w:val="00DA6374"/>
    <w:rsid w:val="00DB3534"/>
    <w:rsid w:val="00DB3B77"/>
    <w:rsid w:val="00DC1A6E"/>
    <w:rsid w:val="00DC5CF9"/>
    <w:rsid w:val="00DC7BB1"/>
    <w:rsid w:val="00DD3447"/>
    <w:rsid w:val="00DD5810"/>
    <w:rsid w:val="00DD6816"/>
    <w:rsid w:val="00DE10AB"/>
    <w:rsid w:val="00DE2B44"/>
    <w:rsid w:val="00DE3213"/>
    <w:rsid w:val="00DE699A"/>
    <w:rsid w:val="00DF021E"/>
    <w:rsid w:val="00DF21AF"/>
    <w:rsid w:val="00DF6B90"/>
    <w:rsid w:val="00E016C0"/>
    <w:rsid w:val="00E051EF"/>
    <w:rsid w:val="00E211D2"/>
    <w:rsid w:val="00E21377"/>
    <w:rsid w:val="00E22C75"/>
    <w:rsid w:val="00E25427"/>
    <w:rsid w:val="00E329E8"/>
    <w:rsid w:val="00E342CA"/>
    <w:rsid w:val="00E368C3"/>
    <w:rsid w:val="00E477ED"/>
    <w:rsid w:val="00E50734"/>
    <w:rsid w:val="00E54CF5"/>
    <w:rsid w:val="00E57522"/>
    <w:rsid w:val="00E57793"/>
    <w:rsid w:val="00E61BCD"/>
    <w:rsid w:val="00E64C5B"/>
    <w:rsid w:val="00E65739"/>
    <w:rsid w:val="00E7291B"/>
    <w:rsid w:val="00E7492D"/>
    <w:rsid w:val="00E77518"/>
    <w:rsid w:val="00E87DA5"/>
    <w:rsid w:val="00E93469"/>
    <w:rsid w:val="00EA0865"/>
    <w:rsid w:val="00EA2ACF"/>
    <w:rsid w:val="00EA5C5B"/>
    <w:rsid w:val="00EA6CF6"/>
    <w:rsid w:val="00EA74B3"/>
    <w:rsid w:val="00EB2240"/>
    <w:rsid w:val="00EB4DC0"/>
    <w:rsid w:val="00EB6957"/>
    <w:rsid w:val="00EC00F0"/>
    <w:rsid w:val="00ED0BF8"/>
    <w:rsid w:val="00EE1EF1"/>
    <w:rsid w:val="00EE217B"/>
    <w:rsid w:val="00EF2558"/>
    <w:rsid w:val="00EF3095"/>
    <w:rsid w:val="00EF64CE"/>
    <w:rsid w:val="00F029CC"/>
    <w:rsid w:val="00F02A61"/>
    <w:rsid w:val="00F0747B"/>
    <w:rsid w:val="00F1074A"/>
    <w:rsid w:val="00F15E00"/>
    <w:rsid w:val="00F16438"/>
    <w:rsid w:val="00F16D23"/>
    <w:rsid w:val="00F2421E"/>
    <w:rsid w:val="00F279E3"/>
    <w:rsid w:val="00F3121A"/>
    <w:rsid w:val="00F35247"/>
    <w:rsid w:val="00F43427"/>
    <w:rsid w:val="00F4746A"/>
    <w:rsid w:val="00F508B7"/>
    <w:rsid w:val="00F51C00"/>
    <w:rsid w:val="00F51F9C"/>
    <w:rsid w:val="00F579A0"/>
    <w:rsid w:val="00F607DD"/>
    <w:rsid w:val="00F672A4"/>
    <w:rsid w:val="00F67CE6"/>
    <w:rsid w:val="00F67FF5"/>
    <w:rsid w:val="00F73D99"/>
    <w:rsid w:val="00F87375"/>
    <w:rsid w:val="00F920AB"/>
    <w:rsid w:val="00F94870"/>
    <w:rsid w:val="00FA1E51"/>
    <w:rsid w:val="00FA3696"/>
    <w:rsid w:val="00FB19BE"/>
    <w:rsid w:val="00FB74D4"/>
    <w:rsid w:val="00FC2BD6"/>
    <w:rsid w:val="00FC7365"/>
    <w:rsid w:val="00FC75AC"/>
    <w:rsid w:val="00FD0600"/>
    <w:rsid w:val="00FD3502"/>
    <w:rsid w:val="00FD6CCC"/>
    <w:rsid w:val="00FE3018"/>
    <w:rsid w:val="00FE5374"/>
    <w:rsid w:val="00FE65A7"/>
    <w:rsid w:val="00FF4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E9B859A"/>
  <w15:docId w15:val="{3BD57837-B969-43FC-9CEA-2971495C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link w:val="KopfzeileZchn"/>
    <w:uiPriority w:val="99"/>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paragraph" w:styleId="StandardWeb">
    <w:name w:val="Normal (Web)"/>
    <w:basedOn w:val="Standard"/>
    <w:uiPriority w:val="99"/>
    <w:semiHidden/>
    <w:unhideWhenUsed/>
    <w:rsid w:val="00772791"/>
    <w:pPr>
      <w:spacing w:before="100" w:beforeAutospacing="1" w:after="100" w:afterAutospacing="1"/>
      <w:jc w:val="left"/>
    </w:pPr>
    <w:rPr>
      <w:rFonts w:ascii="Times New Roman" w:hAnsi="Times New Roman"/>
      <w:sz w:val="24"/>
      <w:szCs w:val="24"/>
    </w:rPr>
  </w:style>
  <w:style w:type="table" w:styleId="Gitternetztabelle4Akzent6">
    <w:name w:val="Grid Table 4 Accent 6"/>
    <w:basedOn w:val="NormaleTabelle"/>
    <w:uiPriority w:val="49"/>
    <w:rsid w:val="00666AFB"/>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8E116B"/>
    <w:pPr>
      <w:autoSpaceDE w:val="0"/>
      <w:autoSpaceDN w:val="0"/>
      <w:adjustRightInd w:val="0"/>
    </w:pPr>
    <w:rPr>
      <w:rFonts w:ascii="EUAlbertina" w:hAnsi="EUAlbertina" w:cs="EUAlbertina"/>
      <w:color w:val="000000"/>
      <w:sz w:val="24"/>
      <w:szCs w:val="24"/>
    </w:rPr>
  </w:style>
  <w:style w:type="character" w:customStyle="1" w:styleId="KopfzeileZchn">
    <w:name w:val="Kopfzeile Zchn"/>
    <w:basedOn w:val="Absatz-Standardschriftart"/>
    <w:link w:val="Kopfzeile"/>
    <w:uiPriority w:val="99"/>
    <w:rsid w:val="006450B2"/>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0362">
      <w:bodyDiv w:val="1"/>
      <w:marLeft w:val="0"/>
      <w:marRight w:val="0"/>
      <w:marTop w:val="0"/>
      <w:marBottom w:val="0"/>
      <w:divBdr>
        <w:top w:val="none" w:sz="0" w:space="0" w:color="auto"/>
        <w:left w:val="none" w:sz="0" w:space="0" w:color="auto"/>
        <w:bottom w:val="none" w:sz="0" w:space="0" w:color="auto"/>
        <w:right w:val="none" w:sz="0" w:space="0" w:color="auto"/>
      </w:divBdr>
    </w:div>
    <w:div w:id="157576915">
      <w:bodyDiv w:val="1"/>
      <w:marLeft w:val="0"/>
      <w:marRight w:val="0"/>
      <w:marTop w:val="0"/>
      <w:marBottom w:val="0"/>
      <w:divBdr>
        <w:top w:val="none" w:sz="0" w:space="0" w:color="auto"/>
        <w:left w:val="none" w:sz="0" w:space="0" w:color="auto"/>
        <w:bottom w:val="none" w:sz="0" w:space="0" w:color="auto"/>
        <w:right w:val="none" w:sz="0" w:space="0" w:color="auto"/>
      </w:divBdr>
      <w:divsChild>
        <w:div w:id="2056659179">
          <w:marLeft w:val="547"/>
          <w:marRight w:val="0"/>
          <w:marTop w:val="120"/>
          <w:marBottom w:val="120"/>
          <w:divBdr>
            <w:top w:val="none" w:sz="0" w:space="0" w:color="auto"/>
            <w:left w:val="none" w:sz="0" w:space="0" w:color="auto"/>
            <w:bottom w:val="none" w:sz="0" w:space="0" w:color="auto"/>
            <w:right w:val="none" w:sz="0" w:space="0" w:color="auto"/>
          </w:divBdr>
        </w:div>
        <w:div w:id="2000039636">
          <w:marLeft w:val="547"/>
          <w:marRight w:val="0"/>
          <w:marTop w:val="120"/>
          <w:marBottom w:val="120"/>
          <w:divBdr>
            <w:top w:val="none" w:sz="0" w:space="0" w:color="auto"/>
            <w:left w:val="none" w:sz="0" w:space="0" w:color="auto"/>
            <w:bottom w:val="none" w:sz="0" w:space="0" w:color="auto"/>
            <w:right w:val="none" w:sz="0" w:space="0" w:color="auto"/>
          </w:divBdr>
        </w:div>
      </w:divsChild>
    </w:div>
    <w:div w:id="193857292">
      <w:bodyDiv w:val="1"/>
      <w:marLeft w:val="0"/>
      <w:marRight w:val="0"/>
      <w:marTop w:val="0"/>
      <w:marBottom w:val="0"/>
      <w:divBdr>
        <w:top w:val="none" w:sz="0" w:space="0" w:color="auto"/>
        <w:left w:val="none" w:sz="0" w:space="0" w:color="auto"/>
        <w:bottom w:val="none" w:sz="0" w:space="0" w:color="auto"/>
        <w:right w:val="none" w:sz="0" w:space="0" w:color="auto"/>
      </w:divBdr>
    </w:div>
    <w:div w:id="277689806">
      <w:bodyDiv w:val="1"/>
      <w:marLeft w:val="0"/>
      <w:marRight w:val="0"/>
      <w:marTop w:val="0"/>
      <w:marBottom w:val="0"/>
      <w:divBdr>
        <w:top w:val="none" w:sz="0" w:space="0" w:color="auto"/>
        <w:left w:val="none" w:sz="0" w:space="0" w:color="auto"/>
        <w:bottom w:val="none" w:sz="0" w:space="0" w:color="auto"/>
        <w:right w:val="none" w:sz="0" w:space="0" w:color="auto"/>
      </w:divBdr>
    </w:div>
    <w:div w:id="310525376">
      <w:bodyDiv w:val="1"/>
      <w:marLeft w:val="0"/>
      <w:marRight w:val="0"/>
      <w:marTop w:val="0"/>
      <w:marBottom w:val="0"/>
      <w:divBdr>
        <w:top w:val="none" w:sz="0" w:space="0" w:color="auto"/>
        <w:left w:val="none" w:sz="0" w:space="0" w:color="auto"/>
        <w:bottom w:val="none" w:sz="0" w:space="0" w:color="auto"/>
        <w:right w:val="none" w:sz="0" w:space="0" w:color="auto"/>
      </w:divBdr>
    </w:div>
    <w:div w:id="383604630">
      <w:bodyDiv w:val="1"/>
      <w:marLeft w:val="0"/>
      <w:marRight w:val="0"/>
      <w:marTop w:val="0"/>
      <w:marBottom w:val="0"/>
      <w:divBdr>
        <w:top w:val="none" w:sz="0" w:space="0" w:color="auto"/>
        <w:left w:val="none" w:sz="0" w:space="0" w:color="auto"/>
        <w:bottom w:val="none" w:sz="0" w:space="0" w:color="auto"/>
        <w:right w:val="none" w:sz="0" w:space="0" w:color="auto"/>
      </w:divBdr>
    </w:div>
    <w:div w:id="385373645">
      <w:bodyDiv w:val="1"/>
      <w:marLeft w:val="0"/>
      <w:marRight w:val="0"/>
      <w:marTop w:val="0"/>
      <w:marBottom w:val="0"/>
      <w:divBdr>
        <w:top w:val="none" w:sz="0" w:space="0" w:color="auto"/>
        <w:left w:val="none" w:sz="0" w:space="0" w:color="auto"/>
        <w:bottom w:val="none" w:sz="0" w:space="0" w:color="auto"/>
        <w:right w:val="none" w:sz="0" w:space="0" w:color="auto"/>
      </w:divBdr>
      <w:divsChild>
        <w:div w:id="674890893">
          <w:marLeft w:val="547"/>
          <w:marRight w:val="0"/>
          <w:marTop w:val="120"/>
          <w:marBottom w:val="120"/>
          <w:divBdr>
            <w:top w:val="none" w:sz="0" w:space="0" w:color="auto"/>
            <w:left w:val="none" w:sz="0" w:space="0" w:color="auto"/>
            <w:bottom w:val="none" w:sz="0" w:space="0" w:color="auto"/>
            <w:right w:val="none" w:sz="0" w:space="0" w:color="auto"/>
          </w:divBdr>
        </w:div>
      </w:divsChild>
    </w:div>
    <w:div w:id="477691923">
      <w:bodyDiv w:val="1"/>
      <w:marLeft w:val="0"/>
      <w:marRight w:val="0"/>
      <w:marTop w:val="0"/>
      <w:marBottom w:val="0"/>
      <w:divBdr>
        <w:top w:val="none" w:sz="0" w:space="0" w:color="auto"/>
        <w:left w:val="none" w:sz="0" w:space="0" w:color="auto"/>
        <w:bottom w:val="none" w:sz="0" w:space="0" w:color="auto"/>
        <w:right w:val="none" w:sz="0" w:space="0" w:color="auto"/>
      </w:divBdr>
    </w:div>
    <w:div w:id="509418341">
      <w:bodyDiv w:val="1"/>
      <w:marLeft w:val="0"/>
      <w:marRight w:val="0"/>
      <w:marTop w:val="0"/>
      <w:marBottom w:val="0"/>
      <w:divBdr>
        <w:top w:val="none" w:sz="0" w:space="0" w:color="auto"/>
        <w:left w:val="none" w:sz="0" w:space="0" w:color="auto"/>
        <w:bottom w:val="none" w:sz="0" w:space="0" w:color="auto"/>
        <w:right w:val="none" w:sz="0" w:space="0" w:color="auto"/>
      </w:divBdr>
    </w:div>
    <w:div w:id="561986683">
      <w:bodyDiv w:val="1"/>
      <w:marLeft w:val="0"/>
      <w:marRight w:val="0"/>
      <w:marTop w:val="0"/>
      <w:marBottom w:val="0"/>
      <w:divBdr>
        <w:top w:val="none" w:sz="0" w:space="0" w:color="auto"/>
        <w:left w:val="none" w:sz="0" w:space="0" w:color="auto"/>
        <w:bottom w:val="none" w:sz="0" w:space="0" w:color="auto"/>
        <w:right w:val="none" w:sz="0" w:space="0" w:color="auto"/>
      </w:divBdr>
    </w:div>
    <w:div w:id="582840497">
      <w:bodyDiv w:val="1"/>
      <w:marLeft w:val="0"/>
      <w:marRight w:val="0"/>
      <w:marTop w:val="0"/>
      <w:marBottom w:val="0"/>
      <w:divBdr>
        <w:top w:val="none" w:sz="0" w:space="0" w:color="auto"/>
        <w:left w:val="none" w:sz="0" w:space="0" w:color="auto"/>
        <w:bottom w:val="none" w:sz="0" w:space="0" w:color="auto"/>
        <w:right w:val="none" w:sz="0" w:space="0" w:color="auto"/>
      </w:divBdr>
    </w:div>
    <w:div w:id="626280626">
      <w:bodyDiv w:val="1"/>
      <w:marLeft w:val="0"/>
      <w:marRight w:val="0"/>
      <w:marTop w:val="0"/>
      <w:marBottom w:val="0"/>
      <w:divBdr>
        <w:top w:val="none" w:sz="0" w:space="0" w:color="auto"/>
        <w:left w:val="none" w:sz="0" w:space="0" w:color="auto"/>
        <w:bottom w:val="none" w:sz="0" w:space="0" w:color="auto"/>
        <w:right w:val="none" w:sz="0" w:space="0" w:color="auto"/>
      </w:divBdr>
    </w:div>
    <w:div w:id="632519784">
      <w:bodyDiv w:val="1"/>
      <w:marLeft w:val="0"/>
      <w:marRight w:val="0"/>
      <w:marTop w:val="0"/>
      <w:marBottom w:val="0"/>
      <w:divBdr>
        <w:top w:val="none" w:sz="0" w:space="0" w:color="auto"/>
        <w:left w:val="none" w:sz="0" w:space="0" w:color="auto"/>
        <w:bottom w:val="none" w:sz="0" w:space="0" w:color="auto"/>
        <w:right w:val="none" w:sz="0" w:space="0" w:color="auto"/>
      </w:divBdr>
    </w:div>
    <w:div w:id="635572108">
      <w:bodyDiv w:val="1"/>
      <w:marLeft w:val="0"/>
      <w:marRight w:val="0"/>
      <w:marTop w:val="0"/>
      <w:marBottom w:val="0"/>
      <w:divBdr>
        <w:top w:val="none" w:sz="0" w:space="0" w:color="auto"/>
        <w:left w:val="none" w:sz="0" w:space="0" w:color="auto"/>
        <w:bottom w:val="none" w:sz="0" w:space="0" w:color="auto"/>
        <w:right w:val="none" w:sz="0" w:space="0" w:color="auto"/>
      </w:divBdr>
    </w:div>
    <w:div w:id="647563397">
      <w:bodyDiv w:val="1"/>
      <w:marLeft w:val="0"/>
      <w:marRight w:val="0"/>
      <w:marTop w:val="0"/>
      <w:marBottom w:val="0"/>
      <w:divBdr>
        <w:top w:val="none" w:sz="0" w:space="0" w:color="auto"/>
        <w:left w:val="none" w:sz="0" w:space="0" w:color="auto"/>
        <w:bottom w:val="none" w:sz="0" w:space="0" w:color="auto"/>
        <w:right w:val="none" w:sz="0" w:space="0" w:color="auto"/>
      </w:divBdr>
    </w:div>
    <w:div w:id="720908529">
      <w:bodyDiv w:val="1"/>
      <w:marLeft w:val="0"/>
      <w:marRight w:val="0"/>
      <w:marTop w:val="0"/>
      <w:marBottom w:val="0"/>
      <w:divBdr>
        <w:top w:val="none" w:sz="0" w:space="0" w:color="auto"/>
        <w:left w:val="none" w:sz="0" w:space="0" w:color="auto"/>
        <w:bottom w:val="none" w:sz="0" w:space="0" w:color="auto"/>
        <w:right w:val="none" w:sz="0" w:space="0" w:color="auto"/>
      </w:divBdr>
    </w:div>
    <w:div w:id="753861612">
      <w:bodyDiv w:val="1"/>
      <w:marLeft w:val="0"/>
      <w:marRight w:val="0"/>
      <w:marTop w:val="0"/>
      <w:marBottom w:val="0"/>
      <w:divBdr>
        <w:top w:val="none" w:sz="0" w:space="0" w:color="auto"/>
        <w:left w:val="none" w:sz="0" w:space="0" w:color="auto"/>
        <w:bottom w:val="none" w:sz="0" w:space="0" w:color="auto"/>
        <w:right w:val="none" w:sz="0" w:space="0" w:color="auto"/>
      </w:divBdr>
    </w:div>
    <w:div w:id="778837890">
      <w:bodyDiv w:val="1"/>
      <w:marLeft w:val="0"/>
      <w:marRight w:val="0"/>
      <w:marTop w:val="0"/>
      <w:marBottom w:val="0"/>
      <w:divBdr>
        <w:top w:val="none" w:sz="0" w:space="0" w:color="auto"/>
        <w:left w:val="none" w:sz="0" w:space="0" w:color="auto"/>
        <w:bottom w:val="none" w:sz="0" w:space="0" w:color="auto"/>
        <w:right w:val="none" w:sz="0" w:space="0" w:color="auto"/>
      </w:divBdr>
    </w:div>
    <w:div w:id="854269504">
      <w:bodyDiv w:val="1"/>
      <w:marLeft w:val="0"/>
      <w:marRight w:val="0"/>
      <w:marTop w:val="0"/>
      <w:marBottom w:val="0"/>
      <w:divBdr>
        <w:top w:val="none" w:sz="0" w:space="0" w:color="auto"/>
        <w:left w:val="none" w:sz="0" w:space="0" w:color="auto"/>
        <w:bottom w:val="none" w:sz="0" w:space="0" w:color="auto"/>
        <w:right w:val="none" w:sz="0" w:space="0" w:color="auto"/>
      </w:divBdr>
      <w:divsChild>
        <w:div w:id="680820665">
          <w:marLeft w:val="446"/>
          <w:marRight w:val="0"/>
          <w:marTop w:val="120"/>
          <w:marBottom w:val="120"/>
          <w:divBdr>
            <w:top w:val="none" w:sz="0" w:space="0" w:color="auto"/>
            <w:left w:val="none" w:sz="0" w:space="0" w:color="auto"/>
            <w:bottom w:val="none" w:sz="0" w:space="0" w:color="auto"/>
            <w:right w:val="none" w:sz="0" w:space="0" w:color="auto"/>
          </w:divBdr>
        </w:div>
        <w:div w:id="2104950959">
          <w:marLeft w:val="446"/>
          <w:marRight w:val="0"/>
          <w:marTop w:val="120"/>
          <w:marBottom w:val="120"/>
          <w:divBdr>
            <w:top w:val="none" w:sz="0" w:space="0" w:color="auto"/>
            <w:left w:val="none" w:sz="0" w:space="0" w:color="auto"/>
            <w:bottom w:val="none" w:sz="0" w:space="0" w:color="auto"/>
            <w:right w:val="none" w:sz="0" w:space="0" w:color="auto"/>
          </w:divBdr>
        </w:div>
        <w:div w:id="1561214238">
          <w:marLeft w:val="446"/>
          <w:marRight w:val="0"/>
          <w:marTop w:val="120"/>
          <w:marBottom w:val="120"/>
          <w:divBdr>
            <w:top w:val="none" w:sz="0" w:space="0" w:color="auto"/>
            <w:left w:val="none" w:sz="0" w:space="0" w:color="auto"/>
            <w:bottom w:val="none" w:sz="0" w:space="0" w:color="auto"/>
            <w:right w:val="none" w:sz="0" w:space="0" w:color="auto"/>
          </w:divBdr>
        </w:div>
      </w:divsChild>
    </w:div>
    <w:div w:id="866218287">
      <w:bodyDiv w:val="1"/>
      <w:marLeft w:val="0"/>
      <w:marRight w:val="0"/>
      <w:marTop w:val="0"/>
      <w:marBottom w:val="0"/>
      <w:divBdr>
        <w:top w:val="none" w:sz="0" w:space="0" w:color="auto"/>
        <w:left w:val="none" w:sz="0" w:space="0" w:color="auto"/>
        <w:bottom w:val="none" w:sz="0" w:space="0" w:color="auto"/>
        <w:right w:val="none" w:sz="0" w:space="0" w:color="auto"/>
      </w:divBdr>
      <w:divsChild>
        <w:div w:id="143468328">
          <w:marLeft w:val="547"/>
          <w:marRight w:val="0"/>
          <w:marTop w:val="120"/>
          <w:marBottom w:val="120"/>
          <w:divBdr>
            <w:top w:val="none" w:sz="0" w:space="0" w:color="auto"/>
            <w:left w:val="none" w:sz="0" w:space="0" w:color="auto"/>
            <w:bottom w:val="none" w:sz="0" w:space="0" w:color="auto"/>
            <w:right w:val="none" w:sz="0" w:space="0" w:color="auto"/>
          </w:divBdr>
        </w:div>
      </w:divsChild>
    </w:div>
    <w:div w:id="878054453">
      <w:bodyDiv w:val="1"/>
      <w:marLeft w:val="0"/>
      <w:marRight w:val="0"/>
      <w:marTop w:val="0"/>
      <w:marBottom w:val="0"/>
      <w:divBdr>
        <w:top w:val="none" w:sz="0" w:space="0" w:color="auto"/>
        <w:left w:val="none" w:sz="0" w:space="0" w:color="auto"/>
        <w:bottom w:val="none" w:sz="0" w:space="0" w:color="auto"/>
        <w:right w:val="none" w:sz="0" w:space="0" w:color="auto"/>
      </w:divBdr>
      <w:divsChild>
        <w:div w:id="48574219">
          <w:marLeft w:val="547"/>
          <w:marRight w:val="0"/>
          <w:marTop w:val="120"/>
          <w:marBottom w:val="120"/>
          <w:divBdr>
            <w:top w:val="none" w:sz="0" w:space="0" w:color="auto"/>
            <w:left w:val="none" w:sz="0" w:space="0" w:color="auto"/>
            <w:bottom w:val="none" w:sz="0" w:space="0" w:color="auto"/>
            <w:right w:val="none" w:sz="0" w:space="0" w:color="auto"/>
          </w:divBdr>
        </w:div>
        <w:div w:id="498421721">
          <w:marLeft w:val="547"/>
          <w:marRight w:val="0"/>
          <w:marTop w:val="120"/>
          <w:marBottom w:val="120"/>
          <w:divBdr>
            <w:top w:val="none" w:sz="0" w:space="0" w:color="auto"/>
            <w:left w:val="none" w:sz="0" w:space="0" w:color="auto"/>
            <w:bottom w:val="none" w:sz="0" w:space="0" w:color="auto"/>
            <w:right w:val="none" w:sz="0" w:space="0" w:color="auto"/>
          </w:divBdr>
        </w:div>
        <w:div w:id="1069496819">
          <w:marLeft w:val="547"/>
          <w:marRight w:val="0"/>
          <w:marTop w:val="120"/>
          <w:marBottom w:val="120"/>
          <w:divBdr>
            <w:top w:val="none" w:sz="0" w:space="0" w:color="auto"/>
            <w:left w:val="none" w:sz="0" w:space="0" w:color="auto"/>
            <w:bottom w:val="none" w:sz="0" w:space="0" w:color="auto"/>
            <w:right w:val="none" w:sz="0" w:space="0" w:color="auto"/>
          </w:divBdr>
        </w:div>
      </w:divsChild>
    </w:div>
    <w:div w:id="1004892611">
      <w:bodyDiv w:val="1"/>
      <w:marLeft w:val="0"/>
      <w:marRight w:val="0"/>
      <w:marTop w:val="0"/>
      <w:marBottom w:val="0"/>
      <w:divBdr>
        <w:top w:val="none" w:sz="0" w:space="0" w:color="auto"/>
        <w:left w:val="none" w:sz="0" w:space="0" w:color="auto"/>
        <w:bottom w:val="none" w:sz="0" w:space="0" w:color="auto"/>
        <w:right w:val="none" w:sz="0" w:space="0" w:color="auto"/>
      </w:divBdr>
    </w:div>
    <w:div w:id="1071001913">
      <w:bodyDiv w:val="1"/>
      <w:marLeft w:val="0"/>
      <w:marRight w:val="0"/>
      <w:marTop w:val="0"/>
      <w:marBottom w:val="0"/>
      <w:divBdr>
        <w:top w:val="none" w:sz="0" w:space="0" w:color="auto"/>
        <w:left w:val="none" w:sz="0" w:space="0" w:color="auto"/>
        <w:bottom w:val="none" w:sz="0" w:space="0" w:color="auto"/>
        <w:right w:val="none" w:sz="0" w:space="0" w:color="auto"/>
      </w:divBdr>
    </w:div>
    <w:div w:id="1108814218">
      <w:bodyDiv w:val="1"/>
      <w:marLeft w:val="0"/>
      <w:marRight w:val="0"/>
      <w:marTop w:val="0"/>
      <w:marBottom w:val="0"/>
      <w:divBdr>
        <w:top w:val="none" w:sz="0" w:space="0" w:color="auto"/>
        <w:left w:val="none" w:sz="0" w:space="0" w:color="auto"/>
        <w:bottom w:val="none" w:sz="0" w:space="0" w:color="auto"/>
        <w:right w:val="none" w:sz="0" w:space="0" w:color="auto"/>
      </w:divBdr>
    </w:div>
    <w:div w:id="1156802477">
      <w:bodyDiv w:val="1"/>
      <w:marLeft w:val="0"/>
      <w:marRight w:val="0"/>
      <w:marTop w:val="0"/>
      <w:marBottom w:val="0"/>
      <w:divBdr>
        <w:top w:val="none" w:sz="0" w:space="0" w:color="auto"/>
        <w:left w:val="none" w:sz="0" w:space="0" w:color="auto"/>
        <w:bottom w:val="none" w:sz="0" w:space="0" w:color="auto"/>
        <w:right w:val="none" w:sz="0" w:space="0" w:color="auto"/>
      </w:divBdr>
    </w:div>
    <w:div w:id="1187478410">
      <w:bodyDiv w:val="1"/>
      <w:marLeft w:val="0"/>
      <w:marRight w:val="0"/>
      <w:marTop w:val="0"/>
      <w:marBottom w:val="0"/>
      <w:divBdr>
        <w:top w:val="none" w:sz="0" w:space="0" w:color="auto"/>
        <w:left w:val="none" w:sz="0" w:space="0" w:color="auto"/>
        <w:bottom w:val="none" w:sz="0" w:space="0" w:color="auto"/>
        <w:right w:val="none" w:sz="0" w:space="0" w:color="auto"/>
      </w:divBdr>
    </w:div>
    <w:div w:id="1251618758">
      <w:bodyDiv w:val="1"/>
      <w:marLeft w:val="0"/>
      <w:marRight w:val="0"/>
      <w:marTop w:val="0"/>
      <w:marBottom w:val="0"/>
      <w:divBdr>
        <w:top w:val="none" w:sz="0" w:space="0" w:color="auto"/>
        <w:left w:val="none" w:sz="0" w:space="0" w:color="auto"/>
        <w:bottom w:val="none" w:sz="0" w:space="0" w:color="auto"/>
        <w:right w:val="none" w:sz="0" w:space="0" w:color="auto"/>
      </w:divBdr>
      <w:divsChild>
        <w:div w:id="1144852883">
          <w:marLeft w:val="1008"/>
          <w:marRight w:val="0"/>
          <w:marTop w:val="0"/>
          <w:marBottom w:val="0"/>
          <w:divBdr>
            <w:top w:val="none" w:sz="0" w:space="0" w:color="auto"/>
            <w:left w:val="none" w:sz="0" w:space="0" w:color="auto"/>
            <w:bottom w:val="none" w:sz="0" w:space="0" w:color="auto"/>
            <w:right w:val="none" w:sz="0" w:space="0" w:color="auto"/>
          </w:divBdr>
        </w:div>
        <w:div w:id="1360468365">
          <w:marLeft w:val="1008"/>
          <w:marRight w:val="0"/>
          <w:marTop w:val="0"/>
          <w:marBottom w:val="0"/>
          <w:divBdr>
            <w:top w:val="none" w:sz="0" w:space="0" w:color="auto"/>
            <w:left w:val="none" w:sz="0" w:space="0" w:color="auto"/>
            <w:bottom w:val="none" w:sz="0" w:space="0" w:color="auto"/>
            <w:right w:val="none" w:sz="0" w:space="0" w:color="auto"/>
          </w:divBdr>
        </w:div>
      </w:divsChild>
    </w:div>
    <w:div w:id="1252085741">
      <w:bodyDiv w:val="1"/>
      <w:marLeft w:val="0"/>
      <w:marRight w:val="0"/>
      <w:marTop w:val="0"/>
      <w:marBottom w:val="0"/>
      <w:divBdr>
        <w:top w:val="none" w:sz="0" w:space="0" w:color="auto"/>
        <w:left w:val="none" w:sz="0" w:space="0" w:color="auto"/>
        <w:bottom w:val="none" w:sz="0" w:space="0" w:color="auto"/>
        <w:right w:val="none" w:sz="0" w:space="0" w:color="auto"/>
      </w:divBdr>
    </w:div>
    <w:div w:id="1357468588">
      <w:bodyDiv w:val="1"/>
      <w:marLeft w:val="0"/>
      <w:marRight w:val="0"/>
      <w:marTop w:val="0"/>
      <w:marBottom w:val="0"/>
      <w:divBdr>
        <w:top w:val="none" w:sz="0" w:space="0" w:color="auto"/>
        <w:left w:val="none" w:sz="0" w:space="0" w:color="auto"/>
        <w:bottom w:val="none" w:sz="0" w:space="0" w:color="auto"/>
        <w:right w:val="none" w:sz="0" w:space="0" w:color="auto"/>
      </w:divBdr>
    </w:div>
    <w:div w:id="1389189034">
      <w:bodyDiv w:val="1"/>
      <w:marLeft w:val="0"/>
      <w:marRight w:val="0"/>
      <w:marTop w:val="0"/>
      <w:marBottom w:val="0"/>
      <w:divBdr>
        <w:top w:val="none" w:sz="0" w:space="0" w:color="auto"/>
        <w:left w:val="none" w:sz="0" w:space="0" w:color="auto"/>
        <w:bottom w:val="none" w:sz="0" w:space="0" w:color="auto"/>
        <w:right w:val="none" w:sz="0" w:space="0" w:color="auto"/>
      </w:divBdr>
      <w:divsChild>
        <w:div w:id="1622028497">
          <w:marLeft w:val="547"/>
          <w:marRight w:val="0"/>
          <w:marTop w:val="120"/>
          <w:marBottom w:val="120"/>
          <w:divBdr>
            <w:top w:val="none" w:sz="0" w:space="0" w:color="auto"/>
            <w:left w:val="none" w:sz="0" w:space="0" w:color="auto"/>
            <w:bottom w:val="none" w:sz="0" w:space="0" w:color="auto"/>
            <w:right w:val="none" w:sz="0" w:space="0" w:color="auto"/>
          </w:divBdr>
        </w:div>
        <w:div w:id="624116817">
          <w:marLeft w:val="547"/>
          <w:marRight w:val="0"/>
          <w:marTop w:val="120"/>
          <w:marBottom w:val="120"/>
          <w:divBdr>
            <w:top w:val="none" w:sz="0" w:space="0" w:color="auto"/>
            <w:left w:val="none" w:sz="0" w:space="0" w:color="auto"/>
            <w:bottom w:val="none" w:sz="0" w:space="0" w:color="auto"/>
            <w:right w:val="none" w:sz="0" w:space="0" w:color="auto"/>
          </w:divBdr>
        </w:div>
        <w:div w:id="709496798">
          <w:marLeft w:val="547"/>
          <w:marRight w:val="0"/>
          <w:marTop w:val="120"/>
          <w:marBottom w:val="120"/>
          <w:divBdr>
            <w:top w:val="none" w:sz="0" w:space="0" w:color="auto"/>
            <w:left w:val="none" w:sz="0" w:space="0" w:color="auto"/>
            <w:bottom w:val="none" w:sz="0" w:space="0" w:color="auto"/>
            <w:right w:val="none" w:sz="0" w:space="0" w:color="auto"/>
          </w:divBdr>
        </w:div>
      </w:divsChild>
    </w:div>
    <w:div w:id="1428379387">
      <w:bodyDiv w:val="1"/>
      <w:marLeft w:val="0"/>
      <w:marRight w:val="0"/>
      <w:marTop w:val="0"/>
      <w:marBottom w:val="0"/>
      <w:divBdr>
        <w:top w:val="none" w:sz="0" w:space="0" w:color="auto"/>
        <w:left w:val="none" w:sz="0" w:space="0" w:color="auto"/>
        <w:bottom w:val="none" w:sz="0" w:space="0" w:color="auto"/>
        <w:right w:val="none" w:sz="0" w:space="0" w:color="auto"/>
      </w:divBdr>
    </w:div>
    <w:div w:id="1508786317">
      <w:bodyDiv w:val="1"/>
      <w:marLeft w:val="0"/>
      <w:marRight w:val="0"/>
      <w:marTop w:val="0"/>
      <w:marBottom w:val="0"/>
      <w:divBdr>
        <w:top w:val="none" w:sz="0" w:space="0" w:color="auto"/>
        <w:left w:val="none" w:sz="0" w:space="0" w:color="auto"/>
        <w:bottom w:val="none" w:sz="0" w:space="0" w:color="auto"/>
        <w:right w:val="none" w:sz="0" w:space="0" w:color="auto"/>
      </w:divBdr>
    </w:div>
    <w:div w:id="1525635538">
      <w:bodyDiv w:val="1"/>
      <w:marLeft w:val="0"/>
      <w:marRight w:val="0"/>
      <w:marTop w:val="0"/>
      <w:marBottom w:val="0"/>
      <w:divBdr>
        <w:top w:val="none" w:sz="0" w:space="0" w:color="auto"/>
        <w:left w:val="none" w:sz="0" w:space="0" w:color="auto"/>
        <w:bottom w:val="none" w:sz="0" w:space="0" w:color="auto"/>
        <w:right w:val="none" w:sz="0" w:space="0" w:color="auto"/>
      </w:divBdr>
      <w:divsChild>
        <w:div w:id="1587570832">
          <w:marLeft w:val="547"/>
          <w:marRight w:val="0"/>
          <w:marTop w:val="120"/>
          <w:marBottom w:val="120"/>
          <w:divBdr>
            <w:top w:val="none" w:sz="0" w:space="0" w:color="auto"/>
            <w:left w:val="none" w:sz="0" w:space="0" w:color="auto"/>
            <w:bottom w:val="none" w:sz="0" w:space="0" w:color="auto"/>
            <w:right w:val="none" w:sz="0" w:space="0" w:color="auto"/>
          </w:divBdr>
        </w:div>
        <w:div w:id="583995540">
          <w:marLeft w:val="547"/>
          <w:marRight w:val="0"/>
          <w:marTop w:val="120"/>
          <w:marBottom w:val="120"/>
          <w:divBdr>
            <w:top w:val="none" w:sz="0" w:space="0" w:color="auto"/>
            <w:left w:val="none" w:sz="0" w:space="0" w:color="auto"/>
            <w:bottom w:val="none" w:sz="0" w:space="0" w:color="auto"/>
            <w:right w:val="none" w:sz="0" w:space="0" w:color="auto"/>
          </w:divBdr>
        </w:div>
        <w:div w:id="1476145681">
          <w:marLeft w:val="547"/>
          <w:marRight w:val="0"/>
          <w:marTop w:val="120"/>
          <w:marBottom w:val="120"/>
          <w:divBdr>
            <w:top w:val="none" w:sz="0" w:space="0" w:color="auto"/>
            <w:left w:val="none" w:sz="0" w:space="0" w:color="auto"/>
            <w:bottom w:val="none" w:sz="0" w:space="0" w:color="auto"/>
            <w:right w:val="none" w:sz="0" w:space="0" w:color="auto"/>
          </w:divBdr>
        </w:div>
      </w:divsChild>
    </w:div>
    <w:div w:id="1608779796">
      <w:bodyDiv w:val="1"/>
      <w:marLeft w:val="0"/>
      <w:marRight w:val="0"/>
      <w:marTop w:val="0"/>
      <w:marBottom w:val="0"/>
      <w:divBdr>
        <w:top w:val="none" w:sz="0" w:space="0" w:color="auto"/>
        <w:left w:val="none" w:sz="0" w:space="0" w:color="auto"/>
        <w:bottom w:val="none" w:sz="0" w:space="0" w:color="auto"/>
        <w:right w:val="none" w:sz="0" w:space="0" w:color="auto"/>
      </w:divBdr>
    </w:div>
    <w:div w:id="1620799852">
      <w:bodyDiv w:val="1"/>
      <w:marLeft w:val="0"/>
      <w:marRight w:val="0"/>
      <w:marTop w:val="0"/>
      <w:marBottom w:val="0"/>
      <w:divBdr>
        <w:top w:val="none" w:sz="0" w:space="0" w:color="auto"/>
        <w:left w:val="none" w:sz="0" w:space="0" w:color="auto"/>
        <w:bottom w:val="none" w:sz="0" w:space="0" w:color="auto"/>
        <w:right w:val="none" w:sz="0" w:space="0" w:color="auto"/>
      </w:divBdr>
    </w:div>
    <w:div w:id="1667972912">
      <w:bodyDiv w:val="1"/>
      <w:marLeft w:val="0"/>
      <w:marRight w:val="0"/>
      <w:marTop w:val="0"/>
      <w:marBottom w:val="0"/>
      <w:divBdr>
        <w:top w:val="none" w:sz="0" w:space="0" w:color="auto"/>
        <w:left w:val="none" w:sz="0" w:space="0" w:color="auto"/>
        <w:bottom w:val="none" w:sz="0" w:space="0" w:color="auto"/>
        <w:right w:val="none" w:sz="0" w:space="0" w:color="auto"/>
      </w:divBdr>
    </w:div>
    <w:div w:id="1670596374">
      <w:bodyDiv w:val="1"/>
      <w:marLeft w:val="0"/>
      <w:marRight w:val="0"/>
      <w:marTop w:val="0"/>
      <w:marBottom w:val="0"/>
      <w:divBdr>
        <w:top w:val="none" w:sz="0" w:space="0" w:color="auto"/>
        <w:left w:val="none" w:sz="0" w:space="0" w:color="auto"/>
        <w:bottom w:val="none" w:sz="0" w:space="0" w:color="auto"/>
        <w:right w:val="none" w:sz="0" w:space="0" w:color="auto"/>
      </w:divBdr>
    </w:div>
    <w:div w:id="1679038461">
      <w:bodyDiv w:val="1"/>
      <w:marLeft w:val="0"/>
      <w:marRight w:val="0"/>
      <w:marTop w:val="0"/>
      <w:marBottom w:val="0"/>
      <w:divBdr>
        <w:top w:val="none" w:sz="0" w:space="0" w:color="auto"/>
        <w:left w:val="none" w:sz="0" w:space="0" w:color="auto"/>
        <w:bottom w:val="none" w:sz="0" w:space="0" w:color="auto"/>
        <w:right w:val="none" w:sz="0" w:space="0" w:color="auto"/>
      </w:divBdr>
    </w:div>
    <w:div w:id="1686322693">
      <w:bodyDiv w:val="1"/>
      <w:marLeft w:val="0"/>
      <w:marRight w:val="0"/>
      <w:marTop w:val="0"/>
      <w:marBottom w:val="0"/>
      <w:divBdr>
        <w:top w:val="none" w:sz="0" w:space="0" w:color="auto"/>
        <w:left w:val="none" w:sz="0" w:space="0" w:color="auto"/>
        <w:bottom w:val="none" w:sz="0" w:space="0" w:color="auto"/>
        <w:right w:val="none" w:sz="0" w:space="0" w:color="auto"/>
      </w:divBdr>
    </w:div>
    <w:div w:id="1744833996">
      <w:bodyDiv w:val="1"/>
      <w:marLeft w:val="0"/>
      <w:marRight w:val="0"/>
      <w:marTop w:val="0"/>
      <w:marBottom w:val="0"/>
      <w:divBdr>
        <w:top w:val="none" w:sz="0" w:space="0" w:color="auto"/>
        <w:left w:val="none" w:sz="0" w:space="0" w:color="auto"/>
        <w:bottom w:val="none" w:sz="0" w:space="0" w:color="auto"/>
        <w:right w:val="none" w:sz="0" w:space="0" w:color="auto"/>
      </w:divBdr>
    </w:div>
    <w:div w:id="1775398459">
      <w:bodyDiv w:val="1"/>
      <w:marLeft w:val="0"/>
      <w:marRight w:val="0"/>
      <w:marTop w:val="0"/>
      <w:marBottom w:val="0"/>
      <w:divBdr>
        <w:top w:val="none" w:sz="0" w:space="0" w:color="auto"/>
        <w:left w:val="none" w:sz="0" w:space="0" w:color="auto"/>
        <w:bottom w:val="none" w:sz="0" w:space="0" w:color="auto"/>
        <w:right w:val="none" w:sz="0" w:space="0" w:color="auto"/>
      </w:divBdr>
    </w:div>
    <w:div w:id="1847553823">
      <w:bodyDiv w:val="1"/>
      <w:marLeft w:val="0"/>
      <w:marRight w:val="0"/>
      <w:marTop w:val="0"/>
      <w:marBottom w:val="0"/>
      <w:divBdr>
        <w:top w:val="none" w:sz="0" w:space="0" w:color="auto"/>
        <w:left w:val="none" w:sz="0" w:space="0" w:color="auto"/>
        <w:bottom w:val="none" w:sz="0" w:space="0" w:color="auto"/>
        <w:right w:val="none" w:sz="0" w:space="0" w:color="auto"/>
      </w:divBdr>
    </w:div>
    <w:div w:id="1854416320">
      <w:bodyDiv w:val="1"/>
      <w:marLeft w:val="0"/>
      <w:marRight w:val="0"/>
      <w:marTop w:val="0"/>
      <w:marBottom w:val="0"/>
      <w:divBdr>
        <w:top w:val="none" w:sz="0" w:space="0" w:color="auto"/>
        <w:left w:val="none" w:sz="0" w:space="0" w:color="auto"/>
        <w:bottom w:val="none" w:sz="0" w:space="0" w:color="auto"/>
        <w:right w:val="none" w:sz="0" w:space="0" w:color="auto"/>
      </w:divBdr>
    </w:div>
    <w:div w:id="1884753020">
      <w:bodyDiv w:val="1"/>
      <w:marLeft w:val="0"/>
      <w:marRight w:val="0"/>
      <w:marTop w:val="0"/>
      <w:marBottom w:val="0"/>
      <w:divBdr>
        <w:top w:val="none" w:sz="0" w:space="0" w:color="auto"/>
        <w:left w:val="none" w:sz="0" w:space="0" w:color="auto"/>
        <w:bottom w:val="none" w:sz="0" w:space="0" w:color="auto"/>
        <w:right w:val="none" w:sz="0" w:space="0" w:color="auto"/>
      </w:divBdr>
    </w:div>
    <w:div w:id="1889295408">
      <w:bodyDiv w:val="1"/>
      <w:marLeft w:val="0"/>
      <w:marRight w:val="0"/>
      <w:marTop w:val="0"/>
      <w:marBottom w:val="0"/>
      <w:divBdr>
        <w:top w:val="none" w:sz="0" w:space="0" w:color="auto"/>
        <w:left w:val="none" w:sz="0" w:space="0" w:color="auto"/>
        <w:bottom w:val="none" w:sz="0" w:space="0" w:color="auto"/>
        <w:right w:val="none" w:sz="0" w:space="0" w:color="auto"/>
      </w:divBdr>
      <w:divsChild>
        <w:div w:id="105587367">
          <w:marLeft w:val="547"/>
          <w:marRight w:val="0"/>
          <w:marTop w:val="120"/>
          <w:marBottom w:val="120"/>
          <w:divBdr>
            <w:top w:val="none" w:sz="0" w:space="0" w:color="auto"/>
            <w:left w:val="none" w:sz="0" w:space="0" w:color="auto"/>
            <w:bottom w:val="none" w:sz="0" w:space="0" w:color="auto"/>
            <w:right w:val="none" w:sz="0" w:space="0" w:color="auto"/>
          </w:divBdr>
        </w:div>
        <w:div w:id="1645618355">
          <w:marLeft w:val="547"/>
          <w:marRight w:val="0"/>
          <w:marTop w:val="120"/>
          <w:marBottom w:val="120"/>
          <w:divBdr>
            <w:top w:val="none" w:sz="0" w:space="0" w:color="auto"/>
            <w:left w:val="none" w:sz="0" w:space="0" w:color="auto"/>
            <w:bottom w:val="none" w:sz="0" w:space="0" w:color="auto"/>
            <w:right w:val="none" w:sz="0" w:space="0" w:color="auto"/>
          </w:divBdr>
        </w:div>
      </w:divsChild>
    </w:div>
    <w:div w:id="1905984878">
      <w:bodyDiv w:val="1"/>
      <w:marLeft w:val="0"/>
      <w:marRight w:val="0"/>
      <w:marTop w:val="0"/>
      <w:marBottom w:val="0"/>
      <w:divBdr>
        <w:top w:val="none" w:sz="0" w:space="0" w:color="auto"/>
        <w:left w:val="none" w:sz="0" w:space="0" w:color="auto"/>
        <w:bottom w:val="none" w:sz="0" w:space="0" w:color="auto"/>
        <w:right w:val="none" w:sz="0" w:space="0" w:color="auto"/>
      </w:divBdr>
    </w:div>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19214">
      <w:bodyDiv w:val="1"/>
      <w:marLeft w:val="0"/>
      <w:marRight w:val="0"/>
      <w:marTop w:val="0"/>
      <w:marBottom w:val="0"/>
      <w:divBdr>
        <w:top w:val="none" w:sz="0" w:space="0" w:color="auto"/>
        <w:left w:val="none" w:sz="0" w:space="0" w:color="auto"/>
        <w:bottom w:val="none" w:sz="0" w:space="0" w:color="auto"/>
        <w:right w:val="none" w:sz="0" w:space="0" w:color="auto"/>
      </w:divBdr>
    </w:div>
    <w:div w:id="1959488113">
      <w:bodyDiv w:val="1"/>
      <w:marLeft w:val="0"/>
      <w:marRight w:val="0"/>
      <w:marTop w:val="0"/>
      <w:marBottom w:val="0"/>
      <w:divBdr>
        <w:top w:val="none" w:sz="0" w:space="0" w:color="auto"/>
        <w:left w:val="none" w:sz="0" w:space="0" w:color="auto"/>
        <w:bottom w:val="none" w:sz="0" w:space="0" w:color="auto"/>
        <w:right w:val="none" w:sz="0" w:space="0" w:color="auto"/>
      </w:divBdr>
    </w:div>
    <w:div w:id="1972907198">
      <w:bodyDiv w:val="1"/>
      <w:marLeft w:val="0"/>
      <w:marRight w:val="0"/>
      <w:marTop w:val="0"/>
      <w:marBottom w:val="0"/>
      <w:divBdr>
        <w:top w:val="none" w:sz="0" w:space="0" w:color="auto"/>
        <w:left w:val="none" w:sz="0" w:space="0" w:color="auto"/>
        <w:bottom w:val="none" w:sz="0" w:space="0" w:color="auto"/>
        <w:right w:val="none" w:sz="0" w:space="0" w:color="auto"/>
      </w:divBdr>
    </w:div>
    <w:div w:id="2133666194">
      <w:bodyDiv w:val="1"/>
      <w:marLeft w:val="0"/>
      <w:marRight w:val="0"/>
      <w:marTop w:val="0"/>
      <w:marBottom w:val="0"/>
      <w:divBdr>
        <w:top w:val="none" w:sz="0" w:space="0" w:color="auto"/>
        <w:left w:val="none" w:sz="0" w:space="0" w:color="auto"/>
        <w:bottom w:val="none" w:sz="0" w:space="0" w:color="auto"/>
        <w:right w:val="none" w:sz="0" w:space="0" w:color="auto"/>
      </w:divBdr>
    </w:div>
    <w:div w:id="21337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2K19SRV\AUDfIT_Redaktion\AUD_61_Ablauforganisation\AUD_QMA_61_G_Redaktionsarbeit\_1%20Handbuch\AUD_61_G_Redaktionsarbeit%20FORTLAUFEND\G_4._Skriptentwicklung\G_4._ANLAGENBAND\_320_Muster_JAE-JAP_Sachverhalt,%20Fr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A0AE768A-F817-4CA5-912D-CDDED8DD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_320_Muster_JAE-JAP_Sachverhalt, Frage</Template>
  <TotalTime>0</TotalTime>
  <Pages>6</Pages>
  <Words>1603</Words>
  <Characters>11051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Klein, Paula - LÖSLE</dc:creator>
  <cp:lastModifiedBy>Sauer, Timo - LÖSLE</cp:lastModifiedBy>
  <cp:revision>48</cp:revision>
  <cp:lastPrinted>2024-08-08T14:41:00Z</cp:lastPrinted>
  <dcterms:created xsi:type="dcterms:W3CDTF">2024-06-18T10:06:00Z</dcterms:created>
  <dcterms:modified xsi:type="dcterms:W3CDTF">2024-09-16T12:48:00Z</dcterms:modified>
</cp:coreProperties>
</file>