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F1C5"/>
        <w:tblLook w:val="04A0" w:firstRow="1" w:lastRow="0" w:firstColumn="1" w:lastColumn="0" w:noHBand="0" w:noVBand="1"/>
      </w:tblPr>
      <w:tblGrid>
        <w:gridCol w:w="8648"/>
        <w:gridCol w:w="424"/>
      </w:tblGrid>
      <w:tr w:rsidR="00AF76A2" w:rsidRPr="000503CF" w:rsidTr="00A307D5">
        <w:trPr>
          <w:cantSplit/>
          <w:trHeight w:val="830"/>
        </w:trPr>
        <w:tc>
          <w:tcPr>
            <w:tcW w:w="8648" w:type="dxa"/>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AF4845">
              <w:rPr>
                <w:rFonts w:ascii="Century Gothic" w:hAnsi="Century Gothic"/>
                <w:color w:val="228B22"/>
                <w:sz w:val="28"/>
              </w:rPr>
              <w:t>E1-</w:t>
            </w:r>
            <w:r w:rsidR="0032544F">
              <w:rPr>
                <w:rFonts w:ascii="Century Gothic" w:hAnsi="Century Gothic"/>
                <w:color w:val="228B22"/>
                <w:sz w:val="28"/>
              </w:rPr>
              <w:t>6</w:t>
            </w:r>
            <w:r w:rsidR="00AF4845">
              <w:rPr>
                <w:rFonts w:ascii="Century Gothic" w:hAnsi="Century Gothic"/>
                <w:color w:val="228B22"/>
                <w:sz w:val="28"/>
              </w:rPr>
              <w:t xml:space="preserve"> – </w:t>
            </w:r>
            <w:r w:rsidR="0032544F">
              <w:rPr>
                <w:rFonts w:ascii="Century Gothic" w:hAnsi="Century Gothic"/>
                <w:color w:val="228B22"/>
                <w:sz w:val="28"/>
              </w:rPr>
              <w:t xml:space="preserve">THG-Bruttoemissionen der Kategorien </w:t>
            </w:r>
            <w:proofErr w:type="spellStart"/>
            <w:r w:rsidR="0032544F">
              <w:rPr>
                <w:rFonts w:ascii="Century Gothic" w:hAnsi="Century Gothic"/>
                <w:color w:val="228B22"/>
                <w:sz w:val="28"/>
              </w:rPr>
              <w:t>Scope</w:t>
            </w:r>
            <w:proofErr w:type="spellEnd"/>
            <w:r w:rsidR="0032544F">
              <w:rPr>
                <w:rFonts w:ascii="Century Gothic" w:hAnsi="Century Gothic"/>
                <w:color w:val="228B22"/>
                <w:sz w:val="28"/>
              </w:rPr>
              <w:t xml:space="preserve"> 1, 2 und 3 sowie THG-Gesamtemissionen </w:t>
            </w:r>
          </w:p>
        </w:tc>
        <w:tc>
          <w:tcPr>
            <w:tcW w:w="424" w:type="dxa"/>
            <w:shd w:val="clear" w:color="auto" w:fill="C5F1C5"/>
            <w:textDirection w:val="btLr"/>
            <w:vAlign w:val="center"/>
          </w:tcPr>
          <w:p w:rsidR="00AF76A2" w:rsidRPr="006615CE" w:rsidRDefault="00A62C9B" w:rsidP="00AF76A2">
            <w:pPr>
              <w:pStyle w:val="berschrift1"/>
              <w:numPr>
                <w:ilvl w:val="0"/>
                <w:numId w:val="0"/>
              </w:numPr>
              <w:ind w:left="113" w:right="113"/>
              <w:jc w:val="center"/>
              <w:rPr>
                <w:rFonts w:ascii="Century Gothic" w:hAnsi="Century Gothic"/>
                <w:b w:val="0"/>
                <w:sz w:val="12"/>
                <w:szCs w:val="12"/>
              </w:rPr>
            </w:pPr>
            <w:r w:rsidRPr="006615CE">
              <w:rPr>
                <w:rFonts w:ascii="Century Gothic" w:hAnsi="Century Gothic"/>
                <w:b w:val="0"/>
                <w:color w:val="FF0000"/>
                <w:sz w:val="12"/>
                <w:szCs w:val="12"/>
              </w:rPr>
              <w:t>0</w:t>
            </w:r>
            <w:r w:rsidR="007F60A5">
              <w:rPr>
                <w:rFonts w:ascii="Century Gothic" w:hAnsi="Century Gothic"/>
                <w:b w:val="0"/>
                <w:color w:val="FF0000"/>
                <w:sz w:val="12"/>
                <w:szCs w:val="12"/>
              </w:rPr>
              <w:t>8</w:t>
            </w:r>
            <w:r w:rsidRPr="006615CE">
              <w:rPr>
                <w:rFonts w:ascii="Century Gothic" w:hAnsi="Century Gothic"/>
                <w:b w:val="0"/>
                <w:color w:val="FF0000"/>
                <w:sz w:val="12"/>
                <w:szCs w:val="12"/>
              </w:rPr>
              <w:t>/2024</w:t>
            </w:r>
          </w:p>
        </w:tc>
      </w:tr>
    </w:tbl>
    <w:p w:rsidR="00666AFB" w:rsidRDefault="00666AFB" w:rsidP="00A307D5">
      <w:pPr>
        <w:spacing w:before="0"/>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8"/>
        <w:gridCol w:w="6237"/>
        <w:gridCol w:w="420"/>
        <w:gridCol w:w="714"/>
        <w:gridCol w:w="713"/>
      </w:tblGrid>
      <w:tr w:rsidR="00A307D5" w:rsidTr="00CD22D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C5F1C5"/>
          </w:tcPr>
          <w:p w:rsidR="00A307D5" w:rsidRPr="00125DE7" w:rsidRDefault="00A307D5" w:rsidP="006615CE">
            <w:pPr>
              <w:spacing w:before="0"/>
              <w:contextualSpacing/>
              <w:rPr>
                <w:color w:val="000000" w:themeColor="text1"/>
                <w:sz w:val="20"/>
                <w:szCs w:val="20"/>
              </w:rPr>
            </w:pPr>
            <w:bookmarkStart w:id="0" w:name="_Hlk168988876"/>
            <w:r w:rsidRPr="00125DE7">
              <w:rPr>
                <w:color w:val="000000" w:themeColor="text1"/>
                <w:sz w:val="20"/>
                <w:szCs w:val="20"/>
              </w:rPr>
              <w:t>E1-6</w:t>
            </w:r>
          </w:p>
        </w:tc>
        <w:tc>
          <w:tcPr>
            <w:tcW w:w="6657" w:type="dxa"/>
            <w:gridSpan w:val="2"/>
            <w:tcBorders>
              <w:top w:val="none" w:sz="0" w:space="0" w:color="auto"/>
              <w:left w:val="none" w:sz="0" w:space="0" w:color="auto"/>
              <w:bottom w:val="none" w:sz="0" w:space="0" w:color="auto"/>
              <w:right w:val="none" w:sz="0" w:space="0" w:color="auto"/>
            </w:tcBorders>
            <w:shd w:val="clear" w:color="auto" w:fill="C5F1C5"/>
          </w:tcPr>
          <w:p w:rsidR="00A307D5" w:rsidRPr="00125DE7" w:rsidRDefault="00A307D5" w:rsidP="006615CE">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5DE7">
              <w:rPr>
                <w:color w:val="auto"/>
                <w:sz w:val="20"/>
                <w:szCs w:val="20"/>
              </w:rPr>
              <w:t xml:space="preserve">THG-Bruttoemissionen der Kategorien </w:t>
            </w:r>
            <w:proofErr w:type="spellStart"/>
            <w:r w:rsidRPr="00125DE7">
              <w:rPr>
                <w:color w:val="auto"/>
                <w:sz w:val="20"/>
                <w:szCs w:val="20"/>
              </w:rPr>
              <w:t>Scope</w:t>
            </w:r>
            <w:proofErr w:type="spellEnd"/>
            <w:r w:rsidRPr="00125DE7">
              <w:rPr>
                <w:color w:val="auto"/>
                <w:sz w:val="20"/>
                <w:szCs w:val="20"/>
              </w:rPr>
              <w:t xml:space="preserve"> 1, 2 und 3 sowie THG-Gesamtemissionen</w:t>
            </w:r>
          </w:p>
        </w:tc>
        <w:tc>
          <w:tcPr>
            <w:tcW w:w="714" w:type="dxa"/>
            <w:tcBorders>
              <w:top w:val="none" w:sz="0" w:space="0" w:color="auto"/>
              <w:left w:val="none" w:sz="0" w:space="0" w:color="auto"/>
              <w:bottom w:val="none" w:sz="0" w:space="0" w:color="auto"/>
              <w:right w:val="none" w:sz="0" w:space="0" w:color="auto"/>
            </w:tcBorders>
            <w:shd w:val="clear" w:color="auto" w:fill="auto"/>
          </w:tcPr>
          <w:p w:rsidR="00A307D5" w:rsidRPr="003C0F68" w:rsidRDefault="00A307D5" w:rsidP="006615CE">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A307D5" w:rsidRPr="00C04682" w:rsidRDefault="005E385A" w:rsidP="006615CE">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25</w:t>
            </w:r>
          </w:p>
        </w:tc>
      </w:tr>
      <w:tr w:rsidR="00A307D5" w:rsidRPr="00122B7B" w:rsidTr="00CD22DE">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auto"/>
            <w:vAlign w:val="center"/>
          </w:tcPr>
          <w:p w:rsidR="00A307D5" w:rsidRPr="007B3E4C" w:rsidRDefault="00A307D5" w:rsidP="006615CE">
            <w:pPr>
              <w:spacing w:before="0"/>
              <w:contextualSpacing/>
              <w:jc w:val="left"/>
              <w:rPr>
                <w:color w:val="000000" w:themeColor="text1"/>
                <w:sz w:val="2"/>
                <w:szCs w:val="2"/>
              </w:rPr>
            </w:pPr>
          </w:p>
        </w:tc>
      </w:tr>
      <w:bookmarkEnd w:id="0"/>
      <w:tr w:rsidR="00A307D5" w:rsidRPr="00122B7B" w:rsidTr="00CD22DE">
        <w:tblPrEx>
          <w:shd w:val="clear" w:color="auto" w:fill="auto"/>
        </w:tblPrEx>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D9D9D9" w:themeFill="background1" w:themeFillShade="D9"/>
            <w:vAlign w:val="center"/>
          </w:tcPr>
          <w:p w:rsidR="00A307D5" w:rsidRPr="00122B7B" w:rsidRDefault="00A307D5" w:rsidP="006615CE">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A307D5" w:rsidRPr="00122B7B" w:rsidTr="007B3E4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9072" w:type="dxa"/>
            <w:gridSpan w:val="5"/>
            <w:shd w:val="clear" w:color="auto" w:fill="auto"/>
            <w:vAlign w:val="center"/>
          </w:tcPr>
          <w:p w:rsidR="00A307D5" w:rsidRPr="007B3E4C" w:rsidRDefault="00A307D5" w:rsidP="006615CE">
            <w:pPr>
              <w:spacing w:before="0"/>
              <w:contextualSpacing/>
              <w:jc w:val="left"/>
              <w:rPr>
                <w:color w:val="000000" w:themeColor="text1"/>
                <w:sz w:val="2"/>
                <w:szCs w:val="2"/>
              </w:rPr>
            </w:pPr>
          </w:p>
        </w:tc>
      </w:tr>
      <w:tr w:rsidR="00CF6E18" w:rsidRPr="00CF6E18" w:rsidTr="00CD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nil"/>
              <w:left w:val="single" w:sz="4" w:space="0" w:color="auto"/>
              <w:bottom w:val="single" w:sz="4" w:space="0" w:color="auto"/>
              <w:right w:val="single" w:sz="4" w:space="0" w:color="auto"/>
            </w:tcBorders>
            <w:shd w:val="clear" w:color="auto" w:fill="228B22"/>
            <w:vAlign w:val="center"/>
          </w:tcPr>
          <w:p w:rsidR="0047207E" w:rsidRPr="00CF6E18" w:rsidRDefault="0047207E" w:rsidP="006615CE">
            <w:pPr>
              <w:spacing w:before="0"/>
              <w:contextualSpacing/>
              <w:jc w:val="center"/>
              <w:rPr>
                <w:color w:val="FFFFFF" w:themeColor="background1"/>
                <w:sz w:val="20"/>
                <w:szCs w:val="20"/>
              </w:rPr>
            </w:pPr>
            <w:r w:rsidRPr="00CF6E18">
              <w:rPr>
                <w:color w:val="FFFFFF" w:themeColor="background1"/>
                <w:sz w:val="20"/>
                <w:szCs w:val="20"/>
              </w:rPr>
              <w:t>Quelle ESRS E1</w:t>
            </w:r>
          </w:p>
        </w:tc>
        <w:tc>
          <w:tcPr>
            <w:tcW w:w="6237" w:type="dxa"/>
            <w:tcBorders>
              <w:top w:val="nil"/>
              <w:left w:val="single" w:sz="4" w:space="0" w:color="auto"/>
              <w:bottom w:val="single" w:sz="4" w:space="0" w:color="auto"/>
              <w:right w:val="single" w:sz="4" w:space="0" w:color="auto"/>
            </w:tcBorders>
            <w:shd w:val="clear" w:color="auto" w:fill="228B22"/>
            <w:vAlign w:val="center"/>
          </w:tcPr>
          <w:p w:rsidR="0047207E" w:rsidRPr="00CF6E18" w:rsidRDefault="00D94808" w:rsidP="006615C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F6E18">
              <w:rPr>
                <w:b/>
                <w:color w:val="FFFFFF" w:themeColor="background1"/>
                <w:sz w:val="20"/>
                <w:szCs w:val="20"/>
              </w:rPr>
              <w:t>Parameter und Ziele</w:t>
            </w:r>
          </w:p>
        </w:tc>
        <w:tc>
          <w:tcPr>
            <w:tcW w:w="1847" w:type="dxa"/>
            <w:gridSpan w:val="3"/>
            <w:tcBorders>
              <w:top w:val="nil"/>
              <w:left w:val="single" w:sz="4" w:space="0" w:color="auto"/>
              <w:bottom w:val="single" w:sz="4" w:space="0" w:color="auto"/>
              <w:right w:val="single" w:sz="4" w:space="0" w:color="auto"/>
            </w:tcBorders>
            <w:shd w:val="clear" w:color="auto" w:fill="228B22"/>
            <w:vAlign w:val="center"/>
          </w:tcPr>
          <w:p w:rsidR="0047207E" w:rsidRPr="00CF6E18" w:rsidRDefault="0047207E" w:rsidP="006615C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CF6E18">
              <w:rPr>
                <w:b/>
                <w:color w:val="FFFFFF" w:themeColor="background1"/>
                <w:sz w:val="16"/>
                <w:szCs w:val="16"/>
              </w:rPr>
              <w:t>Bemerkungen, ggf. Verweis auf Datenpunkte</w:t>
            </w:r>
          </w:p>
        </w:tc>
      </w:tr>
      <w:tr w:rsidR="0047207E" w:rsidRPr="000E0C5F" w:rsidTr="00CD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6615CE">
            <w:pPr>
              <w:spacing w:before="0"/>
              <w:contextualSpacing/>
              <w:jc w:val="center"/>
              <w:rPr>
                <w:sz w:val="16"/>
                <w:szCs w:val="16"/>
              </w:rPr>
            </w:pPr>
            <w:r w:rsidRPr="006615CE">
              <w:rPr>
                <w:color w:val="000000" w:themeColor="text1"/>
                <w:sz w:val="16"/>
                <w:szCs w:val="16"/>
              </w:rPr>
              <w:t xml:space="preserve">Tz. </w:t>
            </w:r>
            <w:r w:rsidR="0086179F" w:rsidRPr="006615CE">
              <w:rPr>
                <w:color w:val="000000" w:themeColor="text1"/>
                <w:sz w:val="16"/>
                <w:szCs w:val="16"/>
              </w:rPr>
              <w:t>44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6179F" w:rsidRPr="006615CE" w:rsidRDefault="0086179F" w:rsidP="006615C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86179F">
              <w:rPr>
                <w:rFonts w:ascii="Century Gothic" w:hAnsi="Century Gothic"/>
                <w:b/>
                <w:bCs/>
                <w:sz w:val="16"/>
                <w:szCs w:val="16"/>
              </w:rPr>
              <w:t xml:space="preserve">Das Unternehmen </w:t>
            </w:r>
            <w:r w:rsidRPr="00D23B84">
              <w:rPr>
                <w:rFonts w:ascii="Century Gothic" w:hAnsi="Century Gothic"/>
                <w:b/>
                <w:bCs/>
                <w:sz w:val="16"/>
                <w:szCs w:val="16"/>
                <w:highlight w:val="yellow"/>
              </w:rPr>
              <w:t>hat</w:t>
            </w:r>
            <w:r w:rsidRPr="0086179F">
              <w:rPr>
                <w:rFonts w:ascii="Century Gothic" w:hAnsi="Century Gothic"/>
                <w:b/>
                <w:bCs/>
                <w:sz w:val="16"/>
                <w:szCs w:val="16"/>
              </w:rPr>
              <w:t xml:space="preserve"> Folgendes in Tonnen CO</w:t>
            </w:r>
            <w:r w:rsidRPr="00396E62">
              <w:rPr>
                <w:rFonts w:ascii="Century Gothic" w:hAnsi="Century Gothic"/>
                <w:b/>
                <w:bCs/>
                <w:sz w:val="16"/>
                <w:szCs w:val="16"/>
                <w:vertAlign w:val="subscript"/>
              </w:rPr>
              <w:t>2</w:t>
            </w:r>
            <w:r w:rsidRPr="0086179F">
              <w:rPr>
                <w:rFonts w:ascii="Century Gothic" w:hAnsi="Century Gothic"/>
                <w:b/>
                <w:bCs/>
                <w:sz w:val="16"/>
                <w:szCs w:val="16"/>
              </w:rPr>
              <w:t>-Äquivalent anzugeben:</w:t>
            </w:r>
            <w:r w:rsidR="006615CE" w:rsidRPr="006615CE">
              <w:rPr>
                <w:rStyle w:val="Funotenzeichen"/>
                <w:rFonts w:ascii="Century Gothic" w:hAnsi="Century Gothic"/>
                <w:b/>
                <w:bCs/>
                <w:sz w:val="16"/>
              </w:rPr>
              <w:footnoteReference w:id="1"/>
            </w:r>
          </w:p>
          <w:p w:rsidR="0086179F" w:rsidRPr="0086179F" w:rsidRDefault="0086179F" w:rsidP="00CD2B7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86179F">
              <w:rPr>
                <w:rFonts w:ascii="Century Gothic" w:hAnsi="Century Gothic"/>
                <w:b/>
                <w:bCs/>
                <w:sz w:val="16"/>
                <w:szCs w:val="16"/>
              </w:rPr>
              <w:t>seine Scope-1-THG-Bruttoemissionen,</w:t>
            </w:r>
          </w:p>
          <w:p w:rsidR="0086179F" w:rsidRPr="0086179F" w:rsidRDefault="0086179F" w:rsidP="00CD2B7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86179F">
              <w:rPr>
                <w:rFonts w:ascii="Century Gothic" w:hAnsi="Century Gothic"/>
                <w:b/>
                <w:bCs/>
                <w:sz w:val="16"/>
                <w:szCs w:val="16"/>
              </w:rPr>
              <w:t>seine Scope-2-THG-Bruttoemissionen,</w:t>
            </w:r>
          </w:p>
          <w:p w:rsidR="0086179F" w:rsidRPr="0086179F" w:rsidRDefault="0086179F" w:rsidP="00CD2B7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86179F">
              <w:rPr>
                <w:rFonts w:ascii="Century Gothic" w:hAnsi="Century Gothic"/>
                <w:b/>
                <w:bCs/>
                <w:sz w:val="16"/>
                <w:szCs w:val="16"/>
              </w:rPr>
              <w:t>seine Scope-3-THG-Bruttoemissionen und</w:t>
            </w:r>
          </w:p>
          <w:p w:rsidR="0047207E" w:rsidRPr="0086179F" w:rsidRDefault="0086179F" w:rsidP="00CD2B7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86179F">
              <w:rPr>
                <w:rFonts w:ascii="Century Gothic" w:hAnsi="Century Gothic"/>
                <w:b/>
                <w:bCs/>
                <w:sz w:val="16"/>
                <w:szCs w:val="16"/>
              </w:rPr>
              <w:t>seine THG-Gesamtemissionen.</w:t>
            </w:r>
          </w:p>
        </w:tc>
        <w:tc>
          <w:tcPr>
            <w:tcW w:w="1847" w:type="dxa"/>
            <w:gridSpan w:val="3"/>
            <w:tcBorders>
              <w:top w:val="single" w:sz="4" w:space="0" w:color="auto"/>
              <w:left w:val="single" w:sz="4" w:space="0" w:color="auto"/>
              <w:bottom w:val="single" w:sz="4" w:space="0" w:color="auto"/>
              <w:right w:val="single" w:sz="4" w:space="0" w:color="auto"/>
            </w:tcBorders>
            <w:shd w:val="clear" w:color="auto" w:fill="auto"/>
          </w:tcPr>
          <w:p w:rsidR="0047207E" w:rsidRPr="000E0C5F" w:rsidRDefault="00D23B84" w:rsidP="006615CE">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r>
              <w:rPr>
                <w:noProof/>
                <w:sz w:val="20"/>
              </w:rPr>
              <mc:AlternateContent>
                <mc:Choice Requires="wps">
                  <w:drawing>
                    <wp:anchor distT="0" distB="0" distL="114300" distR="114300" simplePos="0" relativeHeight="251659264" behindDoc="0" locked="0" layoutInCell="1" allowOverlap="1" wp14:anchorId="71231DA8" wp14:editId="6B35A6F2">
                      <wp:simplePos x="0" y="0"/>
                      <wp:positionH relativeFrom="column">
                        <wp:posOffset>227326</wp:posOffset>
                      </wp:positionH>
                      <wp:positionV relativeFrom="paragraph">
                        <wp:posOffset>125633</wp:posOffset>
                      </wp:positionV>
                      <wp:extent cx="1003935" cy="375285"/>
                      <wp:effectExtent l="247650" t="0" r="5715" b="5715"/>
                      <wp:wrapNone/>
                      <wp:docPr id="4" name="Sprechblase: rechteckig 4"/>
                      <wp:cNvGraphicFramePr/>
                      <a:graphic xmlns:a="http://schemas.openxmlformats.org/drawingml/2006/main">
                        <a:graphicData uri="http://schemas.microsoft.com/office/word/2010/wordprocessingShape">
                          <wps:wsp>
                            <wps:cNvSpPr/>
                            <wps:spPr>
                              <a:xfrm>
                                <a:off x="0" y="0"/>
                                <a:ext cx="1003935" cy="375285"/>
                              </a:xfrm>
                              <a:prstGeom prst="wedgeRectCallout">
                                <a:avLst>
                                  <a:gd name="adj1" fmla="val -72906"/>
                                  <a:gd name="adj2" fmla="val -3913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B84" w:rsidRPr="00E94F04" w:rsidRDefault="00D23B84" w:rsidP="00D23B84">
                                  <w:pPr>
                                    <w:spacing w:before="0"/>
                                    <w:jc w:val="center"/>
                                    <w:rPr>
                                      <w:b/>
                                      <w:color w:val="000000" w:themeColor="text1"/>
                                      <w:sz w:val="15"/>
                                      <w:szCs w:val="15"/>
                                    </w:rPr>
                                  </w:pPr>
                                  <w:r>
                                    <w:rPr>
                                      <w:b/>
                                      <w:color w:val="000000" w:themeColor="text1"/>
                                      <w:sz w:val="15"/>
                                      <w:szCs w:val="15"/>
                                    </w:rPr>
                                    <w:t>4 Pflichtangaben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31D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4" o:spid="_x0000_s1026" type="#_x0000_t61" style="position:absolute;left:0;text-align:left;margin-left:17.9pt;margin-top:9.9pt;width:79.0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" adj="-4948,2347" fillcolor="#d8d8d8 [2732]" stroked="f" strokeweight="2pt">
                      <v:textbox>
                        <w:txbxContent>
                          <w:p w:rsidR="00D23B84" w:rsidRPr="00E94F04" w:rsidRDefault="00D23B84" w:rsidP="00D23B84">
                            <w:pPr>
                              <w:spacing w:before="0"/>
                              <w:jc w:val="center"/>
                              <w:rPr>
                                <w:b/>
                                <w:color w:val="000000" w:themeColor="text1"/>
                                <w:sz w:val="15"/>
                                <w:szCs w:val="15"/>
                              </w:rPr>
                            </w:pPr>
                            <w:r>
                              <w:rPr>
                                <w:b/>
                                <w:color w:val="000000" w:themeColor="text1"/>
                                <w:sz w:val="15"/>
                                <w:szCs w:val="15"/>
                              </w:rPr>
                              <w:t>4 Pflichtangaben</w:t>
                            </w:r>
                          </w:p>
                        </w:txbxContent>
                      </v:textbox>
                    </v:shape>
                  </w:pict>
                </mc:Fallback>
              </mc:AlternateContent>
            </w:r>
          </w:p>
        </w:tc>
      </w:tr>
      <w:tr w:rsidR="0047207E" w:rsidRPr="000E0C5F" w:rsidTr="00CD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C5F1C5"/>
          </w:tcPr>
          <w:p w:rsidR="0047207E" w:rsidRPr="0015165A" w:rsidRDefault="0047207E" w:rsidP="006615CE">
            <w:pPr>
              <w:spacing w:before="0"/>
              <w:contextualSpacing/>
              <w:jc w:val="center"/>
              <w:rPr>
                <w:sz w:val="16"/>
                <w:szCs w:val="16"/>
              </w:rPr>
            </w:pPr>
            <w:r w:rsidRPr="0015165A">
              <w:rPr>
                <w:sz w:val="16"/>
                <w:szCs w:val="16"/>
              </w:rPr>
              <w:t xml:space="preserve">Tz. </w:t>
            </w:r>
            <w:r w:rsidR="00A76B51">
              <w:rPr>
                <w:sz w:val="16"/>
                <w:szCs w:val="16"/>
              </w:rPr>
              <w:t>45</w:t>
            </w:r>
          </w:p>
        </w:tc>
        <w:tc>
          <w:tcPr>
            <w:tcW w:w="6237" w:type="dxa"/>
            <w:tcBorders>
              <w:top w:val="single" w:sz="4" w:space="0" w:color="auto"/>
            </w:tcBorders>
            <w:shd w:val="clear" w:color="auto" w:fill="auto"/>
          </w:tcPr>
          <w:p w:rsidR="00A76B51" w:rsidRPr="00A76B51" w:rsidRDefault="00A76B51" w:rsidP="006615C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Ziel der </w:t>
            </w:r>
            <w:proofErr w:type="spellStart"/>
            <w:r w:rsidRPr="00A76B51">
              <w:rPr>
                <w:rFonts w:ascii="Century Gothic" w:hAnsi="Century Gothic"/>
                <w:sz w:val="16"/>
                <w:szCs w:val="16"/>
              </w:rPr>
              <w:t>Angabepflicht</w:t>
            </w:r>
            <w:proofErr w:type="spellEnd"/>
            <w:r w:rsidRPr="00A76B51">
              <w:rPr>
                <w:rFonts w:ascii="Century Gothic" w:hAnsi="Century Gothic"/>
                <w:sz w:val="16"/>
                <w:szCs w:val="16"/>
              </w:rPr>
              <w:t xml:space="preserve"> gemäß Absatz 44 ist es,</w:t>
            </w:r>
          </w:p>
          <w:p w:rsidR="00A76B51" w:rsidRPr="00A76B51" w:rsidRDefault="00A76B51" w:rsidP="00CD2B7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hinsichtlich der </w:t>
            </w:r>
            <w:r w:rsidRPr="00D23B84">
              <w:rPr>
                <w:rFonts w:ascii="Century Gothic" w:hAnsi="Century Gothic"/>
                <w:b/>
                <w:bCs/>
                <w:sz w:val="16"/>
                <w:szCs w:val="16"/>
                <w:highlight w:val="yellow"/>
              </w:rPr>
              <w:t>Scope-1-THG-Bruttoemissionen</w:t>
            </w:r>
            <w:r w:rsidRPr="00A76B51">
              <w:rPr>
                <w:rFonts w:ascii="Century Gothic" w:hAnsi="Century Gothic"/>
                <w:b/>
                <w:bCs/>
                <w:sz w:val="16"/>
                <w:szCs w:val="16"/>
              </w:rPr>
              <w:t xml:space="preserve"> </w:t>
            </w:r>
            <w:r w:rsidRPr="00A76B51">
              <w:rPr>
                <w:rFonts w:ascii="Century Gothic" w:hAnsi="Century Gothic"/>
                <w:sz w:val="16"/>
                <w:szCs w:val="16"/>
              </w:rPr>
              <w:t xml:space="preserve">nach Absatz 44 Buchstabe a ein Verständnis über die </w:t>
            </w:r>
            <w:r w:rsidRPr="00D23B84">
              <w:rPr>
                <w:rFonts w:ascii="Century Gothic" w:hAnsi="Century Gothic"/>
                <w:sz w:val="16"/>
                <w:szCs w:val="16"/>
                <w:highlight w:val="yellow"/>
              </w:rPr>
              <w:t>direkten Auswirkungen</w:t>
            </w:r>
            <w:r w:rsidRPr="00A76B51">
              <w:rPr>
                <w:rFonts w:ascii="Century Gothic" w:hAnsi="Century Gothic"/>
                <w:sz w:val="16"/>
                <w:szCs w:val="16"/>
              </w:rPr>
              <w:t xml:space="preserve"> des Unternehmens auf den Klimawandel und den Anteil seiner THG-Gesamtemissionen, die im Rahmen von Emissionshandelssystemen reguliert werden, zu vermitteln,</w:t>
            </w:r>
          </w:p>
          <w:p w:rsidR="00A76B51" w:rsidRPr="00A76B51" w:rsidRDefault="00A76B51" w:rsidP="00CD2B7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hinsichtlich der </w:t>
            </w:r>
            <w:r w:rsidRPr="00D23B84">
              <w:rPr>
                <w:rFonts w:ascii="Century Gothic" w:hAnsi="Century Gothic"/>
                <w:b/>
                <w:bCs/>
                <w:sz w:val="16"/>
                <w:szCs w:val="16"/>
                <w:highlight w:val="yellow"/>
              </w:rPr>
              <w:t>Scope-2-THG-Bruttoemissionen</w:t>
            </w:r>
            <w:r w:rsidRPr="00A76B51">
              <w:rPr>
                <w:rFonts w:ascii="Century Gothic" w:hAnsi="Century Gothic"/>
                <w:b/>
                <w:bCs/>
                <w:sz w:val="16"/>
                <w:szCs w:val="16"/>
              </w:rPr>
              <w:t xml:space="preserve"> </w:t>
            </w:r>
            <w:r w:rsidRPr="00A76B51">
              <w:rPr>
                <w:rFonts w:ascii="Century Gothic" w:hAnsi="Century Gothic"/>
                <w:sz w:val="16"/>
                <w:szCs w:val="16"/>
              </w:rPr>
              <w:t xml:space="preserve">nach Absatz 44 Buchstabe b ein Verständnis über die </w:t>
            </w:r>
            <w:r w:rsidRPr="00D23B84">
              <w:rPr>
                <w:rFonts w:ascii="Century Gothic" w:hAnsi="Century Gothic"/>
                <w:sz w:val="16"/>
                <w:szCs w:val="16"/>
                <w:highlight w:val="yellow"/>
              </w:rPr>
              <w:t>indirekten Auswirkungen</w:t>
            </w:r>
            <w:r w:rsidRPr="00A76B51">
              <w:rPr>
                <w:rFonts w:ascii="Century Gothic" w:hAnsi="Century Gothic"/>
                <w:sz w:val="16"/>
                <w:szCs w:val="16"/>
              </w:rPr>
              <w:t xml:space="preserve"> auf den Klimawandel zu vermitteln, die durch die vom Unternehmen verbrauchte extern erworbene oder erhaltene Energie verursacht werden,</w:t>
            </w:r>
          </w:p>
          <w:p w:rsidR="00A76B51" w:rsidRPr="00A76B51" w:rsidRDefault="00A76B51" w:rsidP="00CD2B7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hinsichtlich der </w:t>
            </w:r>
            <w:r w:rsidRPr="00D23B84">
              <w:rPr>
                <w:rFonts w:ascii="Century Gothic" w:hAnsi="Century Gothic"/>
                <w:b/>
                <w:bCs/>
                <w:sz w:val="16"/>
                <w:szCs w:val="16"/>
                <w:highlight w:val="yellow"/>
              </w:rPr>
              <w:t>Scope-3-THG-Bruttoemissionen</w:t>
            </w:r>
            <w:r w:rsidRPr="00A76B51">
              <w:rPr>
                <w:rFonts w:ascii="Century Gothic" w:hAnsi="Century Gothic"/>
                <w:b/>
                <w:bCs/>
                <w:sz w:val="16"/>
                <w:szCs w:val="16"/>
              </w:rPr>
              <w:t xml:space="preserve"> </w:t>
            </w:r>
            <w:r w:rsidRPr="00A76B51">
              <w:rPr>
                <w:rFonts w:ascii="Century Gothic" w:hAnsi="Century Gothic"/>
                <w:sz w:val="16"/>
                <w:szCs w:val="16"/>
              </w:rPr>
              <w:t xml:space="preserve">nach Absatz 44 Buchstabe c ein </w:t>
            </w:r>
            <w:r w:rsidRPr="00D23B84">
              <w:rPr>
                <w:rFonts w:ascii="Century Gothic" w:hAnsi="Century Gothic"/>
                <w:sz w:val="16"/>
                <w:szCs w:val="16"/>
                <w:highlight w:val="yellow"/>
              </w:rPr>
              <w:t>Verständnis über die Treibhausgasemissionen in der vor- und nachgelagerten Wertschöpfungskette</w:t>
            </w:r>
            <w:r w:rsidRPr="00A76B51">
              <w:rPr>
                <w:rFonts w:ascii="Century Gothic" w:hAnsi="Century Gothic"/>
                <w:sz w:val="16"/>
                <w:szCs w:val="16"/>
              </w:rPr>
              <w:t xml:space="preserve"> des Unternehmens zu vermitteln, die über die Scope-1- und Scope-2-Treibhausgasemissionen hinausgehen. Bei vielen Unternehmen können die Scope-3-Treibhausgasemissionen den </w:t>
            </w:r>
            <w:r w:rsidRPr="00D23B84">
              <w:rPr>
                <w:rFonts w:ascii="Century Gothic" w:hAnsi="Century Gothic"/>
                <w:sz w:val="16"/>
                <w:szCs w:val="16"/>
                <w:highlight w:val="yellow"/>
              </w:rPr>
              <w:t>Hauptbestandteil ihres Treibhausgasinventars ausmachen</w:t>
            </w:r>
            <w:r w:rsidRPr="00A76B51">
              <w:rPr>
                <w:rFonts w:ascii="Century Gothic" w:hAnsi="Century Gothic"/>
                <w:sz w:val="16"/>
                <w:szCs w:val="16"/>
              </w:rPr>
              <w:t xml:space="preserve"> und eine bedeutende Ursache für die </w:t>
            </w:r>
            <w:r w:rsidRPr="00A76B51">
              <w:rPr>
                <w:rFonts w:ascii="Century Gothic" w:hAnsi="Century Gothic"/>
                <w:b/>
                <w:bCs/>
                <w:sz w:val="16"/>
                <w:szCs w:val="16"/>
              </w:rPr>
              <w:t xml:space="preserve">Übergangsrisiken </w:t>
            </w:r>
            <w:r w:rsidRPr="00A76B51">
              <w:rPr>
                <w:rFonts w:ascii="Century Gothic" w:hAnsi="Century Gothic"/>
                <w:sz w:val="16"/>
                <w:szCs w:val="16"/>
              </w:rPr>
              <w:t>des Unternehmens darstellen,</w:t>
            </w:r>
          </w:p>
          <w:p w:rsidR="00A76B51" w:rsidRPr="00A76B51" w:rsidRDefault="00A76B51" w:rsidP="00CD2B7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hinsichtlich der THG-Gesamtemissionen nach Absatz 44 Buchstabe d ein allgemeines Verständnis über die Treibhausgasemissionen des Unternehmens zu vermitteln sowie darüber, ob sie aus seinen eigenen Tätigkeiten oder in der vor- und nachgelagerten Wertschöpfungskette entstehen. Diese Angabe ist eine Voraussetzung für die Messung der Fortschritte bei der Reduktion der Treibhausgasemissionen im Einklang mit den klimabezogenen </w:t>
            </w:r>
            <w:r w:rsidRPr="00A76B51">
              <w:rPr>
                <w:rFonts w:ascii="Century Gothic" w:hAnsi="Century Gothic"/>
                <w:b/>
                <w:bCs/>
                <w:sz w:val="16"/>
                <w:szCs w:val="16"/>
              </w:rPr>
              <w:t xml:space="preserve">Zielen </w:t>
            </w:r>
            <w:r w:rsidRPr="00A76B51">
              <w:rPr>
                <w:rFonts w:ascii="Century Gothic" w:hAnsi="Century Gothic"/>
                <w:sz w:val="16"/>
                <w:szCs w:val="16"/>
              </w:rPr>
              <w:t>des Unternehmens und den strategischen Zielen der EU.</w:t>
            </w:r>
          </w:p>
          <w:p w:rsidR="00A76B51" w:rsidRPr="00A76B51" w:rsidRDefault="00A76B51" w:rsidP="006615C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p w:rsidR="0047207E" w:rsidRPr="00A76B51" w:rsidRDefault="00A76B51" w:rsidP="006615C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A76B51">
              <w:rPr>
                <w:rFonts w:ascii="Century Gothic" w:hAnsi="Century Gothic"/>
                <w:sz w:val="16"/>
                <w:szCs w:val="16"/>
              </w:rPr>
              <w:t xml:space="preserve">Die Informationen aus dieser </w:t>
            </w:r>
            <w:proofErr w:type="spellStart"/>
            <w:r w:rsidRPr="00A76B51">
              <w:rPr>
                <w:rFonts w:ascii="Century Gothic" w:hAnsi="Century Gothic"/>
                <w:sz w:val="16"/>
                <w:szCs w:val="16"/>
              </w:rPr>
              <w:t>Angabepflicht</w:t>
            </w:r>
            <w:proofErr w:type="spellEnd"/>
            <w:r w:rsidRPr="00A76B51">
              <w:rPr>
                <w:rFonts w:ascii="Century Gothic" w:hAnsi="Century Gothic"/>
                <w:sz w:val="16"/>
                <w:szCs w:val="16"/>
              </w:rPr>
              <w:t xml:space="preserve"> sind auch erforderlich, um die klimabedingten </w:t>
            </w:r>
            <w:r w:rsidRPr="00A76B51">
              <w:rPr>
                <w:rFonts w:ascii="Century Gothic" w:hAnsi="Century Gothic"/>
                <w:b/>
                <w:bCs/>
                <w:sz w:val="16"/>
                <w:szCs w:val="16"/>
              </w:rPr>
              <w:t xml:space="preserve">Übergangsrisiken </w:t>
            </w:r>
            <w:r w:rsidRPr="00A76B51">
              <w:rPr>
                <w:rFonts w:ascii="Century Gothic" w:hAnsi="Century Gothic"/>
                <w:sz w:val="16"/>
                <w:szCs w:val="16"/>
              </w:rPr>
              <w:t>des Unternehmens zu verstehen.</w:t>
            </w:r>
          </w:p>
        </w:tc>
        <w:tc>
          <w:tcPr>
            <w:tcW w:w="1847" w:type="dxa"/>
            <w:gridSpan w:val="3"/>
            <w:tcBorders>
              <w:top w:val="single" w:sz="4" w:space="0" w:color="auto"/>
            </w:tcBorders>
            <w:shd w:val="clear" w:color="auto" w:fill="auto"/>
          </w:tcPr>
          <w:p w:rsidR="0047207E" w:rsidRPr="000E0C5F" w:rsidRDefault="00441F70" w:rsidP="006615CE">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r>
              <w:rPr>
                <w:noProof/>
                <w:sz w:val="20"/>
              </w:rPr>
              <mc:AlternateContent>
                <mc:Choice Requires="wps">
                  <w:drawing>
                    <wp:anchor distT="0" distB="0" distL="114300" distR="114300" simplePos="0" relativeHeight="251661312" behindDoc="0" locked="0" layoutInCell="1" allowOverlap="1" wp14:anchorId="77BB1D22" wp14:editId="605996FD">
                      <wp:simplePos x="0" y="0"/>
                      <wp:positionH relativeFrom="column">
                        <wp:posOffset>228600</wp:posOffset>
                      </wp:positionH>
                      <wp:positionV relativeFrom="paragraph">
                        <wp:posOffset>1783715</wp:posOffset>
                      </wp:positionV>
                      <wp:extent cx="1110615" cy="1486535"/>
                      <wp:effectExtent l="285750" t="0" r="0" b="0"/>
                      <wp:wrapNone/>
                      <wp:docPr id="10" name="Sprechblase: rechteckig 10"/>
                      <wp:cNvGraphicFramePr/>
                      <a:graphic xmlns:a="http://schemas.openxmlformats.org/drawingml/2006/main">
                        <a:graphicData uri="http://schemas.microsoft.com/office/word/2010/wordprocessingShape">
                          <wps:wsp>
                            <wps:cNvSpPr/>
                            <wps:spPr>
                              <a:xfrm>
                                <a:off x="0" y="0"/>
                                <a:ext cx="1110615" cy="1486535"/>
                              </a:xfrm>
                              <a:prstGeom prst="wedgeRectCallout">
                                <a:avLst>
                                  <a:gd name="adj1" fmla="val -75861"/>
                                  <a:gd name="adj2" fmla="val -34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B84" w:rsidRDefault="00D23B84" w:rsidP="00D23B84">
                                  <w:pPr>
                                    <w:spacing w:before="0"/>
                                    <w:jc w:val="left"/>
                                    <w:rPr>
                                      <w:b/>
                                      <w:color w:val="000000" w:themeColor="text1"/>
                                      <w:sz w:val="15"/>
                                      <w:szCs w:val="15"/>
                                    </w:rPr>
                                  </w:pPr>
                                  <w:proofErr w:type="spellStart"/>
                                  <w:r>
                                    <w:rPr>
                                      <w:b/>
                                      <w:color w:val="000000" w:themeColor="text1"/>
                                      <w:sz w:val="15"/>
                                      <w:szCs w:val="15"/>
                                    </w:rPr>
                                    <w:t>Scope</w:t>
                                  </w:r>
                                  <w:proofErr w:type="spellEnd"/>
                                  <w:r>
                                    <w:rPr>
                                      <w:b/>
                                      <w:color w:val="000000" w:themeColor="text1"/>
                                      <w:sz w:val="15"/>
                                      <w:szCs w:val="15"/>
                                    </w:rPr>
                                    <w:t xml:space="preserve"> 3 </w:t>
                                  </w:r>
                                </w:p>
                                <w:p w:rsid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Häufig Hauptbestandteil</w:t>
                                  </w:r>
                                </w:p>
                                <w:p w:rsid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Ursache</w:t>
                                  </w:r>
                                </w:p>
                                <w:p w:rsidR="00D23B84" w:rsidRDefault="00D23B84" w:rsidP="00386087">
                                  <w:pPr>
                                    <w:pStyle w:val="Listenabsatz"/>
                                    <w:spacing w:before="0"/>
                                    <w:ind w:left="142"/>
                                    <w:jc w:val="left"/>
                                    <w:rPr>
                                      <w:b/>
                                      <w:color w:val="000000" w:themeColor="text1"/>
                                      <w:sz w:val="15"/>
                                      <w:szCs w:val="15"/>
                                    </w:rPr>
                                  </w:pPr>
                                  <w:r>
                                    <w:rPr>
                                      <w:b/>
                                      <w:color w:val="000000" w:themeColor="text1"/>
                                      <w:sz w:val="15"/>
                                      <w:szCs w:val="15"/>
                                    </w:rPr>
                                    <w:t>Übergangsrisiken</w:t>
                                  </w:r>
                                </w:p>
                                <w:p w:rsidR="00D23B84" w:rsidRP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 xml:space="preserve">Pflichtangabe </w:t>
                                  </w:r>
                                  <w:r>
                                    <w:rPr>
                                      <w:b/>
                                      <w:color w:val="000000" w:themeColor="text1"/>
                                      <w:sz w:val="15"/>
                                      <w:szCs w:val="15"/>
                                    </w:rPr>
                                    <w:br/>
                                    <w:t xml:space="preserve">u. U. nicht im </w:t>
                                  </w:r>
                                  <w:r>
                                    <w:rPr>
                                      <w:b/>
                                      <w:color w:val="000000" w:themeColor="text1"/>
                                      <w:sz w:val="15"/>
                                      <w:szCs w:val="15"/>
                                    </w:rPr>
                                    <w:br/>
                                  </w:r>
                                  <w:proofErr w:type="spellStart"/>
                                  <w:r>
                                    <w:rPr>
                                      <w:b/>
                                      <w:color w:val="000000" w:themeColor="text1"/>
                                      <w:sz w:val="15"/>
                                      <w:szCs w:val="15"/>
                                    </w:rPr>
                                    <w:t>Erstjahr</w:t>
                                  </w:r>
                                  <w:proofErr w:type="spellEnd"/>
                                </w:p>
                                <w:p w:rsidR="00D23B84" w:rsidRP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 xml:space="preserve">Ermittlung </w:t>
                                  </w:r>
                                  <w:r>
                                    <w:rPr>
                                      <w:b/>
                                      <w:color w:val="000000" w:themeColor="text1"/>
                                      <w:sz w:val="15"/>
                                      <w:szCs w:val="15"/>
                                    </w:rPr>
                                    <w:br/>
                                    <w:t>aufwendig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1D22" id="Sprechblase: rechteckig 10" o:spid="_x0000_s1027" type="#_x0000_t61" style="position:absolute;left:0;text-align:left;margin-left:18pt;margin-top:140.45pt;width:87.45pt;height:1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" adj="-5586,3271" fillcolor="#d8d8d8 [2732]" stroked="f" strokeweight="2pt">
                      <v:textbox>
                        <w:txbxContent>
                          <w:p w:rsidR="00D23B84" w:rsidRDefault="00D23B84" w:rsidP="00D23B84">
                            <w:pPr>
                              <w:spacing w:before="0"/>
                              <w:jc w:val="left"/>
                              <w:rPr>
                                <w:b/>
                                <w:color w:val="000000" w:themeColor="text1"/>
                                <w:sz w:val="15"/>
                                <w:szCs w:val="15"/>
                              </w:rPr>
                            </w:pPr>
                            <w:proofErr w:type="spellStart"/>
                            <w:r>
                              <w:rPr>
                                <w:b/>
                                <w:color w:val="000000" w:themeColor="text1"/>
                                <w:sz w:val="15"/>
                                <w:szCs w:val="15"/>
                              </w:rPr>
                              <w:t>Scope</w:t>
                            </w:r>
                            <w:proofErr w:type="spellEnd"/>
                            <w:r>
                              <w:rPr>
                                <w:b/>
                                <w:color w:val="000000" w:themeColor="text1"/>
                                <w:sz w:val="15"/>
                                <w:szCs w:val="15"/>
                              </w:rPr>
                              <w:t xml:space="preserve"> 3 </w:t>
                            </w:r>
                          </w:p>
                          <w:p w:rsid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Häufig Hauptbestandteil</w:t>
                            </w:r>
                          </w:p>
                          <w:p w:rsid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Ursache</w:t>
                            </w:r>
                          </w:p>
                          <w:p w:rsidR="00D23B84" w:rsidRDefault="00D23B84" w:rsidP="00386087">
                            <w:pPr>
                              <w:pStyle w:val="Listenabsatz"/>
                              <w:spacing w:before="0"/>
                              <w:ind w:left="142"/>
                              <w:jc w:val="left"/>
                              <w:rPr>
                                <w:b/>
                                <w:color w:val="000000" w:themeColor="text1"/>
                                <w:sz w:val="15"/>
                                <w:szCs w:val="15"/>
                              </w:rPr>
                            </w:pPr>
                            <w:bookmarkStart w:id="2" w:name="_GoBack"/>
                            <w:bookmarkEnd w:id="2"/>
                            <w:r>
                              <w:rPr>
                                <w:b/>
                                <w:color w:val="000000" w:themeColor="text1"/>
                                <w:sz w:val="15"/>
                                <w:szCs w:val="15"/>
                              </w:rPr>
                              <w:t>Übergangsrisiken</w:t>
                            </w:r>
                          </w:p>
                          <w:p w:rsidR="00D23B84" w:rsidRP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 xml:space="preserve">Pflichtangabe </w:t>
                            </w:r>
                            <w:r>
                              <w:rPr>
                                <w:b/>
                                <w:color w:val="000000" w:themeColor="text1"/>
                                <w:sz w:val="15"/>
                                <w:szCs w:val="15"/>
                              </w:rPr>
                              <w:br/>
                              <w:t xml:space="preserve">u. U. nicht im </w:t>
                            </w:r>
                            <w:r>
                              <w:rPr>
                                <w:b/>
                                <w:color w:val="000000" w:themeColor="text1"/>
                                <w:sz w:val="15"/>
                                <w:szCs w:val="15"/>
                              </w:rPr>
                              <w:br/>
                            </w:r>
                            <w:proofErr w:type="spellStart"/>
                            <w:r>
                              <w:rPr>
                                <w:b/>
                                <w:color w:val="000000" w:themeColor="text1"/>
                                <w:sz w:val="15"/>
                                <w:szCs w:val="15"/>
                              </w:rPr>
                              <w:t>Erstjahr</w:t>
                            </w:r>
                            <w:proofErr w:type="spellEnd"/>
                          </w:p>
                          <w:p w:rsidR="00D23B84" w:rsidRPr="00D23B84" w:rsidRDefault="00D23B84" w:rsidP="00D23B84">
                            <w:pPr>
                              <w:pStyle w:val="Listenabsatz"/>
                              <w:numPr>
                                <w:ilvl w:val="0"/>
                                <w:numId w:val="30"/>
                              </w:numPr>
                              <w:spacing w:before="0"/>
                              <w:ind w:left="142" w:hanging="142"/>
                              <w:jc w:val="left"/>
                              <w:rPr>
                                <w:b/>
                                <w:color w:val="000000" w:themeColor="text1"/>
                                <w:sz w:val="15"/>
                                <w:szCs w:val="15"/>
                              </w:rPr>
                            </w:pPr>
                            <w:r>
                              <w:rPr>
                                <w:b/>
                                <w:color w:val="000000" w:themeColor="text1"/>
                                <w:sz w:val="15"/>
                                <w:szCs w:val="15"/>
                              </w:rPr>
                              <w:t xml:space="preserve">Ermittlung </w:t>
                            </w:r>
                            <w:r>
                              <w:rPr>
                                <w:b/>
                                <w:color w:val="000000" w:themeColor="text1"/>
                                <w:sz w:val="15"/>
                                <w:szCs w:val="15"/>
                              </w:rPr>
                              <w:br/>
                              <w:t>aufwendig</w:t>
                            </w:r>
                          </w:p>
                        </w:txbxContent>
                      </v:textbox>
                    </v:shape>
                  </w:pict>
                </mc:Fallback>
              </mc:AlternateContent>
            </w:r>
          </w:p>
        </w:tc>
      </w:tr>
    </w:tbl>
    <w:p w:rsidR="000479D1" w:rsidRDefault="00CA759E" w:rsidP="0053480B">
      <w:pPr>
        <w:spacing w:before="0"/>
        <w:rPr>
          <w:sz w:val="12"/>
          <w:szCs w:val="12"/>
        </w:rPr>
      </w:pPr>
      <w:r w:rsidRPr="00CA759E">
        <w:rPr>
          <w:sz w:val="12"/>
          <w:szCs w:val="12"/>
        </w:rPr>
        <w:t xml:space="preserve"> </w:t>
      </w:r>
    </w:p>
    <w:p w:rsidR="00CA759E" w:rsidRDefault="00CA759E" w:rsidP="0053480B">
      <w:pPr>
        <w:spacing w:before="0"/>
        <w:rPr>
          <w:sz w:val="12"/>
          <w:szCs w:val="12"/>
        </w:rPr>
      </w:pPr>
    </w:p>
    <w:p w:rsidR="000F35FE" w:rsidRDefault="00D23B84">
      <w:r>
        <w:rPr>
          <w:noProof/>
          <w:sz w:val="20"/>
        </w:rPr>
        <mc:AlternateContent>
          <mc:Choice Requires="wps">
            <w:drawing>
              <wp:anchor distT="0" distB="0" distL="114300" distR="114300" simplePos="0" relativeHeight="251667456" behindDoc="0" locked="0" layoutInCell="1" allowOverlap="1" wp14:anchorId="05414EB4" wp14:editId="35750F28">
                <wp:simplePos x="0" y="0"/>
                <wp:positionH relativeFrom="column">
                  <wp:posOffset>1764665</wp:posOffset>
                </wp:positionH>
                <wp:positionV relativeFrom="paragraph">
                  <wp:posOffset>129544</wp:posOffset>
                </wp:positionV>
                <wp:extent cx="1340182" cy="510493"/>
                <wp:effectExtent l="0" t="342900" r="0" b="4445"/>
                <wp:wrapNone/>
                <wp:docPr id="13" name="Sprechblase: rechteckig 13"/>
                <wp:cNvGraphicFramePr/>
                <a:graphic xmlns:a="http://schemas.openxmlformats.org/drawingml/2006/main">
                  <a:graphicData uri="http://schemas.microsoft.com/office/word/2010/wordprocessingShape">
                    <wps:wsp>
                      <wps:cNvSpPr/>
                      <wps:spPr>
                        <a:xfrm>
                          <a:off x="0" y="0"/>
                          <a:ext cx="1340182" cy="510493"/>
                        </a:xfrm>
                        <a:prstGeom prst="wedgeRectCallout">
                          <a:avLst>
                            <a:gd name="adj1" fmla="val 4049"/>
                            <a:gd name="adj2" fmla="val -11642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B84" w:rsidRPr="00D23B84" w:rsidRDefault="00D23B84" w:rsidP="00D23B84">
                            <w:pPr>
                              <w:spacing w:before="0"/>
                              <w:jc w:val="center"/>
                              <w:rPr>
                                <w:b/>
                                <w:color w:val="000000" w:themeColor="text1"/>
                                <w:sz w:val="15"/>
                                <w:szCs w:val="15"/>
                              </w:rPr>
                            </w:pPr>
                            <w:r>
                              <w:rPr>
                                <w:b/>
                                <w:color w:val="000000" w:themeColor="text1"/>
                                <w:sz w:val="15"/>
                                <w:szCs w:val="15"/>
                              </w:rPr>
                              <w:t>Erzeugung von Druck in der Wertschöpfungskette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4EB4" id="Sprechblase: rechteckig 13" o:spid="_x0000_s1028" type="#_x0000_t61" style="position:absolute;left:0;text-align:left;margin-left:138.95pt;margin-top:10.2pt;width:105.5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" adj="11675,-14348" fillcolor="#d8d8d8 [2732]" stroked="f" strokeweight="2pt">
                <v:textbox>
                  <w:txbxContent>
                    <w:p w:rsidR="00D23B84" w:rsidRPr="00D23B84" w:rsidRDefault="00D23B84" w:rsidP="00D23B84">
                      <w:pPr>
                        <w:spacing w:before="0"/>
                        <w:jc w:val="center"/>
                        <w:rPr>
                          <w:b/>
                          <w:color w:val="000000" w:themeColor="text1"/>
                          <w:sz w:val="15"/>
                          <w:szCs w:val="15"/>
                        </w:rPr>
                      </w:pPr>
                      <w:r>
                        <w:rPr>
                          <w:b/>
                          <w:color w:val="000000" w:themeColor="text1"/>
                          <w:sz w:val="15"/>
                          <w:szCs w:val="15"/>
                        </w:rPr>
                        <w:t>Erzeugung von Druck in der Wertschöpfungskette</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73D5D45A" wp14:editId="6D40689E">
                <wp:simplePos x="0" y="0"/>
                <wp:positionH relativeFrom="column">
                  <wp:posOffset>323336</wp:posOffset>
                </wp:positionH>
                <wp:positionV relativeFrom="paragraph">
                  <wp:posOffset>96489</wp:posOffset>
                </wp:positionV>
                <wp:extent cx="1222375" cy="375285"/>
                <wp:effectExtent l="0" t="266700" r="0" b="5715"/>
                <wp:wrapNone/>
                <wp:docPr id="12" name="Sprechblase: rechteckig 12"/>
                <wp:cNvGraphicFramePr/>
                <a:graphic xmlns:a="http://schemas.openxmlformats.org/drawingml/2006/main">
                  <a:graphicData uri="http://schemas.microsoft.com/office/word/2010/wordprocessingShape">
                    <wps:wsp>
                      <wps:cNvSpPr/>
                      <wps:spPr>
                        <a:xfrm>
                          <a:off x="0" y="0"/>
                          <a:ext cx="1222375" cy="375285"/>
                        </a:xfrm>
                        <a:prstGeom prst="wedgeRectCallout">
                          <a:avLst>
                            <a:gd name="adj1" fmla="val 4049"/>
                            <a:gd name="adj2" fmla="val -11642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3B84" w:rsidRPr="00D23B84" w:rsidRDefault="00D23B84" w:rsidP="00D23B84">
                            <w:pPr>
                              <w:spacing w:before="0"/>
                              <w:jc w:val="center"/>
                              <w:rPr>
                                <w:b/>
                                <w:color w:val="000000" w:themeColor="text1"/>
                                <w:sz w:val="15"/>
                                <w:szCs w:val="15"/>
                              </w:rPr>
                            </w:pPr>
                            <w:r>
                              <w:rPr>
                                <w:b/>
                                <w:color w:val="000000" w:themeColor="text1"/>
                                <w:sz w:val="15"/>
                                <w:szCs w:val="15"/>
                              </w:rPr>
                              <w:t>Besondere Relevanz für Übergangsrisiken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D45A" id="Sprechblase: rechteckig 12" o:spid="_x0000_s1029" type="#_x0000_t61" style="position:absolute;left:0;text-align:left;margin-left:25.45pt;margin-top:7.6pt;width:96.25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" adj="11675,-14348" fillcolor="#d8d8d8 [2732]" stroked="f" strokeweight="2pt">
                <v:textbox>
                  <w:txbxContent>
                    <w:p w:rsidR="00D23B84" w:rsidRPr="00D23B84" w:rsidRDefault="00D23B84" w:rsidP="00D23B84">
                      <w:pPr>
                        <w:spacing w:before="0"/>
                        <w:jc w:val="center"/>
                        <w:rPr>
                          <w:b/>
                          <w:color w:val="000000" w:themeColor="text1"/>
                          <w:sz w:val="15"/>
                          <w:szCs w:val="15"/>
                        </w:rPr>
                      </w:pPr>
                      <w:r>
                        <w:rPr>
                          <w:b/>
                          <w:color w:val="000000" w:themeColor="text1"/>
                          <w:sz w:val="15"/>
                          <w:szCs w:val="15"/>
                        </w:rPr>
                        <w:t>Besondere Relevanz für Übergangsrisiken</w:t>
                      </w:r>
                    </w:p>
                  </w:txbxContent>
                </v:textbox>
              </v:shape>
            </w:pict>
          </mc:Fallback>
        </mc:AlternateContent>
      </w:r>
      <w:r w:rsidR="000F35FE">
        <w:rPr>
          <w:b/>
          <w:bCs/>
        </w:rPr>
        <w:br w:type="page"/>
      </w:r>
      <w:bookmarkStart w:id="1" w:name="_GoBack"/>
      <w:bookmarkEnd w:id="1"/>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7"/>
        <w:gridCol w:w="1847"/>
      </w:tblGrid>
      <w:tr w:rsidR="00C03A3B" w:rsidRPr="00122B7B" w:rsidTr="00E00FA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C03A3B" w:rsidRPr="00122B7B" w:rsidRDefault="00C03A3B" w:rsidP="005F328B">
            <w:pPr>
              <w:spacing w:before="60" w:after="60"/>
              <w:jc w:val="left"/>
              <w:rPr>
                <w:color w:val="000000" w:themeColor="text1"/>
                <w:sz w:val="20"/>
                <w:szCs w:val="20"/>
              </w:rPr>
            </w:pPr>
            <w:r w:rsidRPr="00122B7B">
              <w:rPr>
                <w:color w:val="000000" w:themeColor="text1"/>
                <w:sz w:val="20"/>
                <w:szCs w:val="20"/>
              </w:rPr>
              <w:lastRenderedPageBreak/>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D30C35">
              <w:rPr>
                <w:color w:val="000000" w:themeColor="text1"/>
                <w:sz w:val="20"/>
                <w:szCs w:val="20"/>
              </w:rPr>
              <w:t>;</w:t>
            </w:r>
            <w:r>
              <w:rPr>
                <w:color w:val="000000" w:themeColor="text1"/>
                <w:sz w:val="20"/>
                <w:szCs w:val="20"/>
              </w:rPr>
              <w:t xml:space="preserve"> Forts.</w:t>
            </w:r>
          </w:p>
        </w:tc>
      </w:tr>
      <w:tr w:rsidR="00C03A3B" w:rsidRPr="00122B7B" w:rsidTr="00E00F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2" w:type="dxa"/>
            <w:gridSpan w:val="3"/>
            <w:tcBorders>
              <w:bottom w:val="single" w:sz="4" w:space="0" w:color="auto"/>
            </w:tcBorders>
            <w:shd w:val="clear" w:color="auto" w:fill="auto"/>
            <w:vAlign w:val="center"/>
          </w:tcPr>
          <w:p w:rsidR="00C03A3B" w:rsidRPr="00E00FA8" w:rsidRDefault="00C03A3B" w:rsidP="005F328B">
            <w:pPr>
              <w:spacing w:before="0"/>
              <w:jc w:val="left"/>
              <w:rPr>
                <w:color w:val="000000" w:themeColor="text1"/>
                <w:sz w:val="2"/>
                <w:szCs w:val="2"/>
              </w:rPr>
            </w:pPr>
          </w:p>
        </w:tc>
      </w:tr>
      <w:tr w:rsidR="00C03A3B" w:rsidRPr="00C03A3B"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vAlign w:val="center"/>
          </w:tcPr>
          <w:p w:rsidR="007F334F" w:rsidRPr="00C03A3B" w:rsidRDefault="007F334F" w:rsidP="00E00FA8">
            <w:pPr>
              <w:spacing w:before="0"/>
              <w:contextualSpacing/>
              <w:jc w:val="center"/>
              <w:rPr>
                <w:color w:val="FFFFFF" w:themeColor="background1"/>
                <w:sz w:val="20"/>
                <w:szCs w:val="20"/>
              </w:rPr>
            </w:pPr>
            <w:r w:rsidRPr="00C03A3B">
              <w:rPr>
                <w:color w:val="FFFFFF" w:themeColor="background1"/>
                <w:sz w:val="20"/>
                <w:szCs w:val="20"/>
              </w:rPr>
              <w:t>Quelle ESRS E1</w:t>
            </w:r>
          </w:p>
        </w:tc>
        <w:tc>
          <w:tcPr>
            <w:tcW w:w="6237" w:type="dxa"/>
            <w:tcBorders>
              <w:top w:val="single" w:sz="4" w:space="0" w:color="auto"/>
              <w:left w:val="single" w:sz="4" w:space="0" w:color="auto"/>
              <w:bottom w:val="single" w:sz="4" w:space="0" w:color="auto"/>
              <w:right w:val="single" w:sz="4" w:space="0" w:color="auto"/>
            </w:tcBorders>
            <w:shd w:val="clear" w:color="auto" w:fill="228B22"/>
            <w:vAlign w:val="center"/>
          </w:tcPr>
          <w:p w:rsidR="007F334F" w:rsidRPr="00C03A3B" w:rsidRDefault="007F334F" w:rsidP="00E00FA8">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03A3B">
              <w:rPr>
                <w:b/>
                <w:color w:val="FFFFFF" w:themeColor="background1"/>
                <w:sz w:val="20"/>
                <w:szCs w:val="20"/>
              </w:rPr>
              <w:t>Parameter und Ziele</w:t>
            </w:r>
          </w:p>
        </w:tc>
        <w:tc>
          <w:tcPr>
            <w:tcW w:w="1847" w:type="dxa"/>
            <w:tcBorders>
              <w:top w:val="single" w:sz="4" w:space="0" w:color="auto"/>
              <w:left w:val="single" w:sz="4" w:space="0" w:color="auto"/>
              <w:bottom w:val="single" w:sz="4" w:space="0" w:color="auto"/>
              <w:right w:val="single" w:sz="4" w:space="0" w:color="auto"/>
            </w:tcBorders>
            <w:shd w:val="clear" w:color="auto" w:fill="228B22"/>
            <w:vAlign w:val="center"/>
          </w:tcPr>
          <w:p w:rsidR="007F334F" w:rsidRPr="00C03A3B" w:rsidRDefault="007F334F" w:rsidP="00E00FA8">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C03A3B">
              <w:rPr>
                <w:b/>
                <w:color w:val="FFFFFF" w:themeColor="background1"/>
                <w:sz w:val="16"/>
                <w:szCs w:val="16"/>
              </w:rPr>
              <w:t>Bemerkungen, ggf. Verweis auf Datenpunkte</w:t>
            </w:r>
          </w:p>
        </w:tc>
      </w:tr>
      <w:tr w:rsidR="007F334F"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7F334F" w:rsidRPr="0015165A" w:rsidRDefault="007F334F" w:rsidP="00E00FA8">
            <w:pPr>
              <w:spacing w:before="0"/>
              <w:contextualSpacing/>
              <w:jc w:val="center"/>
              <w:rPr>
                <w:sz w:val="16"/>
                <w:szCs w:val="16"/>
              </w:rPr>
            </w:pPr>
            <w:r w:rsidRPr="0015165A">
              <w:rPr>
                <w:sz w:val="16"/>
                <w:szCs w:val="16"/>
              </w:rPr>
              <w:t xml:space="preserve">Tz. </w:t>
            </w:r>
            <w:r>
              <w:rPr>
                <w:sz w:val="16"/>
                <w:szCs w:val="16"/>
              </w:rPr>
              <w:t>46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F334F" w:rsidRPr="007F334F" w:rsidRDefault="007F334F"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7F334F">
              <w:rPr>
                <w:rFonts w:ascii="Century Gothic" w:hAnsi="Century Gothic"/>
                <w:sz w:val="16"/>
                <w:szCs w:val="16"/>
              </w:rPr>
              <w:t xml:space="preserve">Bei der Angabe der gemäß Absatz 44 erforderlichen Informationen über </w:t>
            </w:r>
            <w:r w:rsidRPr="007F334F">
              <w:rPr>
                <w:rFonts w:ascii="Century Gothic" w:hAnsi="Century Gothic"/>
                <w:b/>
                <w:bCs/>
                <w:sz w:val="16"/>
                <w:szCs w:val="16"/>
              </w:rPr>
              <w:t xml:space="preserve">Treibhausgasemissionen </w:t>
            </w:r>
            <w:r w:rsidRPr="007F334F">
              <w:rPr>
                <w:rFonts w:ascii="Century Gothic" w:hAnsi="Century Gothic"/>
                <w:sz w:val="16"/>
                <w:szCs w:val="16"/>
              </w:rPr>
              <w:t xml:space="preserve">nimmt das Unternehmen auf die Absätze 62 bis 67 des ESRS 1 Bezug. Grundsätzlich sind die Daten über </w:t>
            </w:r>
            <w:r w:rsidRPr="00D23B84">
              <w:rPr>
                <w:rFonts w:ascii="Century Gothic" w:hAnsi="Century Gothic"/>
                <w:sz w:val="16"/>
                <w:szCs w:val="16"/>
                <w:highlight w:val="yellow"/>
              </w:rPr>
              <w:t>Treibhausgasemissionen</w:t>
            </w:r>
            <w:r w:rsidRPr="007F334F">
              <w:rPr>
                <w:rFonts w:ascii="Century Gothic" w:hAnsi="Century Gothic"/>
                <w:sz w:val="16"/>
                <w:szCs w:val="16"/>
              </w:rPr>
              <w:t xml:space="preserve"> </w:t>
            </w:r>
            <w:r w:rsidRPr="00441F70">
              <w:rPr>
                <w:rFonts w:ascii="Century Gothic" w:hAnsi="Century Gothic"/>
                <w:sz w:val="16"/>
                <w:szCs w:val="16"/>
                <w:highlight w:val="yellow"/>
              </w:rPr>
              <w:t>verbundener oder gemeinsamer Unternehmen, die Teil der vor- und nachgelagerten Wertschöpfungskette des Unternehmens sind</w:t>
            </w:r>
            <w:r w:rsidRPr="007F334F">
              <w:rPr>
                <w:rFonts w:ascii="Century Gothic" w:hAnsi="Century Gothic"/>
                <w:sz w:val="16"/>
                <w:szCs w:val="16"/>
              </w:rPr>
              <w:t xml:space="preserve"> (ESRS 1 Absatz 67), </w:t>
            </w:r>
            <w:r w:rsidRPr="00441F70">
              <w:rPr>
                <w:rFonts w:ascii="Century Gothic" w:hAnsi="Century Gothic"/>
                <w:sz w:val="16"/>
                <w:szCs w:val="16"/>
                <w:highlight w:val="yellow"/>
              </w:rPr>
              <w:t>nicht auf den Anteil der gehaltenen Anteile beschränkt.</w:t>
            </w:r>
            <w:r w:rsidRPr="007F334F">
              <w:rPr>
                <w:rFonts w:ascii="Century Gothic" w:hAnsi="Century Gothic"/>
                <w:sz w:val="16"/>
                <w:szCs w:val="16"/>
              </w:rPr>
              <w:t xml:space="preserve"> Entsprechend dem Umfang der </w:t>
            </w:r>
            <w:r w:rsidRPr="00441F70">
              <w:rPr>
                <w:rFonts w:ascii="Century Gothic" w:hAnsi="Century Gothic"/>
                <w:b/>
                <w:bCs/>
                <w:sz w:val="16"/>
                <w:szCs w:val="16"/>
                <w:highlight w:val="yellow"/>
              </w:rPr>
              <w:t>operativen Kontrolle</w:t>
            </w:r>
            <w:r w:rsidRPr="007F334F">
              <w:rPr>
                <w:rFonts w:ascii="Century Gothic" w:hAnsi="Century Gothic"/>
                <w:b/>
                <w:bCs/>
                <w:sz w:val="16"/>
                <w:szCs w:val="16"/>
              </w:rPr>
              <w:t xml:space="preserve"> </w:t>
            </w:r>
            <w:r w:rsidRPr="007F334F">
              <w:rPr>
                <w:rFonts w:ascii="Century Gothic" w:hAnsi="Century Gothic"/>
                <w:sz w:val="16"/>
                <w:szCs w:val="16"/>
              </w:rPr>
              <w:t>über seine verbundenen und gemeinsamen Unternehmen, nicht konsolidierten Tochterunternehmen (Investmentunternehmen) und vertraglichen Vereinbarungen im Rahmen gemeinsamer Vereinbarungen, die nicht durch ein Unternehmen strukturiert sind (d. h. gemeinsam kontrollierte Geschäftstätigkeiten und Vermögenswerte), gibt das Unternehmen deren Treibhausgasemissionen an.</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7F334F" w:rsidRPr="000E0C5F" w:rsidRDefault="007F334F" w:rsidP="00E00FA8">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6E1366"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6E1366" w:rsidRPr="0015165A" w:rsidRDefault="006E1366" w:rsidP="00E00FA8">
            <w:pPr>
              <w:spacing w:before="0"/>
              <w:contextualSpacing/>
              <w:jc w:val="center"/>
              <w:rPr>
                <w:sz w:val="16"/>
                <w:szCs w:val="16"/>
              </w:rPr>
            </w:pPr>
            <w:r w:rsidRPr="0015165A">
              <w:rPr>
                <w:sz w:val="16"/>
                <w:szCs w:val="16"/>
              </w:rPr>
              <w:t xml:space="preserve">Tz. </w:t>
            </w:r>
            <w:r>
              <w:rPr>
                <w:sz w:val="16"/>
                <w:szCs w:val="16"/>
              </w:rPr>
              <w:t>4</w:t>
            </w:r>
            <w:r w:rsidR="00047FBF">
              <w:rPr>
                <w:sz w:val="16"/>
                <w:szCs w:val="16"/>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E1366" w:rsidRPr="00047FBF" w:rsidRDefault="00047FBF" w:rsidP="00E00FA8">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Im Falle wesentlicher Änderungen der Definition dessen, was das Bericht erstattende Unternehmen und seine vor- und nachgelagerte </w:t>
            </w:r>
            <w:r w:rsidRPr="00047FBF">
              <w:rPr>
                <w:rFonts w:ascii="Century Gothic" w:hAnsi="Century Gothic"/>
                <w:b/>
                <w:bCs/>
                <w:sz w:val="16"/>
                <w:szCs w:val="16"/>
              </w:rPr>
              <w:t xml:space="preserve">Wertschöpfungskette </w:t>
            </w:r>
            <w:r w:rsidRPr="00047FBF">
              <w:rPr>
                <w:rFonts w:ascii="Century Gothic" w:hAnsi="Century Gothic"/>
                <w:sz w:val="16"/>
                <w:szCs w:val="16"/>
              </w:rPr>
              <w:t>ausmacht, muss das Unternehmen diese Änderungen angeben und ihre Auswirkungen auf die jährliche Vergleichbarkeit seiner übermittelten Treibhausgasemissionen erläutern (d. h. die Auswirkungen auf die Vergleichbarkeit der aktuellen und der vorangegangenen Berichtszeiträume zu den Treibhausgasemissionen).</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6E1366" w:rsidRPr="000E0C5F" w:rsidRDefault="006E1366" w:rsidP="00E00FA8">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047FBF"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047FBF" w:rsidRPr="0015165A" w:rsidRDefault="00047FBF" w:rsidP="00E00FA8">
            <w:pPr>
              <w:spacing w:before="0"/>
              <w:contextualSpacing/>
              <w:jc w:val="center"/>
              <w:rPr>
                <w:sz w:val="16"/>
                <w:szCs w:val="16"/>
              </w:rPr>
            </w:pPr>
            <w:r w:rsidRPr="0015165A">
              <w:rPr>
                <w:sz w:val="16"/>
                <w:szCs w:val="16"/>
              </w:rPr>
              <w:t xml:space="preserve">Tz. </w:t>
            </w:r>
            <w:r>
              <w:rPr>
                <w:sz w:val="16"/>
                <w:szCs w:val="16"/>
              </w:rPr>
              <w:t>48</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7FBF" w:rsidRPr="00047FBF" w:rsidRDefault="00047FBF"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Die Angabe der Scope-1-THG-Bruttoemissionen gemäß Absatz 44 Buchstabe a umfasst</w:t>
            </w:r>
          </w:p>
          <w:p w:rsidR="00047FBF" w:rsidRPr="00441F70" w:rsidRDefault="00047FBF" w:rsidP="00F73204">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highlight w:val="yellow"/>
              </w:rPr>
            </w:pPr>
            <w:r w:rsidRPr="00047FBF">
              <w:rPr>
                <w:rFonts w:ascii="Century Gothic" w:hAnsi="Century Gothic"/>
                <w:sz w:val="16"/>
                <w:szCs w:val="16"/>
              </w:rPr>
              <w:t xml:space="preserve">die </w:t>
            </w:r>
            <w:r w:rsidRPr="00441F70">
              <w:rPr>
                <w:rFonts w:ascii="Century Gothic" w:hAnsi="Century Gothic"/>
                <w:sz w:val="16"/>
                <w:szCs w:val="16"/>
                <w:highlight w:val="yellow"/>
              </w:rPr>
              <w:t>Scope-1</w:t>
            </w:r>
            <w:r w:rsidRPr="00047FBF">
              <w:rPr>
                <w:rFonts w:ascii="Century Gothic" w:hAnsi="Century Gothic"/>
                <w:sz w:val="16"/>
                <w:szCs w:val="16"/>
              </w:rPr>
              <w:t xml:space="preserve">-THG-Bruttoemissionen </w:t>
            </w:r>
            <w:r w:rsidRPr="00441F70">
              <w:rPr>
                <w:rFonts w:ascii="Century Gothic" w:hAnsi="Century Gothic"/>
                <w:sz w:val="16"/>
                <w:szCs w:val="16"/>
                <w:highlight w:val="yellow"/>
              </w:rPr>
              <w:t>in Tonnen CO</w:t>
            </w:r>
            <w:r w:rsidRPr="00441F70">
              <w:rPr>
                <w:rFonts w:ascii="Century Gothic" w:hAnsi="Century Gothic"/>
                <w:sz w:val="16"/>
                <w:szCs w:val="16"/>
                <w:highlight w:val="yellow"/>
                <w:vertAlign w:val="subscript"/>
              </w:rPr>
              <w:t>2</w:t>
            </w:r>
            <w:r w:rsidRPr="00441F70">
              <w:rPr>
                <w:rFonts w:ascii="Century Gothic" w:hAnsi="Century Gothic"/>
                <w:sz w:val="16"/>
                <w:szCs w:val="16"/>
                <w:highlight w:val="yellow"/>
              </w:rPr>
              <w:t>-Äquivalent und</w:t>
            </w:r>
          </w:p>
          <w:p w:rsidR="00047FBF" w:rsidRPr="00047FBF" w:rsidRDefault="00047FBF" w:rsidP="00F73204">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den </w:t>
            </w:r>
            <w:r w:rsidRPr="00441F70">
              <w:rPr>
                <w:rFonts w:ascii="Century Gothic" w:hAnsi="Century Gothic"/>
                <w:sz w:val="16"/>
                <w:szCs w:val="16"/>
                <w:highlight w:val="yellow"/>
              </w:rPr>
              <w:t>prozentualen</w:t>
            </w:r>
            <w:r w:rsidRPr="00047FBF">
              <w:rPr>
                <w:rFonts w:ascii="Century Gothic" w:hAnsi="Century Gothic"/>
                <w:sz w:val="16"/>
                <w:szCs w:val="16"/>
              </w:rPr>
              <w:t xml:space="preserve"> Anteil der Scope-1-Treibhausgasemissionen aus regulierten Emissionshandelssystemen.</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047FBF" w:rsidRPr="000E0C5F" w:rsidRDefault="00441F70" w:rsidP="00E00FA8">
            <w:pPr>
              <w:spacing w:before="0"/>
              <w:contextualSpacing/>
              <w:cnfStyle w:val="000000100000" w:firstRow="0" w:lastRow="0" w:firstColumn="0" w:lastColumn="0" w:oddVBand="0" w:evenVBand="0" w:oddHBand="1" w:evenHBand="0" w:firstRowFirstColumn="0" w:firstRowLastColumn="0" w:lastRowFirstColumn="0" w:lastRowLastColumn="0"/>
              <w:rPr>
                <w:sz w:val="20"/>
              </w:rPr>
            </w:pPr>
            <w:r>
              <w:rPr>
                <w:noProof/>
                <w:sz w:val="20"/>
              </w:rPr>
              <mc:AlternateContent>
                <mc:Choice Requires="wps">
                  <w:drawing>
                    <wp:anchor distT="0" distB="0" distL="114300" distR="114300" simplePos="0" relativeHeight="251673600" behindDoc="0" locked="0" layoutInCell="1" allowOverlap="1" wp14:anchorId="42B3114E" wp14:editId="6AABC1BD">
                      <wp:simplePos x="0" y="0"/>
                      <wp:positionH relativeFrom="column">
                        <wp:posOffset>-4445</wp:posOffset>
                      </wp:positionH>
                      <wp:positionV relativeFrom="paragraph">
                        <wp:posOffset>2540</wp:posOffset>
                      </wp:positionV>
                      <wp:extent cx="1110615" cy="402336"/>
                      <wp:effectExtent l="285750" t="0" r="0" b="0"/>
                      <wp:wrapNone/>
                      <wp:docPr id="15" name="Sprechblase: rechteckig 15"/>
                      <wp:cNvGraphicFramePr/>
                      <a:graphic xmlns:a="http://schemas.openxmlformats.org/drawingml/2006/main">
                        <a:graphicData uri="http://schemas.microsoft.com/office/word/2010/wordprocessingShape">
                          <wps:wsp>
                            <wps:cNvSpPr/>
                            <wps:spPr>
                              <a:xfrm>
                                <a:off x="0" y="0"/>
                                <a:ext cx="1110615" cy="402336"/>
                              </a:xfrm>
                              <a:prstGeom prst="wedgeRectCallout">
                                <a:avLst>
                                  <a:gd name="adj1" fmla="val -75861"/>
                                  <a:gd name="adj2" fmla="val -34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F70" w:rsidRPr="00D23B84" w:rsidRDefault="00441F70" w:rsidP="00441F70">
                                  <w:pPr>
                                    <w:spacing w:before="0"/>
                                    <w:jc w:val="center"/>
                                    <w:rPr>
                                      <w:b/>
                                      <w:color w:val="000000" w:themeColor="text1"/>
                                      <w:sz w:val="15"/>
                                      <w:szCs w:val="15"/>
                                    </w:rPr>
                                  </w:pPr>
                                  <w:r>
                                    <w:rPr>
                                      <w:b/>
                                      <w:color w:val="000000" w:themeColor="text1"/>
                                      <w:sz w:val="15"/>
                                      <w:szCs w:val="15"/>
                                    </w:rPr>
                                    <w:t>Einheit vorgegeben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114E" id="Sprechblase: rechteckig 15" o:spid="_x0000_s1030" type="#_x0000_t61" style="position:absolute;left:0;text-align:left;margin-left:-.35pt;margin-top:.2pt;width:87.4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" adj="-5586,3271" fillcolor="#d8d8d8 [2732]" stroked="f" strokeweight="2pt">
                      <v:textbox>
                        <w:txbxContent>
                          <w:p w:rsidR="00441F70" w:rsidRPr="00D23B84" w:rsidRDefault="00441F70" w:rsidP="00441F70">
                            <w:pPr>
                              <w:spacing w:before="0"/>
                              <w:jc w:val="center"/>
                              <w:rPr>
                                <w:b/>
                                <w:color w:val="000000" w:themeColor="text1"/>
                                <w:sz w:val="15"/>
                                <w:szCs w:val="15"/>
                              </w:rPr>
                            </w:pPr>
                            <w:r>
                              <w:rPr>
                                <w:b/>
                                <w:color w:val="000000" w:themeColor="text1"/>
                                <w:sz w:val="15"/>
                                <w:szCs w:val="15"/>
                              </w:rPr>
                              <w:t>Einheit vorgegeben</w:t>
                            </w:r>
                          </w:p>
                        </w:txbxContent>
                      </v:textbox>
                    </v:shape>
                  </w:pict>
                </mc:Fallback>
              </mc:AlternateContent>
            </w:r>
          </w:p>
        </w:tc>
      </w:tr>
      <w:tr w:rsidR="00047FBF"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047FBF" w:rsidRPr="0015165A" w:rsidRDefault="00047FBF" w:rsidP="00E00FA8">
            <w:pPr>
              <w:spacing w:before="0"/>
              <w:contextualSpacing/>
              <w:jc w:val="center"/>
              <w:rPr>
                <w:sz w:val="16"/>
                <w:szCs w:val="16"/>
              </w:rPr>
            </w:pPr>
            <w:r w:rsidRPr="0015165A">
              <w:rPr>
                <w:sz w:val="16"/>
                <w:szCs w:val="16"/>
              </w:rPr>
              <w:t xml:space="preserve">Tz. </w:t>
            </w:r>
            <w:r>
              <w:rPr>
                <w:sz w:val="16"/>
                <w:szCs w:val="16"/>
              </w:rPr>
              <w:t>49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7FBF" w:rsidRPr="00047FBF" w:rsidRDefault="00047FBF" w:rsidP="00E00FA8">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Die Angabe der </w:t>
            </w:r>
            <w:r w:rsidRPr="00441F70">
              <w:rPr>
                <w:rFonts w:ascii="Century Gothic" w:hAnsi="Century Gothic"/>
                <w:sz w:val="16"/>
                <w:szCs w:val="16"/>
                <w:highlight w:val="yellow"/>
              </w:rPr>
              <w:t>Scope-2-THG</w:t>
            </w:r>
            <w:r w:rsidRPr="00047FBF">
              <w:rPr>
                <w:rFonts w:ascii="Century Gothic" w:hAnsi="Century Gothic"/>
                <w:sz w:val="16"/>
                <w:szCs w:val="16"/>
              </w:rPr>
              <w:t>-Bruttoemissionen gemäß Absatz 44 Buchstabe b umfasst</w:t>
            </w:r>
          </w:p>
          <w:p w:rsidR="00047FBF" w:rsidRPr="00047FBF" w:rsidRDefault="00047FBF" w:rsidP="00F73204">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die standortbezogenen Scope-2-THG-Bruttoemissionen in Tonnen CO</w:t>
            </w:r>
            <w:r w:rsidRPr="00396E62">
              <w:rPr>
                <w:rFonts w:ascii="Century Gothic" w:hAnsi="Century Gothic"/>
                <w:sz w:val="16"/>
                <w:szCs w:val="16"/>
                <w:vertAlign w:val="subscript"/>
              </w:rPr>
              <w:t>2</w:t>
            </w:r>
            <w:r w:rsidRPr="00047FBF">
              <w:rPr>
                <w:rFonts w:ascii="Century Gothic" w:hAnsi="Century Gothic"/>
                <w:sz w:val="16"/>
                <w:szCs w:val="16"/>
              </w:rPr>
              <w:t>-Äquivalent und</w:t>
            </w:r>
          </w:p>
          <w:p w:rsidR="00047FBF" w:rsidRPr="00047FBF" w:rsidRDefault="00047FBF" w:rsidP="00F73204">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die marktbezogenen Scope-2-THG-Bruttoemissionen in Tonnen CO</w:t>
            </w:r>
            <w:r w:rsidRPr="00396E62">
              <w:rPr>
                <w:rFonts w:ascii="Century Gothic" w:hAnsi="Century Gothic"/>
                <w:sz w:val="16"/>
                <w:szCs w:val="16"/>
                <w:vertAlign w:val="subscript"/>
              </w:rPr>
              <w:t>2</w:t>
            </w:r>
            <w:r w:rsidRPr="00047FBF">
              <w:rPr>
                <w:rFonts w:ascii="Century Gothic" w:hAnsi="Century Gothic"/>
                <w:sz w:val="16"/>
                <w:szCs w:val="16"/>
              </w:rPr>
              <w:t>-Äquivalent.</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047FBF" w:rsidRPr="000E0C5F" w:rsidRDefault="00047FBF" w:rsidP="00E00FA8">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047FBF"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047FBF" w:rsidRPr="0015165A" w:rsidRDefault="00047FBF" w:rsidP="00E00FA8">
            <w:pPr>
              <w:spacing w:before="0"/>
              <w:contextualSpacing/>
              <w:jc w:val="center"/>
              <w:rPr>
                <w:sz w:val="16"/>
                <w:szCs w:val="16"/>
              </w:rPr>
            </w:pPr>
            <w:r w:rsidRPr="0015165A">
              <w:rPr>
                <w:sz w:val="16"/>
                <w:szCs w:val="16"/>
              </w:rPr>
              <w:t xml:space="preserve">Tz. </w:t>
            </w:r>
            <w:r>
              <w:rPr>
                <w:sz w:val="16"/>
                <w:szCs w:val="16"/>
              </w:rPr>
              <w:t>50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7FBF" w:rsidRPr="00047FBF" w:rsidRDefault="00047FBF"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Für die gemäß Absatz 44 Buchstaben a und b angegebenen </w:t>
            </w:r>
            <w:r w:rsidRPr="00047FBF">
              <w:rPr>
                <w:rFonts w:ascii="Century Gothic" w:hAnsi="Century Gothic"/>
                <w:b/>
                <w:bCs/>
                <w:sz w:val="16"/>
                <w:szCs w:val="16"/>
              </w:rPr>
              <w:t xml:space="preserve">Scope-1- und Scope-2-Emissionen </w:t>
            </w:r>
            <w:r w:rsidRPr="00047FBF">
              <w:rPr>
                <w:rFonts w:ascii="Century Gothic" w:hAnsi="Century Gothic"/>
                <w:sz w:val="16"/>
                <w:szCs w:val="16"/>
              </w:rPr>
              <w:t>muss das Unternehmen die Informationen aufschlüsseln und dabei getrennt folgende Emissionen angeben:</w:t>
            </w:r>
          </w:p>
          <w:p w:rsidR="00047FBF" w:rsidRPr="00047FBF" w:rsidRDefault="00047FBF" w:rsidP="00F73204">
            <w:pPr>
              <w:pStyle w:val="Default"/>
              <w:numPr>
                <w:ilvl w:val="0"/>
                <w:numId w:val="1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die zu Rechnungslegungszwecken </w:t>
            </w:r>
            <w:r w:rsidRPr="00441F70">
              <w:rPr>
                <w:rFonts w:ascii="Century Gothic" w:hAnsi="Century Gothic"/>
                <w:sz w:val="16"/>
                <w:szCs w:val="16"/>
                <w:highlight w:val="yellow"/>
              </w:rPr>
              <w:t>konsolidierte Gruppe</w:t>
            </w:r>
            <w:r w:rsidRPr="00047FBF">
              <w:rPr>
                <w:rFonts w:ascii="Century Gothic" w:hAnsi="Century Gothic"/>
                <w:sz w:val="16"/>
                <w:szCs w:val="16"/>
              </w:rPr>
              <w:t xml:space="preserve"> (das Mutterunternehmen und die Tochterunternehmen) und</w:t>
            </w:r>
          </w:p>
          <w:p w:rsidR="00047FBF" w:rsidRPr="00047FBF" w:rsidRDefault="00047FBF" w:rsidP="00F73204">
            <w:pPr>
              <w:pStyle w:val="Default"/>
              <w:numPr>
                <w:ilvl w:val="0"/>
                <w:numId w:val="1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47FBF">
              <w:rPr>
                <w:rFonts w:ascii="Century Gothic" w:hAnsi="Century Gothic"/>
                <w:sz w:val="16"/>
                <w:szCs w:val="16"/>
              </w:rPr>
              <w:t xml:space="preserve">Unternehmen, in die investiert wird, wie </w:t>
            </w:r>
            <w:r w:rsidRPr="00441F70">
              <w:rPr>
                <w:rFonts w:ascii="Century Gothic" w:hAnsi="Century Gothic"/>
                <w:sz w:val="16"/>
                <w:szCs w:val="16"/>
                <w:highlight w:val="yellow"/>
              </w:rPr>
              <w:t>verbundene</w:t>
            </w:r>
            <w:r w:rsidRPr="00047FBF">
              <w:rPr>
                <w:rFonts w:ascii="Century Gothic" w:hAnsi="Century Gothic"/>
                <w:sz w:val="16"/>
                <w:szCs w:val="16"/>
              </w:rPr>
              <w:t xml:space="preserve"> und </w:t>
            </w:r>
            <w:r w:rsidRPr="00441F70">
              <w:rPr>
                <w:rFonts w:ascii="Century Gothic" w:hAnsi="Century Gothic"/>
                <w:sz w:val="16"/>
                <w:szCs w:val="16"/>
                <w:highlight w:val="yellow"/>
              </w:rPr>
              <w:t>gemeinsame Unternehmen</w:t>
            </w:r>
            <w:r w:rsidRPr="00047FBF">
              <w:rPr>
                <w:rFonts w:ascii="Century Gothic" w:hAnsi="Century Gothic"/>
                <w:sz w:val="16"/>
                <w:szCs w:val="16"/>
              </w:rPr>
              <w:t xml:space="preserve"> oder nicht konsolidierte Tochterunternehmen, die im Abschluss der zu Rechnungslegungszwecken konsolidierten Gruppe nicht vollständig konsolidiert sind, sowie vertragliche Vereinbarungen, bei denen es sich um gemeinsame Vereinbarungen handelt, die nicht durch ein Unternehmen strukturiert sind (d. h. gemeinsam kontrollierte Geschäftsbereiche und Vermögenswerte), über die das Unternehmen die operative Kontrolle hat.</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047FBF" w:rsidRPr="000E0C5F" w:rsidRDefault="00047FBF" w:rsidP="00E00FA8">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330A29"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330A29" w:rsidRPr="0015165A" w:rsidRDefault="00330A29" w:rsidP="00E00FA8">
            <w:pPr>
              <w:spacing w:before="0"/>
              <w:contextualSpacing/>
              <w:jc w:val="center"/>
              <w:rPr>
                <w:sz w:val="16"/>
                <w:szCs w:val="16"/>
              </w:rPr>
            </w:pPr>
            <w:r w:rsidRPr="0015165A">
              <w:rPr>
                <w:sz w:val="16"/>
                <w:szCs w:val="16"/>
              </w:rPr>
              <w:t xml:space="preserve">Tz. </w:t>
            </w:r>
            <w:r>
              <w:rPr>
                <w:sz w:val="16"/>
                <w:szCs w:val="16"/>
              </w:rPr>
              <w:t>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30A29" w:rsidRPr="00330A29" w:rsidRDefault="00330A29" w:rsidP="00E00FA8">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30A29">
              <w:rPr>
                <w:rFonts w:ascii="Century Gothic" w:hAnsi="Century Gothic"/>
                <w:sz w:val="16"/>
                <w:szCs w:val="16"/>
              </w:rPr>
              <w:t>Die Angabe der Scope-3-THG-Bruttoemissionen gemäß Absatz 44 Buchstabe c umfasst die Treibhausgasemissionen in Tonnen CO</w:t>
            </w:r>
            <w:r w:rsidRPr="00396E62">
              <w:rPr>
                <w:rFonts w:ascii="Century Gothic" w:hAnsi="Century Gothic"/>
                <w:sz w:val="16"/>
                <w:szCs w:val="16"/>
                <w:vertAlign w:val="subscript"/>
              </w:rPr>
              <w:t>2</w:t>
            </w:r>
            <w:r w:rsidRPr="00330A29">
              <w:rPr>
                <w:rFonts w:ascii="Century Gothic" w:hAnsi="Century Gothic"/>
                <w:sz w:val="16"/>
                <w:szCs w:val="16"/>
              </w:rPr>
              <w:t xml:space="preserve">-Äquivalent aus jeder signifikanten </w:t>
            </w:r>
            <w:r w:rsidRPr="00441F70">
              <w:rPr>
                <w:rFonts w:ascii="Century Gothic" w:hAnsi="Century Gothic"/>
                <w:b/>
                <w:bCs/>
                <w:sz w:val="16"/>
                <w:szCs w:val="16"/>
                <w:highlight w:val="yellow"/>
              </w:rPr>
              <w:t>Scope-3-Kategorie</w:t>
            </w:r>
            <w:r w:rsidRPr="00330A29">
              <w:rPr>
                <w:rFonts w:ascii="Century Gothic" w:hAnsi="Century Gothic"/>
                <w:b/>
                <w:bCs/>
                <w:sz w:val="16"/>
                <w:szCs w:val="16"/>
              </w:rPr>
              <w:t xml:space="preserve"> </w:t>
            </w:r>
            <w:r w:rsidRPr="00330A29">
              <w:rPr>
                <w:rFonts w:ascii="Century Gothic" w:hAnsi="Century Gothic"/>
                <w:sz w:val="16"/>
                <w:szCs w:val="16"/>
              </w:rPr>
              <w:t>(d. h. jeder Scope-3-Kategorie, die für das Unternehmen eine Priorität darstellt).</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330A29" w:rsidRPr="000E0C5F" w:rsidRDefault="00330A29" w:rsidP="00E00FA8">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773AD7" w:rsidRDefault="00441F70">
      <w:r>
        <w:rPr>
          <w:noProof/>
          <w:sz w:val="20"/>
        </w:rPr>
        <mc:AlternateContent>
          <mc:Choice Requires="wps">
            <w:drawing>
              <wp:anchor distT="0" distB="0" distL="114300" distR="114300" simplePos="0" relativeHeight="251669504" behindDoc="0" locked="0" layoutInCell="1" allowOverlap="1" wp14:anchorId="1ACB70EC" wp14:editId="09B7DE49">
                <wp:simplePos x="0" y="0"/>
                <wp:positionH relativeFrom="column">
                  <wp:posOffset>4934560</wp:posOffset>
                </wp:positionH>
                <wp:positionV relativeFrom="paragraph">
                  <wp:posOffset>-6445859</wp:posOffset>
                </wp:positionV>
                <wp:extent cx="1110615" cy="548640"/>
                <wp:effectExtent l="285750" t="0" r="0" b="3810"/>
                <wp:wrapNone/>
                <wp:docPr id="14" name="Sprechblase: rechteckig 14"/>
                <wp:cNvGraphicFramePr/>
                <a:graphic xmlns:a="http://schemas.openxmlformats.org/drawingml/2006/main">
                  <a:graphicData uri="http://schemas.microsoft.com/office/word/2010/wordprocessingShape">
                    <wps:wsp>
                      <wps:cNvSpPr/>
                      <wps:spPr>
                        <a:xfrm>
                          <a:off x="0" y="0"/>
                          <a:ext cx="1110615" cy="548640"/>
                        </a:xfrm>
                        <a:prstGeom prst="wedgeRectCallout">
                          <a:avLst>
                            <a:gd name="adj1" fmla="val -75861"/>
                            <a:gd name="adj2" fmla="val -34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F70" w:rsidRPr="00D23B84" w:rsidRDefault="00441F70" w:rsidP="00441F70">
                            <w:pPr>
                              <w:spacing w:before="0"/>
                              <w:jc w:val="center"/>
                              <w:rPr>
                                <w:b/>
                                <w:color w:val="000000" w:themeColor="text1"/>
                                <w:sz w:val="15"/>
                                <w:szCs w:val="15"/>
                              </w:rPr>
                            </w:pPr>
                            <w:r>
                              <w:rPr>
                                <w:b/>
                                <w:color w:val="000000" w:themeColor="text1"/>
                                <w:sz w:val="15"/>
                                <w:szCs w:val="15"/>
                              </w:rPr>
                              <w:t xml:space="preserve">Einbezogene </w:t>
                            </w:r>
                            <w:r>
                              <w:rPr>
                                <w:b/>
                                <w:color w:val="000000" w:themeColor="text1"/>
                                <w:sz w:val="15"/>
                                <w:szCs w:val="15"/>
                              </w:rPr>
                              <w:br/>
                              <w:t>Unternehmen „</w:t>
                            </w:r>
                            <w:proofErr w:type="spellStart"/>
                            <w:r>
                              <w:rPr>
                                <w:b/>
                                <w:color w:val="000000" w:themeColor="text1"/>
                                <w:sz w:val="15"/>
                                <w:szCs w:val="15"/>
                              </w:rPr>
                              <w:t>Controll</w:t>
                            </w:r>
                            <w:proofErr w:type="spellEnd"/>
                            <w:r>
                              <w:rPr>
                                <w:b/>
                                <w:color w:val="000000" w:themeColor="text1"/>
                                <w:sz w:val="15"/>
                                <w:szCs w:val="15"/>
                              </w:rPr>
                              <w:t xml:space="preserve"> Prinzip“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70EC" id="Sprechblase: rechteckig 14" o:spid="_x0000_s1031" type="#_x0000_t61" style="position:absolute;left:0;text-align:left;margin-left:388.55pt;margin-top:-507.55pt;width:87.4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" adj="-5586,3271" fillcolor="#d8d8d8 [2732]" stroked="f" strokeweight="2pt">
                <v:textbox>
                  <w:txbxContent>
                    <w:p w:rsidR="00441F70" w:rsidRPr="00D23B84" w:rsidRDefault="00441F70" w:rsidP="00441F70">
                      <w:pPr>
                        <w:spacing w:before="0"/>
                        <w:jc w:val="center"/>
                        <w:rPr>
                          <w:b/>
                          <w:color w:val="000000" w:themeColor="text1"/>
                          <w:sz w:val="15"/>
                          <w:szCs w:val="15"/>
                        </w:rPr>
                      </w:pPr>
                      <w:r>
                        <w:rPr>
                          <w:b/>
                          <w:color w:val="000000" w:themeColor="text1"/>
                          <w:sz w:val="15"/>
                          <w:szCs w:val="15"/>
                        </w:rPr>
                        <w:t xml:space="preserve">Einbezogene </w:t>
                      </w:r>
                      <w:r>
                        <w:rPr>
                          <w:b/>
                          <w:color w:val="000000" w:themeColor="text1"/>
                          <w:sz w:val="15"/>
                          <w:szCs w:val="15"/>
                        </w:rPr>
                        <w:br/>
                        <w:t>Unternehmen „</w:t>
                      </w:r>
                      <w:proofErr w:type="spellStart"/>
                      <w:r>
                        <w:rPr>
                          <w:b/>
                          <w:color w:val="000000" w:themeColor="text1"/>
                          <w:sz w:val="15"/>
                          <w:szCs w:val="15"/>
                        </w:rPr>
                        <w:t>Controll</w:t>
                      </w:r>
                      <w:proofErr w:type="spellEnd"/>
                      <w:r>
                        <w:rPr>
                          <w:b/>
                          <w:color w:val="000000" w:themeColor="text1"/>
                          <w:sz w:val="15"/>
                          <w:szCs w:val="15"/>
                        </w:rPr>
                        <w:t xml:space="preserve"> Prinzip“</w:t>
                      </w:r>
                    </w:p>
                  </w:txbxContent>
                </v:textbox>
              </v:shape>
            </w:pict>
          </mc:Fallback>
        </mc:AlternateContent>
      </w:r>
      <w:r w:rsidR="00773AD7">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7"/>
        <w:gridCol w:w="1847"/>
      </w:tblGrid>
      <w:tr w:rsidR="00C03A3B" w:rsidRPr="00122B7B" w:rsidTr="00E00FA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C03A3B" w:rsidRPr="00122B7B" w:rsidRDefault="00C03A3B" w:rsidP="00E00FA8">
            <w:pPr>
              <w:spacing w:before="0"/>
              <w:contextualSpacing/>
              <w:jc w:val="left"/>
              <w:rPr>
                <w:color w:val="000000" w:themeColor="text1"/>
                <w:sz w:val="20"/>
                <w:szCs w:val="20"/>
              </w:rPr>
            </w:pPr>
            <w:r w:rsidRPr="00122B7B">
              <w:rPr>
                <w:color w:val="000000" w:themeColor="text1"/>
                <w:sz w:val="20"/>
                <w:szCs w:val="20"/>
              </w:rPr>
              <w:lastRenderedPageBreak/>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D30C35">
              <w:rPr>
                <w:color w:val="000000" w:themeColor="text1"/>
                <w:sz w:val="20"/>
                <w:szCs w:val="20"/>
              </w:rPr>
              <w:t>;</w:t>
            </w:r>
            <w:r>
              <w:rPr>
                <w:color w:val="000000" w:themeColor="text1"/>
                <w:sz w:val="20"/>
                <w:szCs w:val="20"/>
              </w:rPr>
              <w:t xml:space="preserve"> Forts.</w:t>
            </w:r>
          </w:p>
        </w:tc>
      </w:tr>
      <w:tr w:rsidR="00C03A3B" w:rsidRPr="00E00FA8" w:rsidTr="00E00F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C03A3B" w:rsidRPr="00E00FA8" w:rsidRDefault="00C03A3B" w:rsidP="00E00FA8">
            <w:pPr>
              <w:spacing w:before="0"/>
              <w:contextualSpacing/>
              <w:jc w:val="left"/>
              <w:rPr>
                <w:color w:val="000000" w:themeColor="text1"/>
                <w:sz w:val="2"/>
                <w:szCs w:val="2"/>
              </w:rPr>
            </w:pPr>
          </w:p>
        </w:tc>
      </w:tr>
      <w:tr w:rsidR="00C03A3B" w:rsidRPr="00C03A3B"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vAlign w:val="center"/>
          </w:tcPr>
          <w:p w:rsidR="00C03A3B" w:rsidRPr="00C03A3B" w:rsidRDefault="00C03A3B" w:rsidP="00E00FA8">
            <w:pPr>
              <w:spacing w:before="0"/>
              <w:contextualSpacing/>
              <w:jc w:val="center"/>
              <w:rPr>
                <w:color w:val="FFFFFF" w:themeColor="background1"/>
                <w:sz w:val="20"/>
                <w:szCs w:val="20"/>
              </w:rPr>
            </w:pPr>
            <w:r w:rsidRPr="00C03A3B">
              <w:rPr>
                <w:color w:val="FFFFFF" w:themeColor="background1"/>
                <w:sz w:val="20"/>
                <w:szCs w:val="20"/>
              </w:rPr>
              <w:t>Quelle ESRS E1</w:t>
            </w:r>
          </w:p>
        </w:tc>
        <w:tc>
          <w:tcPr>
            <w:tcW w:w="6237" w:type="dxa"/>
            <w:tcBorders>
              <w:top w:val="single" w:sz="4" w:space="0" w:color="auto"/>
              <w:left w:val="single" w:sz="4" w:space="0" w:color="auto"/>
              <w:bottom w:val="single" w:sz="4" w:space="0" w:color="auto"/>
              <w:right w:val="single" w:sz="4" w:space="0" w:color="auto"/>
            </w:tcBorders>
            <w:shd w:val="clear" w:color="auto" w:fill="228B22"/>
            <w:vAlign w:val="center"/>
          </w:tcPr>
          <w:p w:rsidR="00C03A3B" w:rsidRPr="00C03A3B" w:rsidRDefault="00C03A3B" w:rsidP="00E00FA8">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03A3B">
              <w:rPr>
                <w:b/>
                <w:color w:val="FFFFFF" w:themeColor="background1"/>
                <w:sz w:val="20"/>
                <w:szCs w:val="20"/>
              </w:rPr>
              <w:t>Parameter und Ziele</w:t>
            </w:r>
          </w:p>
        </w:tc>
        <w:tc>
          <w:tcPr>
            <w:tcW w:w="1847" w:type="dxa"/>
            <w:tcBorders>
              <w:top w:val="single" w:sz="4" w:space="0" w:color="auto"/>
              <w:left w:val="single" w:sz="4" w:space="0" w:color="auto"/>
              <w:bottom w:val="single" w:sz="4" w:space="0" w:color="auto"/>
              <w:right w:val="single" w:sz="4" w:space="0" w:color="auto"/>
            </w:tcBorders>
            <w:shd w:val="clear" w:color="auto" w:fill="228B22"/>
            <w:vAlign w:val="center"/>
          </w:tcPr>
          <w:p w:rsidR="00C03A3B" w:rsidRPr="00C03A3B" w:rsidRDefault="00C03A3B" w:rsidP="00E00FA8">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C03A3B">
              <w:rPr>
                <w:b/>
                <w:color w:val="FFFFFF" w:themeColor="background1"/>
                <w:sz w:val="16"/>
                <w:szCs w:val="16"/>
              </w:rPr>
              <w:t>Bemerkungen, ggf. Verweis auf Datenpunkte</w:t>
            </w:r>
          </w:p>
        </w:tc>
      </w:tr>
      <w:tr w:rsidR="00330A29"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330A29" w:rsidRPr="00773AD7" w:rsidRDefault="00330A29" w:rsidP="00E00FA8">
            <w:pPr>
              <w:spacing w:before="0"/>
              <w:contextualSpacing/>
              <w:jc w:val="center"/>
              <w:rPr>
                <w:sz w:val="16"/>
                <w:szCs w:val="16"/>
              </w:rPr>
            </w:pPr>
            <w:r w:rsidRPr="00773AD7">
              <w:rPr>
                <w:sz w:val="16"/>
                <w:szCs w:val="16"/>
              </w:rPr>
              <w:t>Tz. 52</w:t>
            </w:r>
          </w:p>
        </w:tc>
        <w:tc>
          <w:tcPr>
            <w:tcW w:w="6237" w:type="dxa"/>
            <w:shd w:val="clear" w:color="auto" w:fill="auto"/>
          </w:tcPr>
          <w:p w:rsidR="00330A29" w:rsidRPr="00773AD7" w:rsidRDefault="00330A29"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773AD7">
              <w:rPr>
                <w:rFonts w:ascii="Century Gothic" w:hAnsi="Century Gothic"/>
                <w:sz w:val="16"/>
                <w:szCs w:val="16"/>
              </w:rPr>
              <w:t xml:space="preserve">Die Angabe der THG-Gesamtemissionen nach Absatz 44 Buchstabe d besteht aus der Summe der </w:t>
            </w:r>
            <w:r w:rsidRPr="00773AD7">
              <w:rPr>
                <w:rFonts w:ascii="Century Gothic" w:hAnsi="Century Gothic"/>
                <w:color w:val="auto"/>
                <w:sz w:val="16"/>
                <w:szCs w:val="16"/>
              </w:rPr>
              <w:t xml:space="preserve">Emissionen der Kategorien </w:t>
            </w:r>
            <w:proofErr w:type="spellStart"/>
            <w:r w:rsidRPr="00773AD7">
              <w:rPr>
                <w:rFonts w:ascii="Century Gothic" w:hAnsi="Century Gothic"/>
                <w:color w:val="auto"/>
                <w:sz w:val="16"/>
                <w:szCs w:val="16"/>
              </w:rPr>
              <w:t>Scope</w:t>
            </w:r>
            <w:proofErr w:type="spellEnd"/>
            <w:r w:rsidRPr="00773AD7">
              <w:rPr>
                <w:rFonts w:ascii="Century Gothic" w:hAnsi="Century Gothic"/>
                <w:color w:val="auto"/>
                <w:sz w:val="16"/>
                <w:szCs w:val="16"/>
              </w:rPr>
              <w:t xml:space="preserve"> 1, 2 und 3 </w:t>
            </w:r>
            <w:r w:rsidRPr="00773AD7">
              <w:rPr>
                <w:rFonts w:ascii="Century Gothic" w:hAnsi="Century Gothic"/>
                <w:sz w:val="16"/>
                <w:szCs w:val="16"/>
              </w:rPr>
              <w:t>gemäß Absatz 44 Buchstaben a bis c. Die Angabe der THG-Gesamtemissionen erfolgt in Form einer Aufschlüsselung, bei der Folgendes unterschieden wird:</w:t>
            </w:r>
          </w:p>
          <w:p w:rsidR="00330A29" w:rsidRPr="00773AD7" w:rsidRDefault="00330A29" w:rsidP="00F73204">
            <w:pPr>
              <w:pStyle w:val="Default"/>
              <w:numPr>
                <w:ilvl w:val="0"/>
                <w:numId w:val="18"/>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773AD7">
              <w:rPr>
                <w:rFonts w:ascii="Century Gothic" w:hAnsi="Century Gothic"/>
                <w:sz w:val="16"/>
                <w:szCs w:val="16"/>
              </w:rPr>
              <w:t>die THG-Gesamtemissionen, die aus den zugrunde liegenden Scope-2-Treibhausgasemissionen hervorgehen, die anhand der standortbezogenen Methode gemessen wurden, und</w:t>
            </w:r>
          </w:p>
          <w:p w:rsidR="00680DF2" w:rsidRPr="00773AD7" w:rsidRDefault="00330A29" w:rsidP="00F73204">
            <w:pPr>
              <w:pStyle w:val="Default"/>
              <w:numPr>
                <w:ilvl w:val="0"/>
                <w:numId w:val="18"/>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773AD7">
              <w:rPr>
                <w:rFonts w:ascii="Century Gothic" w:hAnsi="Century Gothic"/>
                <w:sz w:val="16"/>
                <w:szCs w:val="16"/>
              </w:rPr>
              <w:t>die THG-Gesamtemissionen, die aus den zugrunde liegenden Scope-2-Treibhausgasemissionen hervorgehen, die anhand der marktbezogenen Methode gemessen wurden.</w:t>
            </w:r>
          </w:p>
          <w:p w:rsidR="00330A29" w:rsidRPr="00773AD7" w:rsidRDefault="00680DF2"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sz w:val="16"/>
                <w:szCs w:val="16"/>
              </w:rPr>
            </w:pPr>
            <w:r w:rsidRPr="00441F70">
              <w:rPr>
                <w:rFonts w:ascii="Century Gothic" w:hAnsi="Century Gothic"/>
                <w:i/>
                <w:iCs/>
                <w:sz w:val="16"/>
                <w:szCs w:val="16"/>
                <w:highlight w:val="yellow"/>
              </w:rPr>
              <w:t>Treibhausgasintensität auf der Grundlage der Nettoeinnahmen</w:t>
            </w:r>
            <w:r w:rsidR="00E00FA8">
              <w:rPr>
                <w:rStyle w:val="Funotenzeichen"/>
                <w:rFonts w:ascii="Century Gothic" w:hAnsi="Century Gothic"/>
                <w:i/>
                <w:iCs/>
                <w:sz w:val="16"/>
              </w:rPr>
              <w:footnoteReference w:id="2"/>
            </w:r>
          </w:p>
        </w:tc>
        <w:tc>
          <w:tcPr>
            <w:tcW w:w="1847" w:type="dxa"/>
            <w:shd w:val="clear" w:color="auto" w:fill="auto"/>
          </w:tcPr>
          <w:p w:rsidR="00330A29" w:rsidRPr="000E0C5F" w:rsidRDefault="00330A29" w:rsidP="00E00FA8">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7D1B45" w:rsidRPr="000E0C5F" w:rsidTr="00617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7D1B45" w:rsidRPr="00773AD7" w:rsidRDefault="007D1B45" w:rsidP="00E00FA8">
            <w:pPr>
              <w:spacing w:before="0"/>
              <w:contextualSpacing/>
              <w:jc w:val="center"/>
              <w:rPr>
                <w:sz w:val="16"/>
                <w:szCs w:val="16"/>
              </w:rPr>
            </w:pPr>
            <w:r w:rsidRPr="00773AD7">
              <w:rPr>
                <w:sz w:val="16"/>
                <w:szCs w:val="16"/>
              </w:rPr>
              <w:t>Tz. 5</w:t>
            </w:r>
            <w:r>
              <w:rPr>
                <w:sz w:val="16"/>
                <w:szCs w:val="16"/>
              </w:rPr>
              <w:t>3</w:t>
            </w:r>
          </w:p>
        </w:tc>
        <w:tc>
          <w:tcPr>
            <w:tcW w:w="6237" w:type="dxa"/>
            <w:shd w:val="clear" w:color="auto" w:fill="auto"/>
          </w:tcPr>
          <w:p w:rsidR="007D1B45" w:rsidRPr="007D1B45" w:rsidRDefault="007D1B45" w:rsidP="00E00FA8">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7D1B45">
              <w:rPr>
                <w:rFonts w:ascii="Century Gothic" w:hAnsi="Century Gothic"/>
                <w:sz w:val="16"/>
                <w:szCs w:val="16"/>
              </w:rPr>
              <w:t xml:space="preserve">Das Unternehmen gibt die Intensität seiner Treibhausgasemissionen an </w:t>
            </w:r>
            <w:r w:rsidRPr="00441F70">
              <w:rPr>
                <w:rFonts w:ascii="Century Gothic" w:hAnsi="Century Gothic"/>
                <w:sz w:val="16"/>
                <w:szCs w:val="16"/>
                <w:highlight w:val="yellow"/>
              </w:rPr>
              <w:t>(THG-Gesamtemissionen je Nettoeinnahme).</w:t>
            </w:r>
          </w:p>
        </w:tc>
        <w:tc>
          <w:tcPr>
            <w:tcW w:w="1847" w:type="dxa"/>
            <w:shd w:val="clear" w:color="auto" w:fill="auto"/>
          </w:tcPr>
          <w:p w:rsidR="007D1B45" w:rsidRPr="000E0C5F" w:rsidRDefault="00441F70" w:rsidP="00E00FA8">
            <w:pPr>
              <w:spacing w:before="0"/>
              <w:contextualSpacing/>
              <w:cnfStyle w:val="000000000000" w:firstRow="0" w:lastRow="0" w:firstColumn="0" w:lastColumn="0" w:oddVBand="0" w:evenVBand="0" w:oddHBand="0" w:evenHBand="0" w:firstRowFirstColumn="0" w:firstRowLastColumn="0" w:lastRowFirstColumn="0" w:lastRowLastColumn="0"/>
              <w:rPr>
                <w:sz w:val="20"/>
              </w:rPr>
            </w:pPr>
            <w:r>
              <w:rPr>
                <w:noProof/>
                <w:sz w:val="20"/>
              </w:rPr>
              <mc:AlternateContent>
                <mc:Choice Requires="wps">
                  <w:drawing>
                    <wp:anchor distT="0" distB="0" distL="114300" distR="114300" simplePos="0" relativeHeight="251675648" behindDoc="0" locked="0" layoutInCell="1" allowOverlap="1" wp14:anchorId="1E4451AC" wp14:editId="3DFE0528">
                      <wp:simplePos x="0" y="0"/>
                      <wp:positionH relativeFrom="column">
                        <wp:posOffset>316001</wp:posOffset>
                      </wp:positionH>
                      <wp:positionV relativeFrom="paragraph">
                        <wp:posOffset>-39447</wp:posOffset>
                      </wp:positionV>
                      <wp:extent cx="1110615" cy="402336"/>
                      <wp:effectExtent l="285750" t="0" r="0" b="0"/>
                      <wp:wrapNone/>
                      <wp:docPr id="16" name="Sprechblase: rechteckig 16"/>
                      <wp:cNvGraphicFramePr/>
                      <a:graphic xmlns:a="http://schemas.openxmlformats.org/drawingml/2006/main">
                        <a:graphicData uri="http://schemas.microsoft.com/office/word/2010/wordprocessingShape">
                          <wps:wsp>
                            <wps:cNvSpPr/>
                            <wps:spPr>
                              <a:xfrm>
                                <a:off x="0" y="0"/>
                                <a:ext cx="1110615" cy="402336"/>
                              </a:xfrm>
                              <a:prstGeom prst="wedgeRectCallout">
                                <a:avLst>
                                  <a:gd name="adj1" fmla="val -75861"/>
                                  <a:gd name="adj2" fmla="val -34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1F70" w:rsidRPr="00D23B84" w:rsidRDefault="00441F70" w:rsidP="00441F70">
                                  <w:pPr>
                                    <w:spacing w:before="0"/>
                                    <w:jc w:val="center"/>
                                    <w:rPr>
                                      <w:b/>
                                      <w:color w:val="000000" w:themeColor="text1"/>
                                      <w:sz w:val="15"/>
                                      <w:szCs w:val="15"/>
                                    </w:rPr>
                                  </w:pPr>
                                  <w:r>
                                    <w:rPr>
                                      <w:b/>
                                      <w:color w:val="000000" w:themeColor="text1"/>
                                      <w:sz w:val="15"/>
                                      <w:szCs w:val="15"/>
                                    </w:rPr>
                                    <w:t>Definitions-</w:t>
                                  </w:r>
                                  <w:r>
                                    <w:rPr>
                                      <w:b/>
                                      <w:color w:val="000000" w:themeColor="text1"/>
                                      <w:sz w:val="15"/>
                                      <w:szCs w:val="15"/>
                                    </w:rPr>
                                    <w:br/>
                                    <w:t>Kennzahlen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451AC" id="Sprechblase: rechteckig 16" o:spid="_x0000_s1032" type="#_x0000_t61" style="position:absolute;left:0;text-align:left;margin-left:24.9pt;margin-top:-3.1pt;width:87.45pt;height:3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" adj="-5586,3271" fillcolor="#d8d8d8 [2732]" stroked="f" strokeweight="2pt">
                      <v:textbox>
                        <w:txbxContent>
                          <w:p w:rsidR="00441F70" w:rsidRPr="00D23B84" w:rsidRDefault="00441F70" w:rsidP="00441F70">
                            <w:pPr>
                              <w:spacing w:before="0"/>
                              <w:jc w:val="center"/>
                              <w:rPr>
                                <w:b/>
                                <w:color w:val="000000" w:themeColor="text1"/>
                                <w:sz w:val="15"/>
                                <w:szCs w:val="15"/>
                              </w:rPr>
                            </w:pPr>
                            <w:r>
                              <w:rPr>
                                <w:b/>
                                <w:color w:val="000000" w:themeColor="text1"/>
                                <w:sz w:val="15"/>
                                <w:szCs w:val="15"/>
                              </w:rPr>
                              <w:t>Definitions-</w:t>
                            </w:r>
                            <w:r>
                              <w:rPr>
                                <w:b/>
                                <w:color w:val="000000" w:themeColor="text1"/>
                                <w:sz w:val="15"/>
                                <w:szCs w:val="15"/>
                              </w:rPr>
                              <w:br/>
                              <w:t>Kennzahlen</w:t>
                            </w:r>
                          </w:p>
                        </w:txbxContent>
                      </v:textbox>
                    </v:shape>
                  </w:pict>
                </mc:Fallback>
              </mc:AlternateContent>
            </w:r>
          </w:p>
        </w:tc>
      </w:tr>
      <w:tr w:rsidR="007D1B45"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7D1B45" w:rsidRPr="00773AD7" w:rsidRDefault="007D1B45" w:rsidP="00E00FA8">
            <w:pPr>
              <w:spacing w:before="0"/>
              <w:contextualSpacing/>
              <w:jc w:val="center"/>
              <w:rPr>
                <w:sz w:val="16"/>
                <w:szCs w:val="16"/>
              </w:rPr>
            </w:pPr>
            <w:r w:rsidRPr="00773AD7">
              <w:rPr>
                <w:sz w:val="16"/>
                <w:szCs w:val="16"/>
              </w:rPr>
              <w:t>Tz. 5</w:t>
            </w:r>
            <w:r>
              <w:rPr>
                <w:sz w:val="16"/>
                <w:szCs w:val="16"/>
              </w:rPr>
              <w:t>4</w:t>
            </w:r>
          </w:p>
        </w:tc>
        <w:tc>
          <w:tcPr>
            <w:tcW w:w="6237" w:type="dxa"/>
            <w:shd w:val="clear" w:color="auto" w:fill="auto"/>
          </w:tcPr>
          <w:p w:rsidR="007D1B45" w:rsidRPr="007D1B45" w:rsidRDefault="007D1B45" w:rsidP="00E00FA8">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7D1B45">
              <w:rPr>
                <w:rFonts w:ascii="Century Gothic" w:hAnsi="Century Gothic"/>
                <w:sz w:val="16"/>
                <w:szCs w:val="16"/>
              </w:rPr>
              <w:t xml:space="preserve">Die Angabe </w:t>
            </w:r>
            <w:r w:rsidRPr="00441F70">
              <w:rPr>
                <w:rFonts w:ascii="Century Gothic" w:hAnsi="Century Gothic"/>
                <w:sz w:val="16"/>
                <w:szCs w:val="16"/>
              </w:rPr>
              <w:t>der</w:t>
            </w:r>
            <w:r w:rsidRPr="00441F70">
              <w:rPr>
                <w:rFonts w:ascii="Century Gothic" w:hAnsi="Century Gothic"/>
                <w:sz w:val="16"/>
                <w:szCs w:val="16"/>
                <w:highlight w:val="yellow"/>
              </w:rPr>
              <w:t xml:space="preserve"> Treibhausgasintensität</w:t>
            </w:r>
            <w:r w:rsidRPr="007D1B45">
              <w:rPr>
                <w:rFonts w:ascii="Century Gothic" w:hAnsi="Century Gothic"/>
                <w:sz w:val="16"/>
                <w:szCs w:val="16"/>
              </w:rPr>
              <w:t xml:space="preserve"> nach Absatz 53 umfasst die THG-Gesamtemissionen in Tonnen CO</w:t>
            </w:r>
            <w:r w:rsidRPr="00396E62">
              <w:rPr>
                <w:rFonts w:ascii="Century Gothic" w:hAnsi="Century Gothic"/>
                <w:sz w:val="16"/>
                <w:szCs w:val="16"/>
                <w:vertAlign w:val="subscript"/>
              </w:rPr>
              <w:t>2</w:t>
            </w:r>
            <w:r w:rsidRPr="007D1B45">
              <w:rPr>
                <w:rFonts w:ascii="Century Gothic" w:hAnsi="Century Gothic"/>
                <w:sz w:val="16"/>
                <w:szCs w:val="16"/>
              </w:rPr>
              <w:t>- Äquivalent (gemäß Absatz 44 Buchstabe d) je Nettoeinnahme.</w:t>
            </w:r>
          </w:p>
        </w:tc>
        <w:tc>
          <w:tcPr>
            <w:tcW w:w="1847" w:type="dxa"/>
            <w:shd w:val="clear" w:color="auto" w:fill="auto"/>
          </w:tcPr>
          <w:p w:rsidR="007D1B45" w:rsidRPr="000E0C5F" w:rsidRDefault="007D1B45" w:rsidP="00E00FA8">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7D1B45" w:rsidRPr="000E0C5F" w:rsidTr="00E00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7D1B45" w:rsidRPr="00773AD7" w:rsidRDefault="007D1B45" w:rsidP="00E00FA8">
            <w:pPr>
              <w:spacing w:before="0"/>
              <w:contextualSpacing/>
              <w:jc w:val="center"/>
              <w:rPr>
                <w:sz w:val="16"/>
                <w:szCs w:val="16"/>
              </w:rPr>
            </w:pPr>
            <w:r w:rsidRPr="00773AD7">
              <w:rPr>
                <w:sz w:val="16"/>
                <w:szCs w:val="16"/>
              </w:rPr>
              <w:t>Tz. 5</w:t>
            </w:r>
            <w:r>
              <w:rPr>
                <w:sz w:val="16"/>
                <w:szCs w:val="16"/>
              </w:rPr>
              <w:t>5</w:t>
            </w:r>
          </w:p>
        </w:tc>
        <w:tc>
          <w:tcPr>
            <w:tcW w:w="6237" w:type="dxa"/>
            <w:shd w:val="clear" w:color="auto" w:fill="auto"/>
          </w:tcPr>
          <w:p w:rsidR="007D1B45" w:rsidRPr="007D1B45" w:rsidRDefault="007D1B45" w:rsidP="00E00FA8">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7D1B45">
              <w:rPr>
                <w:rFonts w:ascii="Century Gothic" w:hAnsi="Century Gothic"/>
                <w:sz w:val="16"/>
                <w:szCs w:val="16"/>
              </w:rPr>
              <w:t>Das Unternehmen gibt den Abgleich der Nettoeinnahme (Bezugsgröße bei der Berechnung der Treibhausgasintensität gemäß Absatz 53) mit dem entsprechenden Posten oder den entsprechenden Erläuterungen im Abschluss an.</w:t>
            </w:r>
          </w:p>
        </w:tc>
        <w:tc>
          <w:tcPr>
            <w:tcW w:w="1847" w:type="dxa"/>
            <w:shd w:val="clear" w:color="auto" w:fill="auto"/>
          </w:tcPr>
          <w:p w:rsidR="007D1B45" w:rsidRPr="000E0C5F" w:rsidRDefault="007D1B45" w:rsidP="00E00FA8">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E00FA8" w:rsidRDefault="00773AD7" w:rsidP="0053480B">
      <w:pPr>
        <w:spacing w:before="0"/>
        <w:rPr>
          <w:sz w:val="12"/>
          <w:szCs w:val="12"/>
        </w:rPr>
      </w:pPr>
      <w:r w:rsidRPr="00773AD7">
        <w:rPr>
          <w:sz w:val="12"/>
          <w:szCs w:val="12"/>
        </w:rPr>
        <w:t xml:space="preserve"> </w:t>
      </w:r>
    </w:p>
    <w:p w:rsidR="00E00FA8" w:rsidRDefault="00E00FA8" w:rsidP="00E00FA8">
      <w:pPr>
        <w:pStyle w:val="Standardeinzug"/>
      </w:pPr>
      <w: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7C77B1" w:rsidRPr="00122B7B" w:rsidTr="00E00FA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C77B1" w:rsidRPr="00122B7B" w:rsidRDefault="007C77B1" w:rsidP="005F328B">
            <w:pPr>
              <w:spacing w:before="60" w:after="60"/>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7C77B1" w:rsidRPr="00617F89" w:rsidTr="00E00F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rsidR="007C77B1" w:rsidRPr="00617F89" w:rsidRDefault="007C77B1" w:rsidP="00617F89">
            <w:pPr>
              <w:spacing w:before="0"/>
              <w:contextualSpacing/>
              <w:jc w:val="left"/>
              <w:rPr>
                <w:color w:val="000000" w:themeColor="text1"/>
                <w:sz w:val="10"/>
                <w:szCs w:val="10"/>
              </w:rPr>
            </w:pPr>
          </w:p>
        </w:tc>
      </w:tr>
    </w:tbl>
    <w:tbl>
      <w:tblPr>
        <w:tblStyle w:val="Gitternetztabelle4Akzent6"/>
        <w:tblpPr w:leftFromText="141" w:rightFromText="141" w:vertAnchor="text" w:tblpX="-5"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Layout w:type="fixed"/>
        <w:tblCellMar>
          <w:top w:w="85" w:type="dxa"/>
          <w:bottom w:w="85" w:type="dxa"/>
        </w:tblCellMar>
        <w:tblLook w:val="04A0" w:firstRow="1" w:lastRow="0" w:firstColumn="1" w:lastColumn="0" w:noHBand="0" w:noVBand="1"/>
      </w:tblPr>
      <w:tblGrid>
        <w:gridCol w:w="989"/>
        <w:gridCol w:w="6240"/>
        <w:gridCol w:w="1838"/>
      </w:tblGrid>
      <w:tr w:rsidR="00E60A33" w:rsidRPr="00403766" w:rsidTr="00617F89">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shd w:val="clear" w:color="auto" w:fill="228B22"/>
            <w:vAlign w:val="center"/>
          </w:tcPr>
          <w:p w:rsidR="00E60A33" w:rsidRPr="00403766" w:rsidRDefault="00E60A33" w:rsidP="00617F89">
            <w:pPr>
              <w:spacing w:before="0"/>
              <w:contextualSpacing/>
              <w:jc w:val="center"/>
              <w:rPr>
                <w:sz w:val="20"/>
                <w:szCs w:val="20"/>
              </w:rPr>
            </w:pPr>
            <w:r w:rsidRPr="00403766">
              <w:rPr>
                <w:sz w:val="20"/>
                <w:szCs w:val="20"/>
              </w:rPr>
              <w:t>Quelle ESRS E1</w:t>
            </w:r>
          </w:p>
        </w:tc>
        <w:tc>
          <w:tcPr>
            <w:tcW w:w="6240" w:type="dxa"/>
            <w:tcBorders>
              <w:top w:val="none" w:sz="0" w:space="0" w:color="auto"/>
              <w:left w:val="none" w:sz="0" w:space="0" w:color="auto"/>
              <w:bottom w:val="none" w:sz="0" w:space="0" w:color="auto"/>
              <w:right w:val="none" w:sz="0" w:space="0" w:color="auto"/>
            </w:tcBorders>
            <w:shd w:val="clear" w:color="auto" w:fill="228B22"/>
            <w:vAlign w:val="center"/>
          </w:tcPr>
          <w:p w:rsidR="00E60A33" w:rsidRPr="00403766" w:rsidRDefault="00E60A33" w:rsidP="00617F89">
            <w:pPr>
              <w:spacing w:before="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Parameter und Ziele</w:t>
            </w:r>
          </w:p>
        </w:tc>
        <w:tc>
          <w:tcPr>
            <w:tcW w:w="1838" w:type="dxa"/>
            <w:tcBorders>
              <w:top w:val="none" w:sz="0" w:space="0" w:color="auto"/>
              <w:left w:val="none" w:sz="0" w:space="0" w:color="auto"/>
              <w:bottom w:val="none" w:sz="0" w:space="0" w:color="auto"/>
              <w:right w:val="none" w:sz="0" w:space="0" w:color="auto"/>
            </w:tcBorders>
            <w:shd w:val="clear" w:color="auto" w:fill="228B22"/>
            <w:vAlign w:val="center"/>
          </w:tcPr>
          <w:p w:rsidR="00E60A33" w:rsidRPr="00403766" w:rsidRDefault="00E60A33" w:rsidP="00617F89">
            <w:pPr>
              <w:spacing w:before="0"/>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403766">
              <w:rPr>
                <w:sz w:val="16"/>
                <w:szCs w:val="16"/>
              </w:rPr>
              <w:t>Bemerkungen, ggf. Verweis auf Datenpunkte</w:t>
            </w:r>
          </w:p>
        </w:tc>
      </w:tr>
      <w:tr w:rsidR="00692C04" w:rsidRPr="00403766" w:rsidTr="007A52E3">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92C04" w:rsidRPr="00692C04" w:rsidRDefault="00692C04" w:rsidP="00617F89">
            <w:pPr>
              <w:spacing w:before="0"/>
              <w:contextualSpacing/>
              <w:jc w:val="center"/>
              <w:rPr>
                <w:color w:val="auto"/>
                <w:sz w:val="20"/>
              </w:rPr>
            </w:pPr>
          </w:p>
        </w:tc>
        <w:tc>
          <w:tcPr>
            <w:tcW w:w="6240" w:type="dxa"/>
            <w:tcBorders>
              <w:top w:val="none" w:sz="0" w:space="0" w:color="auto"/>
              <w:left w:val="none" w:sz="0" w:space="0" w:color="auto"/>
              <w:bottom w:val="none" w:sz="0" w:space="0" w:color="auto"/>
              <w:right w:val="none" w:sz="0" w:space="0" w:color="auto"/>
            </w:tcBorders>
            <w:shd w:val="clear" w:color="auto" w:fill="auto"/>
            <w:vAlign w:val="center"/>
          </w:tcPr>
          <w:p w:rsidR="00692C04" w:rsidRPr="00692C04" w:rsidRDefault="00692C04" w:rsidP="00617F89">
            <w:pPr>
              <w:pStyle w:val="Default"/>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i/>
                <w:sz w:val="16"/>
                <w:szCs w:val="16"/>
              </w:rPr>
            </w:pPr>
            <w:r w:rsidRPr="00692C04">
              <w:rPr>
                <w:rFonts w:ascii="Century Gothic" w:hAnsi="Century Gothic"/>
                <w:b w:val="0"/>
                <w:bCs w:val="0"/>
                <w:i/>
                <w:sz w:val="16"/>
                <w:szCs w:val="16"/>
              </w:rPr>
              <w:t xml:space="preserve">Leitlinien für die Berechnung </w:t>
            </w:r>
          </w:p>
        </w:tc>
        <w:tc>
          <w:tcPr>
            <w:tcW w:w="1838" w:type="dxa"/>
            <w:tcBorders>
              <w:top w:val="none" w:sz="0" w:space="0" w:color="auto"/>
              <w:left w:val="none" w:sz="0" w:space="0" w:color="auto"/>
              <w:bottom w:val="none" w:sz="0" w:space="0" w:color="auto"/>
              <w:right w:val="none" w:sz="0" w:space="0" w:color="auto"/>
            </w:tcBorders>
            <w:shd w:val="clear" w:color="auto" w:fill="auto"/>
            <w:vAlign w:val="center"/>
          </w:tcPr>
          <w:p w:rsidR="00692C04" w:rsidRPr="00403766" w:rsidRDefault="00692C04" w:rsidP="00617F89">
            <w:pPr>
              <w:spacing w:before="0"/>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p>
        </w:tc>
      </w:tr>
      <w:tr w:rsidR="00990776" w:rsidRPr="00403766" w:rsidTr="00B37A5C">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rsidR="00990776" w:rsidRPr="007D1B45" w:rsidRDefault="00990776" w:rsidP="00617F89">
            <w:pPr>
              <w:spacing w:before="0"/>
              <w:contextualSpacing/>
              <w:jc w:val="center"/>
              <w:rPr>
                <w:color w:val="auto"/>
                <w:sz w:val="16"/>
                <w:szCs w:val="16"/>
              </w:rPr>
            </w:pPr>
            <w:r w:rsidRPr="007D1B45">
              <w:rPr>
                <w:color w:val="auto"/>
                <w:sz w:val="16"/>
                <w:szCs w:val="16"/>
              </w:rPr>
              <w:t xml:space="preserve">AR </w:t>
            </w:r>
            <w:r w:rsidR="007D1B45">
              <w:rPr>
                <w:color w:val="auto"/>
                <w:sz w:val="16"/>
                <w:szCs w:val="16"/>
              </w:rPr>
              <w:t>39</w:t>
            </w:r>
          </w:p>
        </w:tc>
        <w:tc>
          <w:tcPr>
            <w:tcW w:w="6240" w:type="dxa"/>
            <w:tcBorders>
              <w:top w:val="none" w:sz="0" w:space="0" w:color="auto"/>
              <w:left w:val="none" w:sz="0" w:space="0" w:color="auto"/>
              <w:bottom w:val="single" w:sz="4" w:space="0" w:color="auto"/>
              <w:right w:val="none" w:sz="0" w:space="0" w:color="auto"/>
            </w:tcBorders>
            <w:shd w:val="clear" w:color="auto" w:fill="auto"/>
          </w:tcPr>
          <w:p w:rsidR="00E01E33" w:rsidRDefault="00E01E33" w:rsidP="00617F89">
            <w:pPr>
              <w:pStyle w:val="Default"/>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6"/>
                <w:szCs w:val="16"/>
              </w:rPr>
            </w:pPr>
            <w:r w:rsidRPr="00E01E33">
              <w:rPr>
                <w:rFonts w:ascii="Century Gothic" w:hAnsi="Century Gothic"/>
                <w:b w:val="0"/>
                <w:sz w:val="16"/>
                <w:szCs w:val="16"/>
              </w:rPr>
              <w:t>Bei der Zusammenstellung der nach Absatz 44 erforderlichen Informationen für die Berichterstattung über Treibhausgasemissionen geht das Unternehmen wie folgt vor:</w:t>
            </w:r>
          </w:p>
          <w:p w:rsidR="00E01E33" w:rsidRPr="00E01E33" w:rsidRDefault="00E01E33" w:rsidP="003F79F4">
            <w:pPr>
              <w:pStyle w:val="Default"/>
              <w:numPr>
                <w:ilvl w:val="0"/>
                <w:numId w:val="19"/>
              </w:numPr>
              <w:ind w:left="466"/>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E01E33">
              <w:rPr>
                <w:rFonts w:ascii="Century Gothic" w:hAnsi="Century Gothic"/>
                <w:b w:val="0"/>
                <w:sz w:val="16"/>
                <w:szCs w:val="16"/>
              </w:rPr>
              <w:t>Es beachtet die Grundsätze, Anforderungen und Leitlinien des Unternehmensstandards des THG-Protokolls (Fassung von 2004). Das Unternehmen kann die Empfehlung (EU) 2021/2279 der Kommission</w:t>
            </w:r>
            <w:r w:rsidRPr="00E01E33">
              <w:rPr>
                <w:rFonts w:ascii="Century Gothic" w:hAnsi="Century Gothic"/>
                <w:b w:val="0"/>
                <w:sz w:val="16"/>
                <w:szCs w:val="16"/>
                <w:vertAlign w:val="superscript"/>
              </w:rPr>
              <w:t>51</w:t>
            </w:r>
            <w:r w:rsidR="00DB2096">
              <w:rPr>
                <w:rFonts w:ascii="Century Gothic" w:hAnsi="Century Gothic"/>
                <w:b w:val="0"/>
                <w:sz w:val="16"/>
                <w:szCs w:val="16"/>
                <w:vertAlign w:val="superscript"/>
              </w:rPr>
              <w:t xml:space="preserve"> </w:t>
            </w:r>
            <w:r w:rsidRPr="00E01E33">
              <w:rPr>
                <w:rFonts w:ascii="Century Gothic" w:hAnsi="Century Gothic"/>
                <w:b w:val="0"/>
                <w:sz w:val="16"/>
                <w:szCs w:val="16"/>
              </w:rPr>
              <w:t xml:space="preserve">oder die Anforderungen der Norm EN ISO 14064-1:2018 berücksichtigen. Wenn das Unternehmen bereits die THG- Bilanzierungsmethode nach ISO 14064-1:2018 anwendet, muss es dennoch die Anforderungen dieses Standards erfüllen (z. B. in Bezug auf die Berichterstattungsgrenzen und die Angabe marktbezogener </w:t>
            </w:r>
            <w:proofErr w:type="spellStart"/>
            <w:r w:rsidRPr="00E01E33">
              <w:rPr>
                <w:rFonts w:ascii="Century Gothic" w:hAnsi="Century Gothic"/>
                <w:b w:val="0"/>
                <w:sz w:val="16"/>
                <w:szCs w:val="16"/>
              </w:rPr>
              <w:t>Scope</w:t>
            </w:r>
            <w:proofErr w:type="spellEnd"/>
            <w:r w:rsidRPr="00E01E33">
              <w:rPr>
                <w:rFonts w:ascii="Century Gothic" w:hAnsi="Century Gothic"/>
                <w:b w:val="0"/>
                <w:sz w:val="16"/>
                <w:szCs w:val="16"/>
              </w:rPr>
              <w:t>- 2-Treibhausgasemissionen),</w:t>
            </w:r>
          </w:p>
          <w:p w:rsidR="00E01E33" w:rsidRPr="00E01E33" w:rsidRDefault="00E01E33" w:rsidP="003F79F4">
            <w:pPr>
              <w:pStyle w:val="Default"/>
              <w:numPr>
                <w:ilvl w:val="0"/>
                <w:numId w:val="19"/>
              </w:numPr>
              <w:ind w:left="466"/>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E01E33">
              <w:rPr>
                <w:rFonts w:ascii="Century Gothic" w:hAnsi="Century Gothic"/>
                <w:b w:val="0"/>
                <w:sz w:val="16"/>
                <w:szCs w:val="16"/>
              </w:rPr>
              <w:t>es gibt die Methoden, signifikanten Annahmen und Emissionsfaktoren an, die es zur Berechnung oder Messung der Treibhausgasemissionen verwendet, zusammen mit einer Begründung für ihre Verwendung, und stellt einen Verweis oder einen Link auf sonstige verwendete Berechnungswerkzeuge zur Verfügung,</w:t>
            </w:r>
          </w:p>
          <w:p w:rsidR="00E01E33" w:rsidRPr="00E01E33" w:rsidRDefault="00E01E33" w:rsidP="003F79F4">
            <w:pPr>
              <w:pStyle w:val="Default"/>
              <w:numPr>
                <w:ilvl w:val="0"/>
                <w:numId w:val="19"/>
              </w:numPr>
              <w:ind w:left="466"/>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E01E33">
              <w:rPr>
                <w:rFonts w:ascii="Century Gothic" w:hAnsi="Century Gothic"/>
                <w:b w:val="0"/>
                <w:sz w:val="16"/>
                <w:szCs w:val="16"/>
              </w:rPr>
              <w:t>es gibt die Emissionen von CO</w:t>
            </w:r>
            <w:r w:rsidRPr="00396E62">
              <w:rPr>
                <w:rFonts w:ascii="Century Gothic" w:hAnsi="Century Gothic"/>
                <w:b w:val="0"/>
                <w:sz w:val="16"/>
                <w:szCs w:val="16"/>
                <w:vertAlign w:val="subscript"/>
              </w:rPr>
              <w:t>2</w:t>
            </w:r>
            <w:r w:rsidRPr="00E01E33">
              <w:rPr>
                <w:rFonts w:ascii="Century Gothic" w:hAnsi="Century Gothic"/>
                <w:b w:val="0"/>
                <w:sz w:val="16"/>
                <w:szCs w:val="16"/>
              </w:rPr>
              <w:t>, CH</w:t>
            </w:r>
            <w:r w:rsidRPr="00396E62">
              <w:rPr>
                <w:rFonts w:ascii="Century Gothic" w:hAnsi="Century Gothic"/>
                <w:b w:val="0"/>
                <w:sz w:val="16"/>
                <w:szCs w:val="16"/>
                <w:vertAlign w:val="subscript"/>
              </w:rPr>
              <w:t>4</w:t>
            </w:r>
            <w:r w:rsidRPr="00E01E33">
              <w:rPr>
                <w:rFonts w:ascii="Century Gothic" w:hAnsi="Century Gothic"/>
                <w:b w:val="0"/>
                <w:sz w:val="16"/>
                <w:szCs w:val="16"/>
              </w:rPr>
              <w:t>, N</w:t>
            </w:r>
            <w:r w:rsidRPr="00396E62">
              <w:rPr>
                <w:rFonts w:ascii="Century Gothic" w:hAnsi="Century Gothic"/>
                <w:b w:val="0"/>
                <w:sz w:val="16"/>
                <w:szCs w:val="16"/>
                <w:vertAlign w:val="subscript"/>
              </w:rPr>
              <w:t>2</w:t>
            </w:r>
            <w:r w:rsidRPr="00E01E33">
              <w:rPr>
                <w:rFonts w:ascii="Century Gothic" w:hAnsi="Century Gothic"/>
                <w:b w:val="0"/>
                <w:sz w:val="16"/>
                <w:szCs w:val="16"/>
              </w:rPr>
              <w:t>O, HFKW, PFC, SF</w:t>
            </w:r>
            <w:r w:rsidRPr="00396E62">
              <w:rPr>
                <w:rFonts w:ascii="Century Gothic" w:hAnsi="Century Gothic"/>
                <w:b w:val="0"/>
                <w:sz w:val="16"/>
                <w:szCs w:val="16"/>
                <w:vertAlign w:val="subscript"/>
              </w:rPr>
              <w:t>6</w:t>
            </w:r>
            <w:r w:rsidRPr="00E01E33">
              <w:rPr>
                <w:rFonts w:ascii="Century Gothic" w:hAnsi="Century Gothic"/>
                <w:b w:val="0"/>
                <w:sz w:val="16"/>
                <w:szCs w:val="16"/>
              </w:rPr>
              <w:t xml:space="preserve"> und NF</w:t>
            </w:r>
            <w:r w:rsidRPr="00396E62">
              <w:rPr>
                <w:rFonts w:ascii="Century Gothic" w:hAnsi="Century Gothic"/>
                <w:b w:val="0"/>
                <w:sz w:val="16"/>
                <w:szCs w:val="16"/>
                <w:vertAlign w:val="subscript"/>
              </w:rPr>
              <w:t>3</w:t>
            </w:r>
            <w:r w:rsidRPr="00E01E33">
              <w:rPr>
                <w:rFonts w:ascii="Century Gothic" w:hAnsi="Century Gothic"/>
                <w:b w:val="0"/>
                <w:sz w:val="16"/>
                <w:szCs w:val="16"/>
              </w:rPr>
              <w:t xml:space="preserve"> an. Zusätzliche Treibhausgase können berücksichtigt werden, wenn sie als erheblich eingeschätzt werden, und</w:t>
            </w:r>
          </w:p>
          <w:p w:rsidR="00E01E33" w:rsidRPr="00E01E33" w:rsidRDefault="00E01E33" w:rsidP="003F79F4">
            <w:pPr>
              <w:pStyle w:val="Default"/>
              <w:numPr>
                <w:ilvl w:val="0"/>
                <w:numId w:val="19"/>
              </w:numPr>
              <w:ind w:left="466"/>
              <w:contextualSpacing/>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sz w:val="16"/>
                <w:szCs w:val="16"/>
              </w:rPr>
            </w:pPr>
            <w:r w:rsidRPr="00E01E33">
              <w:rPr>
                <w:rFonts w:ascii="Century Gothic" w:hAnsi="Century Gothic"/>
                <w:b w:val="0"/>
                <w:sz w:val="16"/>
                <w:szCs w:val="16"/>
              </w:rPr>
              <w:t xml:space="preserve">es verwendet die aktuellsten vom IPCC veröffentlichten Werte für das </w:t>
            </w:r>
            <w:r w:rsidRPr="00E01E33">
              <w:rPr>
                <w:rFonts w:ascii="Century Gothic" w:hAnsi="Century Gothic"/>
                <w:b w:val="0"/>
                <w:bCs w:val="0"/>
                <w:sz w:val="16"/>
                <w:szCs w:val="16"/>
              </w:rPr>
              <w:t xml:space="preserve">Erderwärmungspotenzial </w:t>
            </w:r>
            <w:r w:rsidRPr="00E01E33">
              <w:rPr>
                <w:rFonts w:ascii="Century Gothic" w:hAnsi="Century Gothic"/>
                <w:b w:val="0"/>
                <w:sz w:val="16"/>
                <w:szCs w:val="16"/>
              </w:rPr>
              <w:t xml:space="preserve">(global </w:t>
            </w:r>
            <w:proofErr w:type="spellStart"/>
            <w:r w:rsidRPr="00E01E33">
              <w:rPr>
                <w:rFonts w:ascii="Century Gothic" w:hAnsi="Century Gothic"/>
                <w:b w:val="0"/>
                <w:sz w:val="16"/>
                <w:szCs w:val="16"/>
              </w:rPr>
              <w:t>warming</w:t>
            </w:r>
            <w:proofErr w:type="spellEnd"/>
            <w:r w:rsidRPr="00E01E33">
              <w:rPr>
                <w:rFonts w:ascii="Century Gothic" w:hAnsi="Century Gothic"/>
                <w:b w:val="0"/>
                <w:sz w:val="16"/>
                <w:szCs w:val="16"/>
              </w:rPr>
              <w:t xml:space="preserve"> potential, GWP) auf der Grundlage eines Zeithorizonts von 100 Jahren zur Berechnung der CO</w:t>
            </w:r>
            <w:r w:rsidRPr="00396E62">
              <w:rPr>
                <w:rFonts w:ascii="Century Gothic" w:hAnsi="Century Gothic"/>
                <w:b w:val="0"/>
                <w:sz w:val="16"/>
                <w:szCs w:val="16"/>
                <w:vertAlign w:val="subscript"/>
              </w:rPr>
              <w:t>2</w:t>
            </w:r>
            <w:r w:rsidRPr="00E01E33">
              <w:rPr>
                <w:rFonts w:ascii="Century Gothic" w:hAnsi="Century Gothic"/>
                <w:b w:val="0"/>
                <w:sz w:val="16"/>
                <w:szCs w:val="16"/>
              </w:rPr>
              <w:t>- Äquivalente für Emissionen von Nicht-CO</w:t>
            </w:r>
            <w:r w:rsidRPr="00396E62">
              <w:rPr>
                <w:rFonts w:ascii="Century Gothic" w:hAnsi="Century Gothic"/>
                <w:b w:val="0"/>
                <w:sz w:val="16"/>
                <w:szCs w:val="16"/>
                <w:vertAlign w:val="subscript"/>
              </w:rPr>
              <w:t>2</w:t>
            </w:r>
            <w:r w:rsidRPr="00E01E33">
              <w:rPr>
                <w:rFonts w:ascii="Century Gothic" w:hAnsi="Century Gothic"/>
                <w:b w:val="0"/>
                <w:sz w:val="16"/>
                <w:szCs w:val="16"/>
              </w:rPr>
              <w:t>-Gasen.</w:t>
            </w:r>
          </w:p>
        </w:tc>
        <w:tc>
          <w:tcPr>
            <w:tcW w:w="1838" w:type="dxa"/>
            <w:tcBorders>
              <w:top w:val="none" w:sz="0" w:space="0" w:color="auto"/>
              <w:left w:val="none" w:sz="0" w:space="0" w:color="auto"/>
              <w:bottom w:val="single" w:sz="4" w:space="0" w:color="auto"/>
              <w:right w:val="none" w:sz="0" w:space="0" w:color="auto"/>
            </w:tcBorders>
            <w:shd w:val="clear" w:color="auto" w:fill="auto"/>
          </w:tcPr>
          <w:p w:rsidR="00990776" w:rsidRPr="00403766" w:rsidRDefault="00990776" w:rsidP="00617F89">
            <w:pPr>
              <w:spacing w:before="0"/>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p>
        </w:tc>
      </w:tr>
      <w:tr w:rsidR="00990776" w:rsidRPr="008E116B" w:rsidTr="00B37A5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617F89">
            <w:pPr>
              <w:spacing w:before="0"/>
              <w:contextualSpacing/>
              <w:jc w:val="center"/>
              <w:rPr>
                <w:sz w:val="16"/>
                <w:szCs w:val="16"/>
              </w:rPr>
            </w:pPr>
            <w:r w:rsidRPr="0015165A">
              <w:rPr>
                <w:sz w:val="16"/>
                <w:szCs w:val="16"/>
              </w:rPr>
              <w:t xml:space="preserve">AR </w:t>
            </w:r>
            <w:r w:rsidR="00E01E33">
              <w:rPr>
                <w:sz w:val="16"/>
                <w:szCs w:val="16"/>
              </w:rPr>
              <w:t>40</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A13766" w:rsidRPr="00E01E33" w:rsidRDefault="00E01E33" w:rsidP="00617F89">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01E33">
              <w:rPr>
                <w:rFonts w:ascii="Century Gothic" w:hAnsi="Century Gothic"/>
                <w:sz w:val="16"/>
                <w:szCs w:val="16"/>
              </w:rPr>
              <w:t>Bei der Erstellung der Informationen für die Berichterstattung über Treibhausgasemissionen von seinen verbundenen und gemeinsamen Unternehmen, nicht konsolidierten Tochterunternehmen (Investmentunternehmen) und vertraglichen Vereinbarungen gemäß Absatz 50 konsolidiert das Unternehmen 100 % der Treibhausgasemissionen der Unternehmen, über die es die operative Kontrolle hat. In der Praxis ist dies der Fall, wenn das Unternehmen die Lizenz oder Genehmigung besitzt, die Vermögenswerte dieser verbundenen und gemeinsamen Unternehmen, nicht konsolidierten Tochterunternehmen (Investmentunternehmen) und vertraglichen Vereinbarungen zu betreiben. Verfügt das Unternehmen über eine vertraglich festgelegte zeitweise operative Kontrolle, so konsolidiert es die während der Ausübung seiner operativen Kontrolle emittierten Treibhausgase zu 100 %.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617F89">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BD2F69" w:rsidRPr="008E116B" w:rsidTr="00B37A5C">
        <w:tblPrEx>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2F69" w:rsidRPr="0015165A" w:rsidRDefault="00BD2F69" w:rsidP="00617F89">
            <w:pPr>
              <w:spacing w:before="0"/>
              <w:contextualSpacing/>
              <w:jc w:val="center"/>
              <w:rPr>
                <w:sz w:val="16"/>
                <w:szCs w:val="16"/>
              </w:rPr>
            </w:pPr>
            <w:r w:rsidRPr="0015165A">
              <w:rPr>
                <w:sz w:val="16"/>
                <w:szCs w:val="16"/>
              </w:rPr>
              <w:t xml:space="preserve">AR </w:t>
            </w:r>
            <w:r>
              <w:rPr>
                <w:sz w:val="16"/>
                <w:szCs w:val="16"/>
              </w:rPr>
              <w:t>41</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BD2F69" w:rsidRPr="00BD2F69" w:rsidRDefault="00BD2F69" w:rsidP="00617F89">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D2F69">
              <w:rPr>
                <w:rFonts w:ascii="Century Gothic" w:hAnsi="Century Gothic"/>
                <w:sz w:val="16"/>
                <w:szCs w:val="16"/>
              </w:rPr>
              <w:t xml:space="preserve">Im Einklang mit Kapitel 3.7 des ESRS 1 muss das Unternehmen </w:t>
            </w:r>
            <w:r w:rsidRPr="00441F70">
              <w:rPr>
                <w:rFonts w:ascii="Century Gothic" w:hAnsi="Century Gothic"/>
                <w:sz w:val="16"/>
                <w:szCs w:val="16"/>
                <w:highlight w:val="yellow"/>
              </w:rPr>
              <w:t>gegebenenfalls</w:t>
            </w:r>
            <w:r w:rsidRPr="00BD2F69">
              <w:rPr>
                <w:rFonts w:ascii="Century Gothic" w:hAnsi="Century Gothic"/>
                <w:sz w:val="16"/>
                <w:szCs w:val="16"/>
              </w:rPr>
              <w:t xml:space="preserve"> Informationen über seine </w:t>
            </w:r>
            <w:r w:rsidRPr="00441F70">
              <w:rPr>
                <w:rFonts w:ascii="Century Gothic" w:hAnsi="Century Gothic"/>
                <w:sz w:val="16"/>
                <w:szCs w:val="16"/>
                <w:highlight w:val="yellow"/>
              </w:rPr>
              <w:t>Treibhausgasemissionen aufschlüsseln</w:t>
            </w:r>
            <w:r w:rsidRPr="00BD2F69">
              <w:rPr>
                <w:rFonts w:ascii="Century Gothic" w:hAnsi="Century Gothic"/>
                <w:sz w:val="16"/>
                <w:szCs w:val="16"/>
              </w:rPr>
              <w:t xml:space="preserve">. </w:t>
            </w:r>
            <w:r w:rsidRPr="00441F70">
              <w:rPr>
                <w:rFonts w:ascii="Century Gothic" w:hAnsi="Century Gothic"/>
                <w:sz w:val="16"/>
                <w:szCs w:val="16"/>
                <w:highlight w:val="yellow"/>
              </w:rPr>
              <w:t xml:space="preserve">Beispielsweise kann das Unternehmen seine Treibhausgasemissionen der Kategorien </w:t>
            </w:r>
            <w:proofErr w:type="spellStart"/>
            <w:r w:rsidRPr="00441F70">
              <w:rPr>
                <w:rFonts w:ascii="Century Gothic" w:hAnsi="Century Gothic"/>
                <w:sz w:val="16"/>
                <w:szCs w:val="16"/>
                <w:highlight w:val="yellow"/>
              </w:rPr>
              <w:t>Scope</w:t>
            </w:r>
            <w:proofErr w:type="spellEnd"/>
            <w:r w:rsidRPr="00441F70">
              <w:rPr>
                <w:rFonts w:ascii="Century Gothic" w:hAnsi="Century Gothic"/>
                <w:sz w:val="16"/>
                <w:szCs w:val="16"/>
                <w:highlight w:val="yellow"/>
              </w:rPr>
              <w:t xml:space="preserve"> 1, 2 und 3 oder seine THG-Gesamtemissionen nach Ländern, Betriebssegmenten,</w:t>
            </w:r>
            <w:r w:rsidRPr="00BD2F69">
              <w:rPr>
                <w:rFonts w:ascii="Century Gothic" w:hAnsi="Century Gothic"/>
                <w:sz w:val="16"/>
                <w:szCs w:val="16"/>
              </w:rPr>
              <w:t xml:space="preserve"> Wirtschaftstätigkeiten, Tochterunternehmen, THG-Kategorien (CO</w:t>
            </w:r>
            <w:r w:rsidRPr="00396E62">
              <w:rPr>
                <w:rFonts w:ascii="Century Gothic" w:hAnsi="Century Gothic"/>
                <w:sz w:val="16"/>
                <w:szCs w:val="16"/>
                <w:vertAlign w:val="subscript"/>
              </w:rPr>
              <w:t>2</w:t>
            </w:r>
            <w:r w:rsidRPr="00BD2F69">
              <w:rPr>
                <w:rFonts w:ascii="Century Gothic" w:hAnsi="Century Gothic"/>
                <w:sz w:val="16"/>
                <w:szCs w:val="16"/>
              </w:rPr>
              <w:t>, CH</w:t>
            </w:r>
            <w:r w:rsidRPr="00396E62">
              <w:rPr>
                <w:rFonts w:ascii="Century Gothic" w:hAnsi="Century Gothic"/>
                <w:sz w:val="16"/>
                <w:szCs w:val="16"/>
                <w:vertAlign w:val="subscript"/>
              </w:rPr>
              <w:t>4</w:t>
            </w:r>
            <w:r w:rsidRPr="00BD2F69">
              <w:rPr>
                <w:rFonts w:ascii="Century Gothic" w:hAnsi="Century Gothic"/>
                <w:sz w:val="16"/>
                <w:szCs w:val="16"/>
              </w:rPr>
              <w:t>, N</w:t>
            </w:r>
            <w:r w:rsidRPr="00396E62">
              <w:rPr>
                <w:rFonts w:ascii="Century Gothic" w:hAnsi="Century Gothic"/>
                <w:sz w:val="16"/>
                <w:szCs w:val="16"/>
                <w:vertAlign w:val="subscript"/>
              </w:rPr>
              <w:t>2</w:t>
            </w:r>
            <w:r w:rsidRPr="00BD2F69">
              <w:rPr>
                <w:rFonts w:ascii="Century Gothic" w:hAnsi="Century Gothic"/>
                <w:sz w:val="16"/>
                <w:szCs w:val="16"/>
              </w:rPr>
              <w:t>O, HFKW, PFC, SF</w:t>
            </w:r>
            <w:r w:rsidRPr="00396E62">
              <w:rPr>
                <w:rFonts w:ascii="Century Gothic" w:hAnsi="Century Gothic"/>
                <w:sz w:val="16"/>
                <w:szCs w:val="16"/>
                <w:vertAlign w:val="subscript"/>
              </w:rPr>
              <w:t>6</w:t>
            </w:r>
            <w:r w:rsidRPr="00BD2F69">
              <w:rPr>
                <w:rFonts w:ascii="Century Gothic" w:hAnsi="Century Gothic"/>
                <w:sz w:val="16"/>
                <w:szCs w:val="16"/>
              </w:rPr>
              <w:t>, NF</w:t>
            </w:r>
            <w:r w:rsidRPr="00396E62">
              <w:rPr>
                <w:rFonts w:ascii="Century Gothic" w:hAnsi="Century Gothic"/>
                <w:sz w:val="16"/>
                <w:szCs w:val="16"/>
                <w:vertAlign w:val="subscript"/>
              </w:rPr>
              <w:t>3</w:t>
            </w:r>
            <w:r w:rsidRPr="00BD2F69">
              <w:rPr>
                <w:rFonts w:ascii="Century Gothic" w:hAnsi="Century Gothic"/>
                <w:sz w:val="16"/>
                <w:szCs w:val="16"/>
              </w:rPr>
              <w:t xml:space="preserve"> und andere vom Unternehmen berücksichtigte Treibhausgase) oder Arten der Quellen (stationäre Verbrennung, mobile Verbrennung, Prozessemissionen und flüchtige Emissionen) aufschlüsseln.</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BD2F69" w:rsidRPr="008E116B" w:rsidRDefault="00BD2F69" w:rsidP="00617F89">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rPr>
            </w:pPr>
          </w:p>
        </w:tc>
      </w:tr>
    </w:tbl>
    <w:p w:rsidR="000479D1" w:rsidRDefault="00091383" w:rsidP="0053480B">
      <w:pPr>
        <w:pStyle w:val="Default"/>
        <w:rPr>
          <w:rFonts w:ascii="Century Gothic" w:hAnsi="Century Gothic"/>
          <w:sz w:val="12"/>
          <w:szCs w:val="16"/>
        </w:rPr>
      </w:pPr>
      <w:r w:rsidRPr="00091383">
        <w:rPr>
          <w:rFonts w:ascii="Century Gothic" w:hAnsi="Century Gothic"/>
          <w:sz w:val="12"/>
          <w:szCs w:val="16"/>
        </w:rPr>
        <w:t xml:space="preserve"> </w:t>
      </w:r>
    </w:p>
    <w:p w:rsidR="007C77B1" w:rsidRDefault="007C77B1" w:rsidP="0053480B">
      <w:pPr>
        <w:pStyle w:val="Default"/>
        <w:rPr>
          <w:rFonts w:ascii="Century Gothic" w:hAnsi="Century Gothic"/>
          <w:sz w:val="12"/>
          <w:szCs w:val="16"/>
        </w:rPr>
      </w:pPr>
    </w:p>
    <w:p w:rsidR="00DB2096" w:rsidRDefault="00DB2096" w:rsidP="0053480B">
      <w:pPr>
        <w:pStyle w:val="Default"/>
        <w:rPr>
          <w:rFonts w:ascii="Century Gothic" w:hAnsi="Century Gothic"/>
          <w:sz w:val="12"/>
          <w:szCs w:val="16"/>
        </w:rPr>
      </w:pPr>
    </w:p>
    <w:p w:rsidR="007C77B1" w:rsidRDefault="007C77B1" w:rsidP="0053480B">
      <w:pPr>
        <w:pStyle w:val="Default"/>
        <w:rPr>
          <w:rFonts w:ascii="Century Gothic" w:hAnsi="Century Gothic"/>
          <w:sz w:val="12"/>
          <w:szCs w:val="16"/>
        </w:rPr>
      </w:pPr>
    </w:p>
    <w:p w:rsidR="000479D1" w:rsidRDefault="000479D1" w:rsidP="0053480B">
      <w:pPr>
        <w:pStyle w:val="Default"/>
        <w:rPr>
          <w:rFonts w:ascii="Century Gothic" w:hAnsi="Century Gothic"/>
          <w:sz w:val="12"/>
          <w:szCs w:val="16"/>
        </w:rPr>
      </w:pPr>
    </w:p>
    <w:p w:rsidR="005E385A" w:rsidRDefault="00DB2096" w:rsidP="0053480B">
      <w:pPr>
        <w:pStyle w:val="Default"/>
        <w:rPr>
          <w:rFonts w:ascii="Century Gothic" w:hAnsi="Century Gothic"/>
          <w:sz w:val="12"/>
          <w:szCs w:val="16"/>
        </w:rPr>
      </w:pPr>
      <w:r w:rsidRPr="00DB2096">
        <w:rPr>
          <w:rFonts w:ascii="Century Gothic" w:hAnsi="Century Gothic"/>
          <w:sz w:val="12"/>
          <w:szCs w:val="16"/>
          <w:vertAlign w:val="superscript"/>
        </w:rPr>
        <w:t>51</w:t>
      </w:r>
      <w:r>
        <w:rPr>
          <w:rFonts w:ascii="Century Gothic" w:hAnsi="Century Gothic"/>
          <w:sz w:val="12"/>
          <w:szCs w:val="16"/>
        </w:rPr>
        <w:t xml:space="preserve"> </w:t>
      </w:r>
      <w:r w:rsidR="007C77B1">
        <w:rPr>
          <w:rFonts w:ascii="Century Gothic" w:hAnsi="Century Gothic"/>
          <w:sz w:val="12"/>
          <w:szCs w:val="16"/>
        </w:rPr>
        <w:t xml:space="preserve"> </w:t>
      </w:r>
      <w:r w:rsidR="00091383" w:rsidRPr="00091383">
        <w:rPr>
          <w:rFonts w:ascii="Century Gothic" w:hAnsi="Century Gothic"/>
          <w:sz w:val="12"/>
          <w:szCs w:val="16"/>
        </w:rPr>
        <w:t>Empfehlung (EU) 2021/2279 der Kommission vom 15. Dezember 2021 zur Anwendung der Methoden für die Berechnung des Umweltfußabdrucks zur Messung und Offenlegung der Umweltleistung von Produkten und Organisationen entlang ihres Lebenswegs (</w:t>
      </w:r>
      <w:proofErr w:type="spellStart"/>
      <w:r w:rsidR="00091383" w:rsidRPr="00091383">
        <w:rPr>
          <w:rFonts w:ascii="Century Gothic" w:hAnsi="Century Gothic"/>
          <w:sz w:val="12"/>
          <w:szCs w:val="16"/>
        </w:rPr>
        <w:t>ABl.</w:t>
      </w:r>
      <w:proofErr w:type="spellEnd"/>
      <w:r w:rsidR="00091383" w:rsidRPr="00091383">
        <w:rPr>
          <w:rFonts w:ascii="Century Gothic" w:hAnsi="Century Gothic"/>
          <w:sz w:val="12"/>
          <w:szCs w:val="16"/>
        </w:rPr>
        <w:t xml:space="preserve"> L 471 vom 30.12.2021, S. 1). </w:t>
      </w:r>
    </w:p>
    <w:p w:rsidR="005E385A" w:rsidRDefault="005E385A" w:rsidP="005E385A">
      <w:pPr>
        <w:pStyle w:val="Standardeinzug"/>
        <w:rPr>
          <w:rFonts w:cs="EUAlbertina"/>
          <w:color w:val="000000"/>
        </w:rPr>
      </w:pPr>
      <w: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072"/>
      </w:tblGrid>
      <w:tr w:rsidR="005E385A" w:rsidRPr="00122B7B" w:rsidTr="005E385A">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385A" w:rsidRPr="00122B7B" w:rsidRDefault="005E385A" w:rsidP="00A91B7F">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bl>
    <w:p w:rsidR="00091383" w:rsidRPr="00091383" w:rsidRDefault="00091383" w:rsidP="005E385A">
      <w:pPr>
        <w:pStyle w:val="Default"/>
        <w:jc w:val="both"/>
        <w:rPr>
          <w:rFonts w:ascii="Century Gothic" w:hAnsi="Century Gothic"/>
          <w:sz w:val="12"/>
          <w:szCs w:val="16"/>
        </w:rPr>
      </w:pPr>
    </w:p>
    <w:tbl>
      <w:tblPr>
        <w:tblStyle w:val="Gitternetztabelle4Akzent6"/>
        <w:tblpPr w:leftFromText="141" w:rightFromText="141" w:vertAnchor="text" w:tblpX="-5"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Layout w:type="fixed"/>
        <w:tblCellMar>
          <w:top w:w="85" w:type="dxa"/>
          <w:bottom w:w="85" w:type="dxa"/>
        </w:tblCellMar>
        <w:tblLook w:val="04A0" w:firstRow="1" w:lastRow="0" w:firstColumn="1" w:lastColumn="0" w:noHBand="0" w:noVBand="1"/>
      </w:tblPr>
      <w:tblGrid>
        <w:gridCol w:w="989"/>
        <w:gridCol w:w="6240"/>
        <w:gridCol w:w="1843"/>
      </w:tblGrid>
      <w:tr w:rsidR="00CD547C" w:rsidRPr="00403766" w:rsidTr="005E385A">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left w:val="single" w:sz="4" w:space="0" w:color="auto"/>
              <w:bottom w:val="single" w:sz="4" w:space="0" w:color="auto"/>
              <w:right w:val="single" w:sz="4" w:space="0" w:color="auto"/>
            </w:tcBorders>
            <w:shd w:val="clear" w:color="auto" w:fill="228B22"/>
            <w:vAlign w:val="center"/>
          </w:tcPr>
          <w:p w:rsidR="00CD547C" w:rsidRPr="00CD547C" w:rsidRDefault="00CD547C" w:rsidP="00090988">
            <w:pPr>
              <w:spacing w:before="0"/>
              <w:jc w:val="center"/>
              <w:rPr>
                <w:sz w:val="20"/>
                <w:szCs w:val="20"/>
              </w:rPr>
            </w:pPr>
            <w:r w:rsidRPr="00CD547C">
              <w:rPr>
                <w:sz w:val="20"/>
                <w:szCs w:val="20"/>
              </w:rPr>
              <w:t>Quelle ESRS E1</w:t>
            </w:r>
          </w:p>
        </w:tc>
        <w:tc>
          <w:tcPr>
            <w:tcW w:w="6240" w:type="dxa"/>
            <w:tcBorders>
              <w:left w:val="single" w:sz="4" w:space="0" w:color="auto"/>
              <w:bottom w:val="single" w:sz="4" w:space="0" w:color="auto"/>
              <w:right w:val="single" w:sz="4" w:space="0" w:color="auto"/>
            </w:tcBorders>
            <w:shd w:val="clear" w:color="auto" w:fill="228B22"/>
            <w:vAlign w:val="center"/>
          </w:tcPr>
          <w:p w:rsidR="00CD547C" w:rsidRPr="00CD547C" w:rsidRDefault="00CD547C" w:rsidP="00090988">
            <w:pPr>
              <w:spacing w:before="0"/>
              <w:jc w:val="center"/>
              <w:cnfStyle w:val="100000000000" w:firstRow="1" w:lastRow="0" w:firstColumn="0" w:lastColumn="0" w:oddVBand="0" w:evenVBand="0" w:oddHBand="0" w:evenHBand="0" w:firstRowFirstColumn="0" w:firstRowLastColumn="0" w:lastRowFirstColumn="0" w:lastRowLastColumn="0"/>
              <w:rPr>
                <w:sz w:val="20"/>
                <w:szCs w:val="20"/>
              </w:rPr>
            </w:pPr>
            <w:r w:rsidRPr="00CD547C">
              <w:rPr>
                <w:sz w:val="20"/>
                <w:szCs w:val="20"/>
              </w:rPr>
              <w:t>Parameter und Ziele</w:t>
            </w:r>
          </w:p>
        </w:tc>
        <w:tc>
          <w:tcPr>
            <w:tcW w:w="1843" w:type="dxa"/>
            <w:tcBorders>
              <w:left w:val="single" w:sz="4" w:space="0" w:color="auto"/>
              <w:bottom w:val="single" w:sz="4" w:space="0" w:color="auto"/>
              <w:right w:val="single" w:sz="4" w:space="0" w:color="auto"/>
            </w:tcBorders>
            <w:shd w:val="clear" w:color="auto" w:fill="228B22"/>
            <w:vAlign w:val="center"/>
          </w:tcPr>
          <w:p w:rsidR="00CD547C" w:rsidRPr="00CD547C" w:rsidRDefault="00CD547C" w:rsidP="00090988">
            <w:pPr>
              <w:spacing w:before="0"/>
              <w:jc w:val="center"/>
              <w:cnfStyle w:val="100000000000" w:firstRow="1" w:lastRow="0" w:firstColumn="0" w:lastColumn="0" w:oddVBand="0" w:evenVBand="0" w:oddHBand="0" w:evenHBand="0" w:firstRowFirstColumn="0" w:firstRowLastColumn="0" w:lastRowFirstColumn="0" w:lastRowLastColumn="0"/>
              <w:rPr>
                <w:sz w:val="16"/>
                <w:szCs w:val="16"/>
              </w:rPr>
            </w:pPr>
            <w:r w:rsidRPr="00CD547C">
              <w:rPr>
                <w:sz w:val="16"/>
                <w:szCs w:val="16"/>
              </w:rPr>
              <w:t>Bemerkungen, ggf. Verweis auf Datenpunkte</w:t>
            </w:r>
          </w:p>
        </w:tc>
      </w:tr>
      <w:tr w:rsidR="00934C45" w:rsidRPr="008E116B" w:rsidTr="005E385A">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bottom w:val="single" w:sz="4" w:space="0" w:color="auto"/>
            </w:tcBorders>
            <w:shd w:val="clear" w:color="auto" w:fill="D9D9D9" w:themeFill="background1" w:themeFillShade="D9"/>
          </w:tcPr>
          <w:p w:rsidR="00934C45" w:rsidRPr="0015165A" w:rsidRDefault="00934C45" w:rsidP="00090988">
            <w:pPr>
              <w:spacing w:before="0"/>
              <w:contextualSpacing/>
              <w:jc w:val="center"/>
              <w:rPr>
                <w:sz w:val="16"/>
                <w:szCs w:val="16"/>
              </w:rPr>
            </w:pPr>
            <w:r w:rsidRPr="0015165A">
              <w:rPr>
                <w:sz w:val="16"/>
                <w:szCs w:val="16"/>
              </w:rPr>
              <w:t xml:space="preserve">AR </w:t>
            </w:r>
            <w:r>
              <w:rPr>
                <w:sz w:val="16"/>
                <w:szCs w:val="16"/>
              </w:rPr>
              <w:t>42</w:t>
            </w:r>
          </w:p>
        </w:tc>
        <w:tc>
          <w:tcPr>
            <w:tcW w:w="6240" w:type="dxa"/>
            <w:tcBorders>
              <w:top w:val="single" w:sz="4" w:space="0" w:color="auto"/>
              <w:bottom w:val="single" w:sz="4" w:space="0" w:color="auto"/>
            </w:tcBorders>
            <w:shd w:val="clear" w:color="auto" w:fill="auto"/>
          </w:tcPr>
          <w:p w:rsidR="00934C45" w:rsidRDefault="00934C45" w:rsidP="00F73204">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3480B">
              <w:rPr>
                <w:rFonts w:ascii="Century Gothic" w:hAnsi="Century Gothic"/>
                <w:sz w:val="16"/>
                <w:szCs w:val="16"/>
              </w:rPr>
              <w:t>Ein Unternehmen kann einen anderen Berichtszeitraum haben als einige oder alle Unternehmen in seiner Wertschöpfungskette. In diesem Fall ist es dem Unternehmen gestattet, seine Treibhausgasemissionen gemäß Absatz 44 unter Verwendung von Informationen für Berichtszeiträume zu messen, die von seinem eigenen Berichtszeitraum abweichen, wenn diese Informationen von Unternehmen in seiner Wertschöpfungskette mit anderen Berichtszeiträumen als dem Berichtszeitraum des Unternehmens stammen, sofern</w:t>
            </w:r>
            <w:r w:rsidR="00741254">
              <w:rPr>
                <w:rFonts w:ascii="Century Gothic" w:hAnsi="Century Gothic"/>
                <w:sz w:val="16"/>
                <w:szCs w:val="16"/>
              </w:rPr>
              <w:br/>
            </w:r>
            <w:r w:rsidRPr="0053480B">
              <w:rPr>
                <w:rFonts w:ascii="Century Gothic" w:hAnsi="Century Gothic"/>
                <w:sz w:val="16"/>
                <w:szCs w:val="16"/>
              </w:rPr>
              <w:t>das Unternehmen die aktuellsten verfügbaren Daten dieser Unternehmen in seiner Wertschöpfungskette zur Messung und Angabe seiner Treibhausgasemissionen verwendet,</w:t>
            </w:r>
          </w:p>
          <w:p w:rsidR="00934C45" w:rsidRPr="0053480B" w:rsidRDefault="00934C45" w:rsidP="001570C5">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3480B">
              <w:rPr>
                <w:rFonts w:ascii="Century Gothic" w:hAnsi="Century Gothic"/>
                <w:sz w:val="16"/>
                <w:szCs w:val="16"/>
              </w:rPr>
              <w:t>die Berichtszeiträume gleich lang sind und</w:t>
            </w:r>
          </w:p>
          <w:p w:rsidR="00934C45" w:rsidRPr="0053480B" w:rsidRDefault="00934C45" w:rsidP="001570C5">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3480B">
              <w:rPr>
                <w:rFonts w:ascii="Century Gothic" w:hAnsi="Century Gothic"/>
                <w:sz w:val="16"/>
                <w:szCs w:val="16"/>
              </w:rPr>
              <w:t>das Unternehmen die Auswirkungen signifikanter Ereignisse und Veränderungen der (für seine Treibhausgasemissionen relevanten) Umstände angibt, die zwischen den Berichtsterminen der Unternehmen in seiner Wertschöpfungskette und dem Datum des allgemeinen Abschlusses des Unternehmens eintreten.</w:t>
            </w:r>
          </w:p>
        </w:tc>
        <w:tc>
          <w:tcPr>
            <w:tcW w:w="1843" w:type="dxa"/>
            <w:tcBorders>
              <w:top w:val="single" w:sz="4" w:space="0" w:color="auto"/>
              <w:bottom w:val="single" w:sz="4" w:space="0" w:color="auto"/>
            </w:tcBorders>
            <w:shd w:val="clear" w:color="auto" w:fill="auto"/>
          </w:tcPr>
          <w:p w:rsidR="00934C45" w:rsidRPr="008E116B" w:rsidRDefault="00934C45" w:rsidP="00090988">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rPr>
            </w:pPr>
          </w:p>
        </w:tc>
      </w:tr>
      <w:tr w:rsidR="00934C45" w:rsidRPr="008E116B" w:rsidTr="005E385A">
        <w:tblPrEx>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C45" w:rsidRPr="0015165A" w:rsidRDefault="00934C45" w:rsidP="00476504">
            <w:pPr>
              <w:spacing w:before="0"/>
              <w:contextualSpacing/>
              <w:jc w:val="center"/>
              <w:rPr>
                <w:sz w:val="16"/>
                <w:szCs w:val="16"/>
              </w:rPr>
            </w:pPr>
            <w:r w:rsidRPr="0015165A">
              <w:rPr>
                <w:sz w:val="16"/>
                <w:szCs w:val="16"/>
              </w:rPr>
              <w:t xml:space="preserve">AR </w:t>
            </w:r>
            <w:r>
              <w:rPr>
                <w:sz w:val="16"/>
                <w:szCs w:val="16"/>
              </w:rPr>
              <w:t>43</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34C45" w:rsidRDefault="00934C45" w:rsidP="00476504">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 xml:space="preserve">Bei der Zusammenstellung der nach Absatz 48 Buchstabe a erforderlichen Informationen über </w:t>
            </w:r>
            <w:r w:rsidRPr="00934C45">
              <w:rPr>
                <w:rFonts w:ascii="Century Gothic" w:hAnsi="Century Gothic"/>
                <w:b/>
                <w:bCs/>
                <w:sz w:val="16"/>
                <w:szCs w:val="16"/>
              </w:rPr>
              <w:t xml:space="preserve">Scope-1-THG- Bruttoemissionen </w:t>
            </w:r>
            <w:r w:rsidRPr="00934C45">
              <w:rPr>
                <w:rFonts w:ascii="Century Gothic" w:hAnsi="Century Gothic"/>
                <w:sz w:val="16"/>
                <w:szCs w:val="16"/>
              </w:rPr>
              <w:t>geht das Unternehmen wie folgt vor:</w:t>
            </w:r>
          </w:p>
          <w:p w:rsidR="00934C45" w:rsidRPr="00934C45" w:rsidRDefault="00934C45" w:rsidP="00476504">
            <w:pPr>
              <w:pStyle w:val="Default"/>
              <w:numPr>
                <w:ilvl w:val="0"/>
                <w:numId w:val="2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berechnet oder misst die Treibhausgasemissionen aus der stationären Verbrennung, der mobilen Verbrennung, Prozessemissionen und flüchtigen Emissionen und verwendet geeignete Aktivitätsdaten, die den Verbrauch an nicht erneuerbaren Brennstoffen umfassen,</w:t>
            </w:r>
          </w:p>
          <w:p w:rsidR="00934C45" w:rsidRPr="00934C45" w:rsidRDefault="00934C45" w:rsidP="00476504">
            <w:pPr>
              <w:pStyle w:val="Default"/>
              <w:numPr>
                <w:ilvl w:val="0"/>
                <w:numId w:val="2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verwendet geeignete und einheitliche Emissionsfaktoren,</w:t>
            </w:r>
          </w:p>
          <w:p w:rsidR="00934C45" w:rsidRPr="00934C45" w:rsidRDefault="00934C45" w:rsidP="00476504">
            <w:pPr>
              <w:pStyle w:val="Default"/>
              <w:numPr>
                <w:ilvl w:val="0"/>
                <w:numId w:val="2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gibt biogene CO</w:t>
            </w:r>
            <w:r w:rsidRPr="00203D1B">
              <w:rPr>
                <w:rFonts w:ascii="Century Gothic" w:hAnsi="Century Gothic"/>
                <w:sz w:val="16"/>
                <w:szCs w:val="16"/>
                <w:vertAlign w:val="subscript"/>
              </w:rPr>
              <w:t>2</w:t>
            </w:r>
            <w:r w:rsidRPr="00934C45">
              <w:rPr>
                <w:rFonts w:ascii="Century Gothic" w:hAnsi="Century Gothic"/>
                <w:sz w:val="16"/>
                <w:szCs w:val="16"/>
              </w:rPr>
              <w:t>-Emissionen aus der Verbrennung oder dem biologischen Abbau von Biomasse getrennt von den Scope-1-Treibhausgasemissionen an, berücksichtigt aber Emissionen anderer Arten von Treibhausgasen (insbesondere CH</w:t>
            </w:r>
            <w:r w:rsidRPr="00203D1B">
              <w:rPr>
                <w:rFonts w:ascii="Century Gothic" w:hAnsi="Century Gothic"/>
                <w:sz w:val="16"/>
                <w:szCs w:val="16"/>
                <w:vertAlign w:val="subscript"/>
              </w:rPr>
              <w:t>4</w:t>
            </w:r>
            <w:r w:rsidRPr="00934C45">
              <w:rPr>
                <w:rFonts w:ascii="Century Gothic" w:hAnsi="Century Gothic"/>
                <w:sz w:val="16"/>
                <w:szCs w:val="16"/>
              </w:rPr>
              <w:t xml:space="preserve"> und N</w:t>
            </w:r>
            <w:r w:rsidRPr="00203D1B">
              <w:rPr>
                <w:rFonts w:ascii="Century Gothic" w:hAnsi="Century Gothic"/>
                <w:sz w:val="16"/>
                <w:szCs w:val="16"/>
                <w:vertAlign w:val="subscript"/>
              </w:rPr>
              <w:t>2</w:t>
            </w:r>
            <w:r w:rsidRPr="00934C45">
              <w:rPr>
                <w:rFonts w:ascii="Century Gothic" w:hAnsi="Century Gothic"/>
                <w:sz w:val="16"/>
                <w:szCs w:val="16"/>
              </w:rPr>
              <w:t>O),</w:t>
            </w:r>
          </w:p>
          <w:p w:rsidR="00934C45" w:rsidRPr="00934C45" w:rsidRDefault="00934C45" w:rsidP="00476504">
            <w:pPr>
              <w:pStyle w:val="Default"/>
              <w:numPr>
                <w:ilvl w:val="0"/>
                <w:numId w:val="2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 xml:space="preserve">es schließt jeglichen Abbau oder alle erworbenen, verkauften oder übertragenen </w:t>
            </w:r>
            <w:r w:rsidRPr="00934C45">
              <w:rPr>
                <w:rFonts w:ascii="Century Gothic" w:hAnsi="Century Gothic"/>
                <w:b/>
                <w:bCs/>
                <w:sz w:val="16"/>
                <w:szCs w:val="16"/>
              </w:rPr>
              <w:t>CO</w:t>
            </w:r>
            <w:r w:rsidRPr="00203D1B">
              <w:rPr>
                <w:rFonts w:ascii="Century Gothic" w:hAnsi="Century Gothic"/>
                <w:b/>
                <w:bCs/>
                <w:sz w:val="16"/>
                <w:szCs w:val="16"/>
                <w:vertAlign w:val="subscript"/>
              </w:rPr>
              <w:t>2</w:t>
            </w:r>
            <w:r w:rsidRPr="00934C45">
              <w:rPr>
                <w:rFonts w:ascii="Century Gothic" w:hAnsi="Century Gothic"/>
                <w:b/>
                <w:bCs/>
                <w:sz w:val="16"/>
                <w:szCs w:val="16"/>
              </w:rPr>
              <w:t xml:space="preserve">-Gutschriften </w:t>
            </w:r>
            <w:r w:rsidRPr="00934C45">
              <w:rPr>
                <w:rFonts w:ascii="Century Gothic" w:hAnsi="Century Gothic"/>
                <w:sz w:val="16"/>
                <w:szCs w:val="16"/>
              </w:rPr>
              <w:t>oder Treibhausgaszertifikate aus der Berechnung der Scope-1-Treibhausgasemissionen aus, und</w:t>
            </w:r>
          </w:p>
          <w:p w:rsidR="00934C45" w:rsidRPr="00934C45" w:rsidRDefault="00934C45" w:rsidP="00476504">
            <w:pPr>
              <w:pStyle w:val="Default"/>
              <w:numPr>
                <w:ilvl w:val="0"/>
                <w:numId w:val="27"/>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für Tätigkeiten, die im Rahmen des EU-EHS gemeldet werden, erstattet es Bericht über Scope-1-Emissionen nach der EU-EHS-Methode. Die EU-EHS-Methode kann auch auf Tätigkeiten in geografischen Gebieten und Sektoren angewandt werden, die nicht unter das EU-EHS fallen.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4C45" w:rsidRPr="008E116B" w:rsidRDefault="00934C45" w:rsidP="00476504">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rPr>
            </w:pPr>
          </w:p>
        </w:tc>
      </w:tr>
      <w:tr w:rsidR="00934C45" w:rsidRPr="008E116B" w:rsidTr="005E385A">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C45" w:rsidRPr="0015165A" w:rsidRDefault="00934C45" w:rsidP="00476504">
            <w:pPr>
              <w:spacing w:before="0"/>
              <w:contextualSpacing/>
              <w:jc w:val="center"/>
              <w:rPr>
                <w:sz w:val="16"/>
                <w:szCs w:val="16"/>
              </w:rPr>
            </w:pPr>
            <w:r w:rsidRPr="0015165A">
              <w:rPr>
                <w:sz w:val="16"/>
                <w:szCs w:val="16"/>
              </w:rPr>
              <w:t xml:space="preserve">AR </w:t>
            </w:r>
            <w:r>
              <w:rPr>
                <w:sz w:val="16"/>
                <w:szCs w:val="16"/>
              </w:rPr>
              <w:t>44</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34C45" w:rsidRDefault="00934C45" w:rsidP="00476504">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Bei der Zusammenstellung der nach Absatz 48 Buchstabe b erforderlichen Informationen über den prozentualen Anteil der Scope-1-Treibhausgasemissionen aus regulierten Emissionshandelssystemen geht das Unternehmen wie folgt vor:</w:t>
            </w:r>
          </w:p>
          <w:p w:rsidR="00934C45" w:rsidRPr="00934C45" w:rsidRDefault="00934C45" w:rsidP="00476504">
            <w:pPr>
              <w:pStyle w:val="Default"/>
              <w:numPr>
                <w:ilvl w:val="0"/>
                <w:numId w:val="21"/>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 xml:space="preserve">Es berücksichtigt Treibhausgasemissionen aus den von ihm betriebenen </w:t>
            </w:r>
            <w:r w:rsidRPr="00934C45">
              <w:rPr>
                <w:rFonts w:ascii="Century Gothic" w:hAnsi="Century Gothic"/>
                <w:b/>
                <w:bCs/>
                <w:sz w:val="16"/>
                <w:szCs w:val="16"/>
              </w:rPr>
              <w:t>Anlagen</w:t>
            </w:r>
            <w:r w:rsidRPr="00934C45">
              <w:rPr>
                <w:rFonts w:ascii="Century Gothic" w:hAnsi="Century Gothic"/>
                <w:sz w:val="16"/>
                <w:szCs w:val="16"/>
              </w:rPr>
              <w:t>, die regulierten Emissionshandelssystemen (EHS) unterliegen, einschließlich des EU-EHS, nationaler EHS und gegebenenfalls EHS in Ländern außerhalb der EU,</w:t>
            </w:r>
          </w:p>
          <w:p w:rsidR="00934C45" w:rsidRPr="00934C45" w:rsidRDefault="00934C45" w:rsidP="00476504">
            <w:pPr>
              <w:pStyle w:val="Default"/>
              <w:numPr>
                <w:ilvl w:val="0"/>
                <w:numId w:val="21"/>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gibt nur die Emissionen von CO</w:t>
            </w:r>
            <w:r w:rsidRPr="00203D1B">
              <w:rPr>
                <w:rFonts w:ascii="Century Gothic" w:hAnsi="Century Gothic"/>
                <w:sz w:val="16"/>
                <w:szCs w:val="16"/>
                <w:vertAlign w:val="subscript"/>
              </w:rPr>
              <w:t>2</w:t>
            </w:r>
            <w:r w:rsidRPr="00934C45">
              <w:rPr>
                <w:rFonts w:ascii="Century Gothic" w:hAnsi="Century Gothic"/>
                <w:sz w:val="16"/>
                <w:szCs w:val="16"/>
              </w:rPr>
              <w:t>, CH</w:t>
            </w:r>
            <w:r w:rsidRPr="00203D1B">
              <w:rPr>
                <w:rFonts w:ascii="Century Gothic" w:hAnsi="Century Gothic"/>
                <w:sz w:val="16"/>
                <w:szCs w:val="16"/>
                <w:vertAlign w:val="subscript"/>
              </w:rPr>
              <w:t>4</w:t>
            </w:r>
            <w:r w:rsidRPr="00934C45">
              <w:rPr>
                <w:rFonts w:ascii="Century Gothic" w:hAnsi="Century Gothic"/>
                <w:sz w:val="16"/>
                <w:szCs w:val="16"/>
              </w:rPr>
              <w:t>, N</w:t>
            </w:r>
            <w:r w:rsidRPr="00203D1B">
              <w:rPr>
                <w:rFonts w:ascii="Century Gothic" w:hAnsi="Century Gothic"/>
                <w:sz w:val="16"/>
                <w:szCs w:val="16"/>
                <w:vertAlign w:val="subscript"/>
              </w:rPr>
              <w:t>2</w:t>
            </w:r>
            <w:r w:rsidRPr="00934C45">
              <w:rPr>
                <w:rFonts w:ascii="Century Gothic" w:hAnsi="Century Gothic"/>
                <w:sz w:val="16"/>
                <w:szCs w:val="16"/>
              </w:rPr>
              <w:t>O, HFKW, PFC, SF</w:t>
            </w:r>
            <w:r w:rsidRPr="00203D1B">
              <w:rPr>
                <w:rFonts w:ascii="Century Gothic" w:hAnsi="Century Gothic"/>
                <w:sz w:val="16"/>
                <w:szCs w:val="16"/>
                <w:vertAlign w:val="subscript"/>
              </w:rPr>
              <w:t>6</w:t>
            </w:r>
            <w:r w:rsidRPr="00934C45">
              <w:rPr>
                <w:rFonts w:ascii="Century Gothic" w:hAnsi="Century Gothic"/>
                <w:sz w:val="16"/>
                <w:szCs w:val="16"/>
              </w:rPr>
              <w:t xml:space="preserve"> und NF</w:t>
            </w:r>
            <w:r w:rsidRPr="00203D1B">
              <w:rPr>
                <w:rFonts w:ascii="Century Gothic" w:hAnsi="Century Gothic"/>
                <w:sz w:val="16"/>
                <w:szCs w:val="16"/>
                <w:vertAlign w:val="subscript"/>
              </w:rPr>
              <w:t>3</w:t>
            </w:r>
            <w:r w:rsidRPr="00934C45">
              <w:rPr>
                <w:rFonts w:ascii="Century Gothic" w:hAnsi="Century Gothic"/>
                <w:sz w:val="16"/>
                <w:szCs w:val="16"/>
              </w:rPr>
              <w:t xml:space="preserve"> an,</w:t>
            </w:r>
          </w:p>
          <w:p w:rsidR="00934C45" w:rsidRPr="00934C45" w:rsidRDefault="00934C45" w:rsidP="00476504">
            <w:pPr>
              <w:pStyle w:val="Default"/>
              <w:numPr>
                <w:ilvl w:val="0"/>
                <w:numId w:val="21"/>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stellt sicher, dass der Anrechnungszeitraum für Scope-1-THG-Bruttoemissionen dem Anrechnungszeitraum für die unter das EHS fallenden Emissionen entspricht, und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4C45" w:rsidRPr="008E116B" w:rsidRDefault="00934C45" w:rsidP="00476504">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rPr>
            </w:pPr>
          </w:p>
        </w:tc>
      </w:tr>
    </w:tbl>
    <w:p w:rsidR="0051275C" w:rsidRPr="009001A4" w:rsidRDefault="0051275C" w:rsidP="00476504">
      <w:pPr>
        <w:spacing w:before="0"/>
        <w:jc w:val="left"/>
        <w:rPr>
          <w:rFonts w:eastAsiaTheme="minorHAnsi" w:cstheme="minorBidi"/>
          <w:b/>
          <w:bCs/>
          <w:color w:val="000000" w:themeColor="text1"/>
          <w:sz w:val="20"/>
          <w:lang w:eastAsia="en-US"/>
        </w:rPr>
      </w:pPr>
      <w:r w:rsidRPr="009001A4">
        <w:rPr>
          <w:rFonts w:eastAsiaTheme="minorHAnsi" w:cstheme="minorBidi"/>
          <w:b/>
          <w:bCs/>
          <w:color w:val="000000" w:themeColor="text1"/>
          <w:sz w:val="20"/>
          <w:lang w:eastAsia="en-U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7"/>
        <w:gridCol w:w="1847"/>
      </w:tblGrid>
      <w:tr w:rsidR="0038768E" w:rsidRPr="00122B7B" w:rsidTr="0038768E">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38768E" w:rsidRPr="00122B7B" w:rsidRDefault="0038768E" w:rsidP="00A91B7F">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Pr>
                <w:color w:val="000000" w:themeColor="text1"/>
                <w:sz w:val="20"/>
                <w:szCs w:val="20"/>
              </w:rPr>
              <w:t>; Forts.</w:t>
            </w:r>
          </w:p>
        </w:tc>
      </w:tr>
      <w:tr w:rsidR="0089643B" w:rsidRPr="00477296" w:rsidTr="0038768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89643B" w:rsidRPr="00477296" w:rsidRDefault="0089643B" w:rsidP="005F328B">
            <w:pPr>
              <w:spacing w:before="0"/>
              <w:rPr>
                <w:sz w:val="2"/>
                <w:szCs w:val="2"/>
              </w:rPr>
            </w:pPr>
          </w:p>
        </w:tc>
      </w:tr>
      <w:tr w:rsidR="0089643B" w:rsidRPr="0089643B" w:rsidTr="00F7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228B22"/>
            <w:vAlign w:val="center"/>
          </w:tcPr>
          <w:p w:rsidR="0051275C" w:rsidRPr="0089643B" w:rsidRDefault="0051275C" w:rsidP="00477296">
            <w:pPr>
              <w:spacing w:before="0"/>
              <w:contextualSpacing/>
              <w:jc w:val="center"/>
              <w:rPr>
                <w:color w:val="FFFFFF" w:themeColor="background1"/>
                <w:sz w:val="20"/>
                <w:szCs w:val="20"/>
              </w:rPr>
            </w:pPr>
            <w:r w:rsidRPr="0089643B">
              <w:rPr>
                <w:color w:val="FFFFFF" w:themeColor="background1"/>
                <w:sz w:val="20"/>
                <w:szCs w:val="20"/>
              </w:rPr>
              <w:t>Quelle ESRS E1</w:t>
            </w:r>
          </w:p>
        </w:tc>
        <w:tc>
          <w:tcPr>
            <w:tcW w:w="6237" w:type="dxa"/>
            <w:shd w:val="clear" w:color="auto" w:fill="228B22"/>
            <w:vAlign w:val="center"/>
          </w:tcPr>
          <w:p w:rsidR="0051275C" w:rsidRPr="0089643B" w:rsidRDefault="0051275C" w:rsidP="00477296">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89643B">
              <w:rPr>
                <w:b/>
                <w:color w:val="FFFFFF" w:themeColor="background1"/>
                <w:sz w:val="20"/>
                <w:szCs w:val="20"/>
              </w:rPr>
              <w:t>Parameter und Ziele</w:t>
            </w:r>
          </w:p>
        </w:tc>
        <w:tc>
          <w:tcPr>
            <w:tcW w:w="1847" w:type="dxa"/>
            <w:shd w:val="clear" w:color="auto" w:fill="228B22"/>
            <w:vAlign w:val="center"/>
          </w:tcPr>
          <w:p w:rsidR="0051275C" w:rsidRPr="0089643B" w:rsidRDefault="0051275C" w:rsidP="00477296">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89643B">
              <w:rPr>
                <w:b/>
                <w:color w:val="FFFFFF" w:themeColor="background1"/>
                <w:sz w:val="16"/>
                <w:szCs w:val="16"/>
              </w:rPr>
              <w:t>Bemerkungen, ggf. Verweis auf Datenpunkte</w:t>
            </w:r>
          </w:p>
        </w:tc>
      </w:tr>
      <w:tr w:rsidR="007627A3" w:rsidRPr="000E0C5F" w:rsidTr="00F7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7627A3" w:rsidRPr="0015165A" w:rsidRDefault="007627A3" w:rsidP="00477296">
            <w:pPr>
              <w:spacing w:before="0"/>
              <w:contextualSpacing/>
              <w:jc w:val="center"/>
              <w:rPr>
                <w:sz w:val="16"/>
                <w:szCs w:val="16"/>
              </w:rPr>
            </w:pPr>
            <w:r>
              <w:rPr>
                <w:sz w:val="16"/>
                <w:szCs w:val="16"/>
              </w:rPr>
              <w:t>A 44</w:t>
            </w:r>
          </w:p>
        </w:tc>
        <w:tc>
          <w:tcPr>
            <w:tcW w:w="6237" w:type="dxa"/>
            <w:shd w:val="clear" w:color="auto" w:fill="auto"/>
          </w:tcPr>
          <w:p w:rsidR="007627A3" w:rsidRDefault="007627A3" w:rsidP="00477296">
            <w:pPr>
              <w:pStyle w:val="Default"/>
              <w:numPr>
                <w:ilvl w:val="0"/>
                <w:numId w:val="28"/>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34C45">
              <w:rPr>
                <w:rFonts w:ascii="Century Gothic" w:hAnsi="Century Gothic"/>
                <w:sz w:val="16"/>
                <w:szCs w:val="16"/>
              </w:rPr>
              <w:t>es berechnet den Anteil anhand der folgenden Formel:</w:t>
            </w:r>
          </w:p>
          <w:p w:rsidR="007627A3" w:rsidRDefault="007627A3" w:rsidP="00477296">
            <w:pPr>
              <w:pStyle w:val="Default"/>
              <w:ind w:left="720"/>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noProof/>
              </w:rPr>
              <w:drawing>
                <wp:inline distT="0" distB="0" distL="0" distR="0" wp14:anchorId="30321D01" wp14:editId="0D8F6D2F">
                  <wp:extent cx="3086100" cy="29085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315" cy="342897"/>
                          </a:xfrm>
                          <a:prstGeom prst="rect">
                            <a:avLst/>
                          </a:prstGeom>
                          <a:noFill/>
                          <a:ln>
                            <a:noFill/>
                          </a:ln>
                        </pic:spPr>
                      </pic:pic>
                    </a:graphicData>
                  </a:graphic>
                </wp:inline>
              </w:drawing>
            </w:r>
          </w:p>
          <w:p w:rsidR="007627A3" w:rsidRPr="0051275C" w:rsidRDefault="007627A3" w:rsidP="00477296">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1847" w:type="dxa"/>
            <w:shd w:val="clear" w:color="auto" w:fill="auto"/>
          </w:tcPr>
          <w:p w:rsidR="007627A3" w:rsidRPr="000E0C5F" w:rsidRDefault="007627A3" w:rsidP="00477296">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51275C" w:rsidRPr="000E0C5F" w:rsidTr="00F7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51275C" w:rsidRPr="0015165A" w:rsidRDefault="0051275C" w:rsidP="00477296">
            <w:pPr>
              <w:spacing w:before="0"/>
              <w:contextualSpacing/>
              <w:jc w:val="center"/>
              <w:rPr>
                <w:sz w:val="16"/>
                <w:szCs w:val="16"/>
              </w:rPr>
            </w:pPr>
            <w:r w:rsidRPr="0015165A">
              <w:rPr>
                <w:sz w:val="16"/>
                <w:szCs w:val="16"/>
              </w:rPr>
              <w:t xml:space="preserve">AR </w:t>
            </w:r>
            <w:r>
              <w:rPr>
                <w:sz w:val="16"/>
                <w:szCs w:val="16"/>
              </w:rPr>
              <w:t>45</w:t>
            </w:r>
          </w:p>
        </w:tc>
        <w:tc>
          <w:tcPr>
            <w:tcW w:w="6237" w:type="dxa"/>
            <w:shd w:val="clear" w:color="auto" w:fill="auto"/>
          </w:tcPr>
          <w:p w:rsidR="0051275C" w:rsidRDefault="0051275C" w:rsidP="00477296">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Bei der Zusammenstellung der nach Absatz 49 erforderlichen Informationen über Scope-2-THG-Bruttoemissionen geht das Unternehmen wie folgt vor:</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 xml:space="preserve">Es berücksichtigt die Grundsätze und Anforderungen der Leitlinien des THG-Protokolls für Scope-2-Treibhausgasemissionen (Version 2015, insbesondere die Scope-2-Qualitätskriterien in Kapitel 7.1 in Bezug auf vertragliche Instrumente), außerdem kann es die Empfehlung (EU) 2021/2279 der Kommission oder die relevanten Anforderungen für die Quantifizierung </w:t>
            </w:r>
            <w:r w:rsidRPr="0051275C">
              <w:rPr>
                <w:rFonts w:ascii="Century Gothic" w:hAnsi="Century Gothic"/>
                <w:b/>
                <w:bCs/>
                <w:sz w:val="16"/>
                <w:szCs w:val="16"/>
              </w:rPr>
              <w:t xml:space="preserve">indirekter Treibhausgasemissionen </w:t>
            </w:r>
            <w:r w:rsidRPr="0051275C">
              <w:rPr>
                <w:rFonts w:ascii="Century Gothic" w:hAnsi="Century Gothic"/>
                <w:sz w:val="16"/>
                <w:szCs w:val="16"/>
              </w:rPr>
              <w:t xml:space="preserve">aus importierter Energie gemäß ISO 14064-1:2018 berücksichtigen, </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 xml:space="preserve">es gibt </w:t>
            </w:r>
            <w:r w:rsidRPr="0051275C">
              <w:rPr>
                <w:rFonts w:ascii="Century Gothic" w:hAnsi="Century Gothic"/>
                <w:b/>
                <w:bCs/>
                <w:sz w:val="16"/>
                <w:szCs w:val="16"/>
              </w:rPr>
              <w:t xml:space="preserve">Elektrizität, Dampf, Wärme und Kühlung </w:t>
            </w:r>
            <w:r w:rsidRPr="0051275C">
              <w:rPr>
                <w:rFonts w:ascii="Century Gothic" w:hAnsi="Century Gothic"/>
                <w:sz w:val="16"/>
                <w:szCs w:val="16"/>
              </w:rPr>
              <w:t xml:space="preserve">an, die das Unternehmen </w:t>
            </w:r>
            <w:r w:rsidRPr="0051275C">
              <w:rPr>
                <w:rFonts w:ascii="Century Gothic" w:hAnsi="Century Gothic"/>
                <w:b/>
                <w:bCs/>
                <w:sz w:val="16"/>
                <w:szCs w:val="16"/>
              </w:rPr>
              <w:t xml:space="preserve">erworben </w:t>
            </w:r>
            <w:r w:rsidRPr="0051275C">
              <w:rPr>
                <w:rFonts w:ascii="Century Gothic" w:hAnsi="Century Gothic"/>
                <w:sz w:val="16"/>
                <w:szCs w:val="16"/>
              </w:rPr>
              <w:t xml:space="preserve">oder </w:t>
            </w:r>
            <w:r w:rsidRPr="0051275C">
              <w:rPr>
                <w:rFonts w:ascii="Century Gothic" w:hAnsi="Century Gothic"/>
                <w:b/>
                <w:bCs/>
                <w:sz w:val="16"/>
                <w:szCs w:val="16"/>
              </w:rPr>
              <w:t xml:space="preserve">erhalten </w:t>
            </w:r>
            <w:r w:rsidRPr="0051275C">
              <w:rPr>
                <w:rFonts w:ascii="Century Gothic" w:hAnsi="Century Gothic"/>
                <w:sz w:val="16"/>
                <w:szCs w:val="16"/>
              </w:rPr>
              <w:t>hat,</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 xml:space="preserve">es vermeidet eine Doppelzählung der unter den Kategorien </w:t>
            </w:r>
            <w:proofErr w:type="spellStart"/>
            <w:r w:rsidRPr="0051275C">
              <w:rPr>
                <w:rFonts w:ascii="Century Gothic" w:hAnsi="Century Gothic"/>
                <w:sz w:val="16"/>
                <w:szCs w:val="16"/>
              </w:rPr>
              <w:t>Scope</w:t>
            </w:r>
            <w:proofErr w:type="spellEnd"/>
            <w:r w:rsidRPr="0051275C">
              <w:rPr>
                <w:rFonts w:ascii="Century Gothic" w:hAnsi="Century Gothic"/>
                <w:sz w:val="16"/>
                <w:szCs w:val="16"/>
              </w:rPr>
              <w:t xml:space="preserve"> 1 oder 3 gemeldeten Treibhausgasemissionen,</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 xml:space="preserve">es wendet die standortbezogene und die marktbezogene Methode zur Berechnung der Scope-2-Treibhausgasemissionen an und legt Informationen über den Anteil und die Arten der vertraglichen Instrumente vor. Bei der standortbezogenen Methode werden die Scope-2-Treibhausgasemissionen des auf der Grundlage von durchschnittlichen Emissionsfaktoren für die Energieerzeugung an bestimmten Orten, einschließlich lokaler, subnationaler oder nationaler Grenzen, quantifiziert (THG-Protokoll, Leitlinien für Scope-2-Emissionen, Glossar, 2015). Bei der marktbezogenen Methode werden die Scope-2-Treibhausgasemissionen auf der Grundlage der Treibhausgasemissionen der Erzeuger quantifiziert, von denen das Bericht erstattende Unternehmen vertraglich Strom, der mit Instrumenten gebündelt ist, oder </w:t>
            </w:r>
            <w:proofErr w:type="spellStart"/>
            <w:r w:rsidRPr="0051275C">
              <w:rPr>
                <w:rFonts w:ascii="Century Gothic" w:hAnsi="Century Gothic"/>
                <w:sz w:val="16"/>
                <w:szCs w:val="16"/>
              </w:rPr>
              <w:t>ungebündelte</w:t>
            </w:r>
            <w:proofErr w:type="spellEnd"/>
            <w:r w:rsidRPr="0051275C">
              <w:rPr>
                <w:rFonts w:ascii="Century Gothic" w:hAnsi="Century Gothic"/>
                <w:sz w:val="16"/>
                <w:szCs w:val="16"/>
              </w:rPr>
              <w:t xml:space="preserve"> Instrumente allein, erwirbt (THG-Protokoll, Leitlinien für Scope-2-Emissionen, Glossar, 2015); in diesem Fall kann das Unternehmen den Anteil der marktbezogenen Scope-2-Treibhausgasemissionen im Zusammenhang mit erworbenem Strom, der mit Instrumenten wie Herkunftsnachweisen oder Zertifikaten für erneuerbare Energien gebündelt ist, angeben. Das Unternehmen stellt Informationen über den Anteil und die Arten der vertraglichen Instrumente zur Verfügung, die für den Verkauf und den Kauf von Energie verwendet werden, die mit Attributen zur Energieerzeugung gebündelt oder nicht mit Energieattributen gebündelt ist,</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es gibt biogene CO</w:t>
            </w:r>
            <w:r w:rsidRPr="00203D1B">
              <w:rPr>
                <w:rFonts w:ascii="Century Gothic" w:hAnsi="Century Gothic"/>
                <w:sz w:val="16"/>
                <w:szCs w:val="16"/>
                <w:vertAlign w:val="subscript"/>
              </w:rPr>
              <w:t>2</w:t>
            </w:r>
            <w:r w:rsidRPr="0051275C">
              <w:rPr>
                <w:rFonts w:ascii="Century Gothic" w:hAnsi="Century Gothic"/>
                <w:sz w:val="16"/>
                <w:szCs w:val="16"/>
              </w:rPr>
              <w:t>-Emissionen aus der Verbrennung oder dem biologischen Abbau von Biomasse getrennt von den Scope-2-Treibhausgasemissionen an, berücksichtigt aber Emissionen anderer Arten von Treibhausgasen (insbesondere CH</w:t>
            </w:r>
            <w:r w:rsidRPr="00203D1B">
              <w:rPr>
                <w:rFonts w:ascii="Century Gothic" w:hAnsi="Century Gothic"/>
                <w:sz w:val="16"/>
                <w:szCs w:val="16"/>
                <w:vertAlign w:val="subscript"/>
              </w:rPr>
              <w:t>4</w:t>
            </w:r>
            <w:r w:rsidRPr="0051275C">
              <w:rPr>
                <w:rFonts w:ascii="Century Gothic" w:hAnsi="Century Gothic"/>
                <w:sz w:val="16"/>
                <w:szCs w:val="16"/>
              </w:rPr>
              <w:t xml:space="preserve"> und N</w:t>
            </w:r>
            <w:r w:rsidRPr="00203D1B">
              <w:rPr>
                <w:rFonts w:ascii="Century Gothic" w:hAnsi="Century Gothic"/>
                <w:sz w:val="16"/>
                <w:szCs w:val="16"/>
                <w:vertAlign w:val="subscript"/>
              </w:rPr>
              <w:t>2</w:t>
            </w:r>
            <w:r w:rsidRPr="0051275C">
              <w:rPr>
                <w:rFonts w:ascii="Century Gothic" w:hAnsi="Century Gothic"/>
                <w:sz w:val="16"/>
                <w:szCs w:val="16"/>
              </w:rPr>
              <w:t>O). Werden bei den angewandten Emissionsfaktoren der prozentuale Anteil an Biomasse oder an biogenem CO</w:t>
            </w:r>
            <w:r w:rsidRPr="00203D1B">
              <w:rPr>
                <w:rFonts w:ascii="Century Gothic" w:hAnsi="Century Gothic"/>
                <w:sz w:val="16"/>
                <w:szCs w:val="16"/>
                <w:vertAlign w:val="subscript"/>
              </w:rPr>
              <w:t>2</w:t>
            </w:r>
            <w:r w:rsidRPr="0051275C">
              <w:rPr>
                <w:rFonts w:ascii="Century Gothic" w:hAnsi="Century Gothic"/>
                <w:sz w:val="16"/>
                <w:szCs w:val="16"/>
              </w:rPr>
              <w:t xml:space="preserve"> nicht getrennt, so muss das Unternehmen dies angeben. Stehen Treibhausgasemissionen anderer Treibhausgase als CO</w:t>
            </w:r>
            <w:r w:rsidRPr="00203D1B">
              <w:rPr>
                <w:rFonts w:ascii="Century Gothic" w:hAnsi="Century Gothic"/>
                <w:sz w:val="16"/>
                <w:szCs w:val="16"/>
                <w:vertAlign w:val="subscript"/>
              </w:rPr>
              <w:t>2</w:t>
            </w:r>
            <w:r w:rsidRPr="0051275C">
              <w:rPr>
                <w:rFonts w:ascii="Century Gothic" w:hAnsi="Century Gothic"/>
                <w:sz w:val="16"/>
                <w:szCs w:val="16"/>
              </w:rPr>
              <w:t xml:space="preserve"> (insbesondere CH</w:t>
            </w:r>
            <w:r w:rsidRPr="00203D1B">
              <w:rPr>
                <w:rFonts w:ascii="Century Gothic" w:hAnsi="Century Gothic"/>
                <w:sz w:val="16"/>
                <w:szCs w:val="16"/>
                <w:vertAlign w:val="subscript"/>
              </w:rPr>
              <w:t>4</w:t>
            </w:r>
            <w:r w:rsidRPr="0051275C">
              <w:rPr>
                <w:rFonts w:ascii="Century Gothic" w:hAnsi="Century Gothic"/>
                <w:sz w:val="16"/>
                <w:szCs w:val="16"/>
              </w:rPr>
              <w:t xml:space="preserve"> und N</w:t>
            </w:r>
            <w:r w:rsidRPr="00203D1B">
              <w:rPr>
                <w:rFonts w:ascii="Century Gothic" w:hAnsi="Century Gothic"/>
                <w:sz w:val="16"/>
                <w:szCs w:val="16"/>
                <w:vertAlign w:val="subscript"/>
              </w:rPr>
              <w:t>2</w:t>
            </w:r>
            <w:r w:rsidRPr="0051275C">
              <w:rPr>
                <w:rFonts w:ascii="Century Gothic" w:hAnsi="Century Gothic"/>
                <w:sz w:val="16"/>
                <w:szCs w:val="16"/>
              </w:rPr>
              <w:t>O) für standortbezogene durchschnittliche Emissionsfaktoren des Netzes oder für die marktbezogene Methode nicht zur Verfügung oder sind davon ausgeschlossen, so gibt das Unternehmen dies an,</w:t>
            </w:r>
          </w:p>
          <w:p w:rsidR="0051275C" w:rsidRPr="0051275C" w:rsidRDefault="0051275C" w:rsidP="00477296">
            <w:pPr>
              <w:pStyle w:val="Default"/>
              <w:numPr>
                <w:ilvl w:val="0"/>
                <w:numId w:val="22"/>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 xml:space="preserve">es schließt jeglichen Abbau oder alle erworbenen, verkauften oder übertragenen </w:t>
            </w:r>
            <w:r w:rsidRPr="0051275C">
              <w:rPr>
                <w:rFonts w:ascii="Century Gothic" w:hAnsi="Century Gothic"/>
                <w:b/>
                <w:bCs/>
                <w:sz w:val="16"/>
                <w:szCs w:val="16"/>
              </w:rPr>
              <w:t>CO</w:t>
            </w:r>
            <w:r w:rsidRPr="00203D1B">
              <w:rPr>
                <w:rFonts w:ascii="Century Gothic" w:hAnsi="Century Gothic"/>
                <w:b/>
                <w:bCs/>
                <w:sz w:val="16"/>
                <w:szCs w:val="16"/>
                <w:vertAlign w:val="subscript"/>
              </w:rPr>
              <w:t>2</w:t>
            </w:r>
            <w:r w:rsidRPr="0051275C">
              <w:rPr>
                <w:rFonts w:ascii="Century Gothic" w:hAnsi="Century Gothic"/>
                <w:b/>
                <w:bCs/>
                <w:sz w:val="16"/>
                <w:szCs w:val="16"/>
              </w:rPr>
              <w:t xml:space="preserve">-Gutschriften </w:t>
            </w:r>
            <w:r w:rsidRPr="0051275C">
              <w:rPr>
                <w:rFonts w:ascii="Century Gothic" w:hAnsi="Century Gothic"/>
                <w:sz w:val="16"/>
                <w:szCs w:val="16"/>
              </w:rPr>
              <w:t>oder Treibhausgaszertifikate aus der Berechnung der Scope-2-Treibhausgasemissionen aus.</w:t>
            </w:r>
          </w:p>
        </w:tc>
        <w:tc>
          <w:tcPr>
            <w:tcW w:w="1847" w:type="dxa"/>
            <w:shd w:val="clear" w:color="auto" w:fill="auto"/>
          </w:tcPr>
          <w:p w:rsidR="0051275C" w:rsidRPr="000E0C5F" w:rsidRDefault="0051275C" w:rsidP="00477296">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p>
        </w:tc>
      </w:tr>
    </w:tbl>
    <w:p w:rsidR="0038768E" w:rsidRDefault="0038768E">
      <w:r>
        <w:rPr>
          <w:b/>
          <w:bCs/>
        </w:rPr>
        <w:br w:type="page"/>
      </w:r>
    </w:p>
    <w:tbl>
      <w:tblPr>
        <w:tblStyle w:val="Gitternetztabelle4Akzent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7"/>
        <w:gridCol w:w="1847"/>
      </w:tblGrid>
      <w:tr w:rsidR="0038768E" w:rsidRPr="00122B7B" w:rsidTr="0038768E">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38768E" w:rsidRPr="00122B7B" w:rsidRDefault="0038768E" w:rsidP="00A91B7F">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89643B" w:rsidRPr="00F73204" w:rsidTr="0038768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89643B" w:rsidRPr="00F73204" w:rsidRDefault="0089643B" w:rsidP="005F328B">
            <w:pPr>
              <w:spacing w:before="0"/>
              <w:rPr>
                <w:sz w:val="2"/>
                <w:szCs w:val="2"/>
              </w:rPr>
            </w:pPr>
          </w:p>
        </w:tc>
      </w:tr>
      <w:tr w:rsidR="00C45B48" w:rsidRPr="00C45B48"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tcBorders>
            <w:shd w:val="clear" w:color="auto" w:fill="228B22"/>
            <w:vAlign w:val="center"/>
          </w:tcPr>
          <w:p w:rsidR="0051275C" w:rsidRPr="00C45B48" w:rsidRDefault="0051275C" w:rsidP="00F73204">
            <w:pPr>
              <w:spacing w:before="0"/>
              <w:contextualSpacing/>
              <w:jc w:val="center"/>
              <w:rPr>
                <w:color w:val="FFFFFF" w:themeColor="background1"/>
                <w:sz w:val="20"/>
                <w:szCs w:val="20"/>
              </w:rPr>
            </w:pPr>
            <w:r w:rsidRPr="00C45B48">
              <w:rPr>
                <w:color w:val="FFFFFF" w:themeColor="background1"/>
                <w:sz w:val="20"/>
                <w:szCs w:val="20"/>
              </w:rPr>
              <w:t>Quelle ESRS E1</w:t>
            </w:r>
          </w:p>
        </w:tc>
        <w:tc>
          <w:tcPr>
            <w:tcW w:w="6237" w:type="dxa"/>
            <w:tcBorders>
              <w:bottom w:val="single" w:sz="4" w:space="0" w:color="auto"/>
            </w:tcBorders>
            <w:shd w:val="clear" w:color="auto" w:fill="228B22"/>
            <w:vAlign w:val="center"/>
          </w:tcPr>
          <w:p w:rsidR="0051275C" w:rsidRPr="00C45B48" w:rsidRDefault="0051275C" w:rsidP="00F73204">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C45B48">
              <w:rPr>
                <w:b/>
                <w:color w:val="FFFFFF" w:themeColor="background1"/>
                <w:sz w:val="20"/>
                <w:szCs w:val="20"/>
              </w:rPr>
              <w:t>Parameter und Ziele</w:t>
            </w:r>
          </w:p>
        </w:tc>
        <w:tc>
          <w:tcPr>
            <w:tcW w:w="1847" w:type="dxa"/>
            <w:tcBorders>
              <w:bottom w:val="single" w:sz="4" w:space="0" w:color="auto"/>
            </w:tcBorders>
            <w:shd w:val="clear" w:color="auto" w:fill="228B22"/>
            <w:vAlign w:val="center"/>
          </w:tcPr>
          <w:p w:rsidR="0051275C" w:rsidRPr="00C45B48" w:rsidRDefault="0051275C" w:rsidP="00F73204">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C45B48">
              <w:rPr>
                <w:b/>
                <w:color w:val="FFFFFF" w:themeColor="background1"/>
                <w:sz w:val="16"/>
                <w:szCs w:val="16"/>
              </w:rPr>
              <w:t>Bemerkungen, ggf. Verweis auf Datenpunkte</w:t>
            </w:r>
          </w:p>
        </w:tc>
      </w:tr>
      <w:tr w:rsidR="0051275C"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275C" w:rsidRPr="0015165A" w:rsidRDefault="0051275C" w:rsidP="00476504">
            <w:pPr>
              <w:spacing w:before="0"/>
              <w:contextualSpacing/>
              <w:jc w:val="center"/>
              <w:rPr>
                <w:sz w:val="16"/>
                <w:szCs w:val="16"/>
              </w:rPr>
            </w:pPr>
            <w:r w:rsidRPr="0015165A">
              <w:rPr>
                <w:sz w:val="16"/>
                <w:szCs w:val="16"/>
              </w:rPr>
              <w:t xml:space="preserve">AR </w:t>
            </w:r>
            <w:r>
              <w:rPr>
                <w:sz w:val="16"/>
                <w:szCs w:val="16"/>
              </w:rPr>
              <w:t>46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73204" w:rsidRPr="0051275C" w:rsidRDefault="0089643B" w:rsidP="00476504">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Bei der Zusammenstellung der nach Absatz 51 erforderlichen Informationen über Scope-3-THG-Bruttoemissionen geht das Unternehmen wie folgt vor:</w:t>
            </w:r>
          </w:p>
          <w:p w:rsidR="0089643B" w:rsidRDefault="0089643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1275C">
              <w:rPr>
                <w:rFonts w:ascii="Century Gothic" w:hAnsi="Century Gothic"/>
                <w:sz w:val="16"/>
                <w:szCs w:val="16"/>
              </w:rPr>
              <w:t>Es berücksichtigt die Grundsätze und Bestimmungen des Rechnungslegungs- und Berichterstattungsstandards des THG-Protokolls für die Wertschöpfungskette von Unternehmen (</w:t>
            </w:r>
            <w:proofErr w:type="spellStart"/>
            <w:r w:rsidRPr="0051275C">
              <w:rPr>
                <w:rFonts w:ascii="Century Gothic" w:hAnsi="Century Gothic"/>
                <w:sz w:val="16"/>
                <w:szCs w:val="16"/>
              </w:rPr>
              <w:t>Scope</w:t>
            </w:r>
            <w:proofErr w:type="spellEnd"/>
            <w:r w:rsidRPr="0051275C">
              <w:rPr>
                <w:rFonts w:ascii="Century Gothic" w:hAnsi="Century Gothic"/>
                <w:sz w:val="16"/>
                <w:szCs w:val="16"/>
              </w:rPr>
              <w:t xml:space="preserve"> 3) (Fassung von 2011), außerdem kann es die Empfehlung (EU) 2021/2279 der Kommission oder die relevanten Anforderungen für die Quantifizierung </w:t>
            </w:r>
            <w:r w:rsidRPr="0051275C">
              <w:rPr>
                <w:rFonts w:ascii="Century Gothic" w:hAnsi="Century Gothic"/>
                <w:b/>
                <w:bCs/>
                <w:sz w:val="16"/>
                <w:szCs w:val="16"/>
              </w:rPr>
              <w:t xml:space="preserve">indirekter Treibhausgasemissionen </w:t>
            </w:r>
            <w:r w:rsidRPr="0051275C">
              <w:rPr>
                <w:rFonts w:ascii="Century Gothic" w:hAnsi="Century Gothic"/>
                <w:sz w:val="16"/>
                <w:szCs w:val="16"/>
              </w:rPr>
              <w:t>gemäß ISO 14064-1:2018 berücksichtigen,</w:t>
            </w:r>
          </w:p>
          <w:p w:rsidR="00C80ECB" w:rsidRPr="009757C6" w:rsidRDefault="00C80EC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 xml:space="preserve">wenn es sich um ein Finanzinstitut handelt, berücksichtigt es den Rechnungslegungs- und Berichterstattungsstandard für Treibhausgase für die Finanzbranche der Partnership </w:t>
            </w:r>
            <w:proofErr w:type="spellStart"/>
            <w:r w:rsidRPr="009757C6">
              <w:rPr>
                <w:rFonts w:ascii="Century Gothic" w:hAnsi="Century Gothic"/>
                <w:sz w:val="16"/>
                <w:szCs w:val="16"/>
              </w:rPr>
              <w:t>for</w:t>
            </w:r>
            <w:proofErr w:type="spellEnd"/>
            <w:r w:rsidRPr="009757C6">
              <w:rPr>
                <w:rFonts w:ascii="Century Gothic" w:hAnsi="Century Gothic"/>
                <w:sz w:val="16"/>
                <w:szCs w:val="16"/>
              </w:rPr>
              <w:t xml:space="preserve"> Carbon Accounting Financial (PCAF), insbesondere Teil A „</w:t>
            </w:r>
            <w:proofErr w:type="spellStart"/>
            <w:r w:rsidRPr="009757C6">
              <w:rPr>
                <w:rFonts w:ascii="Century Gothic" w:hAnsi="Century Gothic"/>
                <w:sz w:val="16"/>
                <w:szCs w:val="16"/>
              </w:rPr>
              <w:t>Financed</w:t>
            </w:r>
            <w:proofErr w:type="spellEnd"/>
            <w:r w:rsidRPr="009757C6">
              <w:rPr>
                <w:rFonts w:ascii="Century Gothic" w:hAnsi="Century Gothic"/>
                <w:sz w:val="16"/>
                <w:szCs w:val="16"/>
              </w:rPr>
              <w:t xml:space="preserve"> </w:t>
            </w:r>
            <w:proofErr w:type="spellStart"/>
            <w:r w:rsidRPr="009757C6">
              <w:rPr>
                <w:rFonts w:ascii="Century Gothic" w:hAnsi="Century Gothic"/>
                <w:sz w:val="16"/>
                <w:szCs w:val="16"/>
              </w:rPr>
              <w:t>Emissions</w:t>
            </w:r>
            <w:proofErr w:type="spellEnd"/>
            <w:r w:rsidRPr="009757C6">
              <w:rPr>
                <w:rFonts w:ascii="Century Gothic" w:hAnsi="Century Gothic"/>
                <w:sz w:val="16"/>
                <w:szCs w:val="16"/>
              </w:rPr>
              <w:t>“ (Fassung vom Dezember 2022),</w:t>
            </w:r>
          </w:p>
          <w:p w:rsidR="00C80ECB" w:rsidRPr="009757C6" w:rsidRDefault="00C80EC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es überprüft unter Verwendung geeigneter Schätzungen seine gesamten Scope-3-Treibhausgasemissionen auf der Grundlage der 15 Scope-3-Kategorien, die im Rechnungslegungs- und Berichterstattungsstandard des THG-Protokolls für die Wertschöpfungskette von Unternehmen (</w:t>
            </w:r>
            <w:proofErr w:type="spellStart"/>
            <w:r w:rsidRPr="009757C6">
              <w:rPr>
                <w:rFonts w:ascii="Century Gothic" w:hAnsi="Century Gothic"/>
                <w:sz w:val="16"/>
                <w:szCs w:val="16"/>
              </w:rPr>
              <w:t>Scope</w:t>
            </w:r>
            <w:proofErr w:type="spellEnd"/>
            <w:r w:rsidRPr="009757C6">
              <w:rPr>
                <w:rFonts w:ascii="Century Gothic" w:hAnsi="Century Gothic"/>
                <w:sz w:val="16"/>
                <w:szCs w:val="16"/>
              </w:rPr>
              <w:t xml:space="preserve"> 3) (Fassung von 2011) beschrieben werden. Alternativ kann es seine </w:t>
            </w:r>
            <w:r w:rsidRPr="009757C6">
              <w:rPr>
                <w:rFonts w:ascii="Century Gothic" w:hAnsi="Century Gothic"/>
                <w:b/>
                <w:bCs/>
                <w:sz w:val="16"/>
                <w:szCs w:val="16"/>
              </w:rPr>
              <w:t xml:space="preserve">indirekten Treibhausgasemissionen </w:t>
            </w:r>
            <w:r w:rsidRPr="009757C6">
              <w:rPr>
                <w:rFonts w:ascii="Century Gothic" w:hAnsi="Century Gothic"/>
                <w:sz w:val="16"/>
                <w:szCs w:val="16"/>
              </w:rPr>
              <w:t>auf der Grundlage der in Abschnitt 5.2.4 der Norm EN ISO 14064-1:2018 genannten Kategorien überprüfen (außer bei indirekten Treibhausgasemissionen aus importierter Energie),</w:t>
            </w:r>
          </w:p>
          <w:p w:rsidR="00C80ECB" w:rsidRPr="009757C6" w:rsidRDefault="00C80EC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es ermittelt und übermittelt seine signifikanten Scope-3-Kategorien auf der Grundlage der Größenordnung ihrer geschätzten Treibhausgasemissionen und anderer Kriterien gemäß dem Rechnungslegungs- und Berichterstattungsstandard des THG-Protokolls für die Wertschöpfungskette von Unternehmen (</w:t>
            </w:r>
            <w:proofErr w:type="spellStart"/>
            <w:r w:rsidRPr="009757C6">
              <w:rPr>
                <w:rFonts w:ascii="Century Gothic" w:hAnsi="Century Gothic"/>
                <w:sz w:val="16"/>
                <w:szCs w:val="16"/>
              </w:rPr>
              <w:t>Scope</w:t>
            </w:r>
            <w:proofErr w:type="spellEnd"/>
            <w:r w:rsidRPr="009757C6">
              <w:rPr>
                <w:rFonts w:ascii="Century Gothic" w:hAnsi="Century Gothic"/>
                <w:sz w:val="16"/>
                <w:szCs w:val="16"/>
              </w:rPr>
              <w:t xml:space="preserve"> 3) (Fassung von 2011, S. 61 und 65–68) oder gemäß Anhang H.3.2 der Norm EN ISO 14064-1:2018, z. B. Finanzausgaben, Einfluss, zugehörige </w:t>
            </w:r>
            <w:r w:rsidRPr="009757C6">
              <w:rPr>
                <w:rFonts w:ascii="Century Gothic" w:hAnsi="Century Gothic"/>
                <w:b/>
                <w:bCs/>
                <w:sz w:val="16"/>
                <w:szCs w:val="16"/>
              </w:rPr>
              <w:t xml:space="preserve">Übergangsrisiken </w:t>
            </w:r>
            <w:r w:rsidRPr="009757C6">
              <w:rPr>
                <w:rFonts w:ascii="Century Gothic" w:hAnsi="Century Gothic"/>
                <w:sz w:val="16"/>
                <w:szCs w:val="16"/>
              </w:rPr>
              <w:t xml:space="preserve">und </w:t>
            </w:r>
            <w:r w:rsidRPr="009757C6">
              <w:rPr>
                <w:rFonts w:ascii="Century Gothic" w:hAnsi="Century Gothic"/>
                <w:b/>
                <w:bCs/>
                <w:sz w:val="16"/>
                <w:szCs w:val="16"/>
              </w:rPr>
              <w:t xml:space="preserve">Chancen </w:t>
            </w:r>
            <w:r w:rsidRPr="009757C6">
              <w:rPr>
                <w:rFonts w:ascii="Century Gothic" w:hAnsi="Century Gothic"/>
                <w:sz w:val="16"/>
                <w:szCs w:val="16"/>
              </w:rPr>
              <w:t xml:space="preserve">oder Standpunkte der </w:t>
            </w:r>
            <w:r w:rsidRPr="009757C6">
              <w:rPr>
                <w:rFonts w:ascii="Century Gothic" w:hAnsi="Century Gothic"/>
                <w:b/>
                <w:bCs/>
                <w:sz w:val="16"/>
                <w:szCs w:val="16"/>
              </w:rPr>
              <w:t>Interessenträger</w:t>
            </w:r>
            <w:r w:rsidRPr="009757C6">
              <w:rPr>
                <w:rFonts w:ascii="Century Gothic" w:hAnsi="Century Gothic"/>
                <w:sz w:val="16"/>
                <w:szCs w:val="16"/>
              </w:rPr>
              <w:t>,</w:t>
            </w:r>
          </w:p>
          <w:p w:rsidR="00C80ECB" w:rsidRPr="009757C6" w:rsidRDefault="00C80EC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es berechnet oder schätzt die Treibhausgasemissionen in signifikanten Scope-3-Kategorien unter Verwendung geeigneter Emissionsfaktoren,</w:t>
            </w:r>
          </w:p>
          <w:p w:rsidR="0051275C" w:rsidRPr="009757C6" w:rsidRDefault="00C80ECB" w:rsidP="00476504">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 xml:space="preserve">es aktualisiert jährlich die Scope-3-Treibhausgasemissionen in jeder signifikanten Kategorie auf der Grundlage aktueller Tätigkeitsdaten, es aktualisiert mindestens alle drei Jahre oder bei Auftreten eines signifikanten Ereignisses oder einer erheblichen Änderung der Umstände das gesamte Scope-3-Treibhausgasinventar (ein signifikantes Ereignis oder eine erhebliche Änderung der Umstände kann sich beispielsweise auf Änderungen der Tätigkeiten oder der Struktur des Unternehmens, Änderungen der Tätigkeiten oder der Struktur seiner vor- und nachgelagerten Wertschöpfungskette(n), eine Änderung der Berechnungsmethode oder die Aufdeckung von Fehlern beziehen), </w:t>
            </w:r>
          </w:p>
          <w:p w:rsidR="00C80ECB" w:rsidRPr="009B2238" w:rsidRDefault="00C80ECB" w:rsidP="00476504">
            <w:pPr>
              <w:pStyle w:val="Default"/>
              <w:numPr>
                <w:ilvl w:val="0"/>
                <w:numId w:val="29"/>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 xml:space="preserve">es gibt den Umfang an, in dem seine Scope-3-Treibhausgasemissionen anhand von Inputs aus bestimmten Tätigkeiten innerhalb der vor- und nachgelagerten Wertschöpfungskette des Unternehmens gemessen werden, sowie den Prozentsatz der Emissionen, der anhand von Primärdaten von </w:t>
            </w:r>
            <w:r w:rsidRPr="009757C6">
              <w:rPr>
                <w:rFonts w:ascii="Century Gothic" w:hAnsi="Century Gothic"/>
                <w:b/>
                <w:bCs/>
                <w:sz w:val="16"/>
                <w:szCs w:val="16"/>
              </w:rPr>
              <w:t xml:space="preserve">Lieferanten </w:t>
            </w:r>
            <w:r w:rsidRPr="009757C6">
              <w:rPr>
                <w:rFonts w:ascii="Century Gothic" w:hAnsi="Century Gothic"/>
                <w:sz w:val="16"/>
                <w:szCs w:val="16"/>
              </w:rPr>
              <w:t xml:space="preserve">oder anderen Partnern in der </w:t>
            </w:r>
            <w:r w:rsidRPr="009757C6">
              <w:rPr>
                <w:rFonts w:ascii="Century Gothic" w:hAnsi="Century Gothic"/>
                <w:b/>
                <w:bCs/>
                <w:sz w:val="16"/>
                <w:szCs w:val="16"/>
              </w:rPr>
              <w:t xml:space="preserve">Wertschöpfungskette </w:t>
            </w:r>
            <w:r w:rsidRPr="009757C6">
              <w:rPr>
                <w:rFonts w:ascii="Century Gothic" w:hAnsi="Century Gothic"/>
                <w:sz w:val="16"/>
                <w:szCs w:val="16"/>
              </w:rPr>
              <w:t>berechnet wurde,</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51275C" w:rsidRPr="000E0C5F" w:rsidRDefault="0051275C" w:rsidP="00476504">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bl>
    <w:p w:rsidR="00476504" w:rsidRDefault="00476504" w:rsidP="00C80ECB">
      <w:pPr>
        <w:pStyle w:val="Standardeinzug"/>
      </w:pPr>
    </w:p>
    <w:p w:rsidR="00476504" w:rsidRDefault="00476504" w:rsidP="00476504">
      <w:pPr>
        <w:pStyle w:val="Standardeinzug"/>
      </w:pPr>
      <w:r>
        <w:br w:type="page"/>
      </w:r>
    </w:p>
    <w:tbl>
      <w:tblPr>
        <w:tblStyle w:val="Gitternetztabelle4Akzent6"/>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8"/>
      </w:tblGrid>
      <w:tr w:rsidR="0038768E" w:rsidRPr="00122B7B" w:rsidTr="0038768E">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38768E" w:rsidRPr="00122B7B" w:rsidRDefault="0038768E" w:rsidP="00A91B7F">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Pr>
                <w:color w:val="000000" w:themeColor="text1"/>
                <w:sz w:val="20"/>
                <w:szCs w:val="20"/>
              </w:rPr>
              <w:t>; Forts.</w:t>
            </w:r>
          </w:p>
        </w:tc>
      </w:tr>
      <w:tr w:rsidR="0038768E" w:rsidRPr="00F73204" w:rsidTr="0038768E">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7" w:type="dxa"/>
            <w:gridSpan w:val="3"/>
            <w:shd w:val="clear" w:color="auto" w:fill="auto"/>
            <w:vAlign w:val="center"/>
          </w:tcPr>
          <w:p w:rsidR="0038768E" w:rsidRPr="00F73204" w:rsidRDefault="0038768E" w:rsidP="00A91B7F">
            <w:pPr>
              <w:spacing w:before="0"/>
              <w:rPr>
                <w:sz w:val="2"/>
                <w:szCs w:val="2"/>
              </w:rPr>
            </w:pPr>
          </w:p>
        </w:tc>
      </w:tr>
      <w:tr w:rsidR="009B2238" w:rsidRPr="009B2238"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shd w:val="clear" w:color="auto" w:fill="228B22"/>
            <w:vAlign w:val="center"/>
          </w:tcPr>
          <w:p w:rsidR="00C80ECB" w:rsidRPr="009B2238" w:rsidRDefault="00C80ECB" w:rsidP="00A964C7">
            <w:pPr>
              <w:spacing w:before="0"/>
              <w:contextualSpacing/>
              <w:jc w:val="center"/>
              <w:rPr>
                <w:color w:val="FFFFFF" w:themeColor="background1"/>
                <w:sz w:val="20"/>
                <w:szCs w:val="20"/>
              </w:rPr>
            </w:pPr>
            <w:r w:rsidRPr="009B2238">
              <w:rPr>
                <w:color w:val="FFFFFF" w:themeColor="background1"/>
                <w:sz w:val="20"/>
                <w:szCs w:val="20"/>
              </w:rPr>
              <w:t>Quelle ESRS E1</w:t>
            </w:r>
          </w:p>
        </w:tc>
        <w:tc>
          <w:tcPr>
            <w:tcW w:w="6240" w:type="dxa"/>
            <w:shd w:val="clear" w:color="auto" w:fill="228B22"/>
            <w:vAlign w:val="center"/>
          </w:tcPr>
          <w:p w:rsidR="00C80ECB" w:rsidRPr="009B2238" w:rsidRDefault="00C80ECB" w:rsidP="00A964C7">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9B2238">
              <w:rPr>
                <w:b/>
                <w:color w:val="FFFFFF" w:themeColor="background1"/>
                <w:sz w:val="20"/>
                <w:szCs w:val="20"/>
              </w:rPr>
              <w:t>Parameter und Ziele</w:t>
            </w:r>
          </w:p>
        </w:tc>
        <w:tc>
          <w:tcPr>
            <w:tcW w:w="1848" w:type="dxa"/>
            <w:shd w:val="clear" w:color="auto" w:fill="228B22"/>
            <w:vAlign w:val="center"/>
          </w:tcPr>
          <w:p w:rsidR="00C80ECB" w:rsidRPr="009B2238" w:rsidRDefault="00C80ECB" w:rsidP="00A964C7">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9B2238">
              <w:rPr>
                <w:b/>
                <w:color w:val="FFFFFF" w:themeColor="background1"/>
                <w:sz w:val="16"/>
                <w:szCs w:val="16"/>
              </w:rPr>
              <w:t>Bemerkungen, ggf. Verweis auf Datenpunkte</w:t>
            </w:r>
          </w:p>
        </w:tc>
      </w:tr>
      <w:tr w:rsidR="00C80ECB"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shd w:val="clear" w:color="auto" w:fill="D9D9D9" w:themeFill="background1" w:themeFillShade="D9"/>
          </w:tcPr>
          <w:p w:rsidR="00C80ECB" w:rsidRPr="0015165A" w:rsidRDefault="00C80ECB" w:rsidP="00A964C7">
            <w:pPr>
              <w:spacing w:before="0"/>
              <w:contextualSpacing/>
              <w:jc w:val="center"/>
              <w:rPr>
                <w:sz w:val="16"/>
                <w:szCs w:val="16"/>
              </w:rPr>
            </w:pPr>
            <w:r w:rsidRPr="0015165A">
              <w:rPr>
                <w:sz w:val="16"/>
                <w:szCs w:val="16"/>
              </w:rPr>
              <w:t xml:space="preserve">AR </w:t>
            </w:r>
            <w:r>
              <w:rPr>
                <w:sz w:val="16"/>
                <w:szCs w:val="16"/>
              </w:rPr>
              <w:t>46</w:t>
            </w:r>
          </w:p>
        </w:tc>
        <w:tc>
          <w:tcPr>
            <w:tcW w:w="6240" w:type="dxa"/>
            <w:shd w:val="clear" w:color="auto" w:fill="auto"/>
          </w:tcPr>
          <w:p w:rsidR="009B2238" w:rsidRPr="009757C6" w:rsidRDefault="009B2238" w:rsidP="00A964C7">
            <w:pPr>
              <w:pStyle w:val="Default"/>
              <w:numPr>
                <w:ilvl w:val="0"/>
                <w:numId w:val="29"/>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es gibt für jede signifikante Kategorie von Scope-3-Treibhausgasemissionen die berücksichtigten Berichterstattungsgrenzen, die Berechnungsmethoden für die Schätzung der Treibhausgasemissionen an und erklärt, ob und welche Berechnungswerkzeuge eingesetzt wurden. Die Scope-3-Kategorien sollten mit dem THG- Protokoll übereinstimmen und Folgendes umfassen:</w:t>
            </w:r>
          </w:p>
          <w:p w:rsidR="009B2238" w:rsidRDefault="009B2238" w:rsidP="00A964C7">
            <w:pPr>
              <w:pStyle w:val="Default"/>
              <w:numPr>
                <w:ilvl w:val="0"/>
                <w:numId w:val="23"/>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757C6">
              <w:rPr>
                <w:rFonts w:ascii="Century Gothic" w:hAnsi="Century Gothic"/>
                <w:sz w:val="16"/>
                <w:szCs w:val="16"/>
              </w:rPr>
              <w:t>indirekte Scope-3-Treibhausgasemissionen der konsolidierten Gruppenunternehmen (das Mutterunternehmen und die Tochterunternehmen),</w:t>
            </w:r>
          </w:p>
          <w:p w:rsidR="00C80ECB" w:rsidRPr="00A964C7" w:rsidRDefault="00A964C7" w:rsidP="00952834">
            <w:pPr>
              <w:pStyle w:val="Default"/>
              <w:numPr>
                <w:ilvl w:val="0"/>
                <w:numId w:val="23"/>
              </w:numPr>
              <w:ind w:left="749" w:hanging="283"/>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A964C7">
              <w:rPr>
                <w:rFonts w:ascii="Century Gothic" w:hAnsi="Century Gothic"/>
                <w:sz w:val="16"/>
                <w:szCs w:val="16"/>
              </w:rPr>
              <w:t>indirekte</w:t>
            </w:r>
            <w:r w:rsidR="009B2238" w:rsidRPr="00A964C7">
              <w:rPr>
                <w:rFonts w:ascii="Century Gothic" w:hAnsi="Century Gothic"/>
                <w:sz w:val="16"/>
                <w:szCs w:val="16"/>
              </w:rPr>
              <w:t xml:space="preserve"> Scope-3-Treibhausgasemissionen aus verbundenen und gemeinsamen Unternehmen sowie nicht konsolidierten Tochterunternehmen, bei denen das Unternehmen in der Lage ist, die operativen Tätigkeiten und Beziehungen zu kontrollieren (operative Kontrolle),</w:t>
            </w:r>
            <w:r w:rsidR="00C80ECB" w:rsidRPr="00A964C7">
              <w:rPr>
                <w:rFonts w:ascii="Century Gothic" w:hAnsi="Century Gothic"/>
                <w:sz w:val="16"/>
                <w:szCs w:val="16"/>
              </w:rPr>
              <w:t xml:space="preserve">Treibhausgasemissionen der Kategorien </w:t>
            </w:r>
            <w:proofErr w:type="spellStart"/>
            <w:r w:rsidR="00C80ECB" w:rsidRPr="00A964C7">
              <w:rPr>
                <w:rFonts w:ascii="Century Gothic" w:hAnsi="Century Gothic"/>
                <w:sz w:val="16"/>
                <w:szCs w:val="16"/>
              </w:rPr>
              <w:t>Scope</w:t>
            </w:r>
            <w:proofErr w:type="spellEnd"/>
            <w:r w:rsidR="00C80ECB" w:rsidRPr="00A964C7">
              <w:rPr>
                <w:rFonts w:ascii="Century Gothic" w:hAnsi="Century Gothic"/>
                <w:sz w:val="16"/>
                <w:szCs w:val="16"/>
              </w:rPr>
              <w:t xml:space="preserve"> 1, 2 und 3 aus verbundenen und gemeinsamen Unternehmen, nicht konsolidierten Tochterunternehmen (Investmentunternehmen) sowie gemeinsamen Vereinbarungen, über die das Unternehmen keine </w:t>
            </w:r>
            <w:r w:rsidR="00C80ECB" w:rsidRPr="00A964C7">
              <w:rPr>
                <w:rFonts w:ascii="Century Gothic" w:hAnsi="Century Gothic"/>
                <w:b/>
                <w:bCs/>
                <w:sz w:val="16"/>
                <w:szCs w:val="16"/>
              </w:rPr>
              <w:t xml:space="preserve">operative Kontrolle </w:t>
            </w:r>
            <w:r w:rsidR="00C80ECB" w:rsidRPr="00A964C7">
              <w:rPr>
                <w:rFonts w:ascii="Century Gothic" w:hAnsi="Century Gothic"/>
                <w:sz w:val="16"/>
                <w:szCs w:val="16"/>
              </w:rPr>
              <w:t>ausübt, sofern diese Unternehmen Teil der vor- und nachgelagerten Wertschöpfungskette des Bericht erstattenden Unternehmens sind,</w:t>
            </w:r>
          </w:p>
          <w:p w:rsidR="000B69FB" w:rsidRPr="000B69FB" w:rsidRDefault="000B69FB" w:rsidP="00A964C7">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B69FB">
              <w:rPr>
                <w:rFonts w:ascii="Century Gothic" w:hAnsi="Century Gothic"/>
                <w:sz w:val="16"/>
                <w:szCs w:val="16"/>
              </w:rPr>
              <w:t>es gibt eine Liste der Kategorien von Scope-3-Treibhausgasemissionen an, die in das Inventar aufgenommen und daraus ausgeschlossen werden, mit einer Begründung für die ausgeschlossenen Scope-3-Kategorien,</w:t>
            </w:r>
          </w:p>
          <w:p w:rsidR="000B69FB" w:rsidRPr="000B69FB" w:rsidRDefault="000B69FB" w:rsidP="00A964C7">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B69FB">
              <w:rPr>
                <w:rFonts w:ascii="Century Gothic" w:hAnsi="Century Gothic"/>
                <w:sz w:val="16"/>
                <w:szCs w:val="16"/>
              </w:rPr>
              <w:t xml:space="preserve">es gibt biogene CO2-Emissionen aus der Verbrennung oder dem biologischen Abbau von Biomasse, die in seiner vor- und nachgelagerten </w:t>
            </w:r>
            <w:r w:rsidRPr="000B69FB">
              <w:rPr>
                <w:rFonts w:ascii="Century Gothic" w:hAnsi="Century Gothic"/>
                <w:b/>
                <w:bCs/>
                <w:sz w:val="16"/>
                <w:szCs w:val="16"/>
              </w:rPr>
              <w:t xml:space="preserve">Wertschöpfungskette </w:t>
            </w:r>
            <w:r w:rsidRPr="000B69FB">
              <w:rPr>
                <w:rFonts w:ascii="Century Gothic" w:hAnsi="Century Gothic"/>
                <w:sz w:val="16"/>
                <w:szCs w:val="16"/>
              </w:rPr>
              <w:t>entstehen, getrennt von den Scope-3-THG- Bruttoemissionen an und nimmt Emissionen anderer Arten von Treibhausgasen (z. B. CH</w:t>
            </w:r>
            <w:r w:rsidRPr="00203D1B">
              <w:rPr>
                <w:rFonts w:ascii="Century Gothic" w:hAnsi="Century Gothic"/>
                <w:sz w:val="16"/>
                <w:szCs w:val="16"/>
                <w:vertAlign w:val="subscript"/>
              </w:rPr>
              <w:t>4</w:t>
            </w:r>
            <w:r w:rsidRPr="000B69FB">
              <w:rPr>
                <w:rFonts w:ascii="Century Gothic" w:hAnsi="Century Gothic"/>
                <w:sz w:val="16"/>
                <w:szCs w:val="16"/>
              </w:rPr>
              <w:t xml:space="preserve"> und N</w:t>
            </w:r>
            <w:r w:rsidRPr="00203D1B">
              <w:rPr>
                <w:rFonts w:ascii="Century Gothic" w:hAnsi="Century Gothic"/>
                <w:sz w:val="16"/>
                <w:szCs w:val="16"/>
                <w:vertAlign w:val="subscript"/>
              </w:rPr>
              <w:t>2</w:t>
            </w:r>
            <w:r w:rsidRPr="000B69FB">
              <w:rPr>
                <w:rFonts w:ascii="Century Gothic" w:hAnsi="Century Gothic"/>
                <w:sz w:val="16"/>
                <w:szCs w:val="16"/>
              </w:rPr>
              <w:t>O) sowie CO</w:t>
            </w:r>
            <w:r w:rsidRPr="00203D1B">
              <w:rPr>
                <w:rFonts w:ascii="Century Gothic" w:hAnsi="Century Gothic"/>
                <w:sz w:val="16"/>
                <w:szCs w:val="16"/>
                <w:vertAlign w:val="subscript"/>
              </w:rPr>
              <w:t>2</w:t>
            </w:r>
            <w:r w:rsidRPr="000B69FB">
              <w:rPr>
                <w:rFonts w:ascii="Century Gothic" w:hAnsi="Century Gothic"/>
                <w:sz w:val="16"/>
                <w:szCs w:val="16"/>
              </w:rPr>
              <w:t>-Emissionen, die innerhalb des Lebenszyklus von Biomasse entstehen, außer aus der Verbrennung oder dem biologischen Abbau, (beispielsweise Treibhausgasemissionen aus der Verarbeitung oder dem Transport von Biomasse) in die Berechnung der Scope-3-Treibhausgasemissionen auf,</w:t>
            </w:r>
          </w:p>
          <w:p w:rsidR="00C80ECB" w:rsidRPr="000B69FB" w:rsidRDefault="000B69FB" w:rsidP="00A964C7">
            <w:pPr>
              <w:pStyle w:val="Default"/>
              <w:numPr>
                <w:ilvl w:val="0"/>
                <w:numId w:val="2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B69FB">
              <w:rPr>
                <w:rFonts w:ascii="Century Gothic" w:hAnsi="Century Gothic"/>
                <w:sz w:val="16"/>
                <w:szCs w:val="16"/>
              </w:rPr>
              <w:t xml:space="preserve">es schließt jeglichen Abbau oder alle erworbenen, verkauften oder übertragenen </w:t>
            </w:r>
            <w:r w:rsidRPr="000B69FB">
              <w:rPr>
                <w:rFonts w:ascii="Century Gothic" w:hAnsi="Century Gothic"/>
                <w:b/>
                <w:bCs/>
                <w:sz w:val="16"/>
                <w:szCs w:val="16"/>
              </w:rPr>
              <w:t>CO</w:t>
            </w:r>
            <w:r w:rsidRPr="00203D1B">
              <w:rPr>
                <w:rFonts w:ascii="Century Gothic" w:hAnsi="Century Gothic"/>
                <w:b/>
                <w:bCs/>
                <w:sz w:val="16"/>
                <w:szCs w:val="16"/>
                <w:vertAlign w:val="subscript"/>
              </w:rPr>
              <w:t>2</w:t>
            </w:r>
            <w:r w:rsidRPr="000B69FB">
              <w:rPr>
                <w:rFonts w:ascii="Century Gothic" w:hAnsi="Century Gothic"/>
                <w:b/>
                <w:bCs/>
                <w:sz w:val="16"/>
                <w:szCs w:val="16"/>
              </w:rPr>
              <w:t xml:space="preserve">-Gutschriften </w:t>
            </w:r>
            <w:r w:rsidRPr="000B69FB">
              <w:rPr>
                <w:rFonts w:ascii="Century Gothic" w:hAnsi="Century Gothic"/>
                <w:sz w:val="16"/>
                <w:szCs w:val="16"/>
              </w:rPr>
              <w:t>oder Treibhausgaszertifikate aus der Berechnung der Scope-3-Treibhausgasemissionen aus.</w:t>
            </w:r>
          </w:p>
        </w:tc>
        <w:tc>
          <w:tcPr>
            <w:tcW w:w="1848" w:type="dxa"/>
            <w:shd w:val="clear" w:color="auto" w:fill="auto"/>
          </w:tcPr>
          <w:p w:rsidR="00C80ECB" w:rsidRPr="000E0C5F" w:rsidRDefault="00C80ECB" w:rsidP="00A964C7">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5E6E41"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cnfStyle w:val="001000000000" w:firstRow="0" w:lastRow="0" w:firstColumn="1" w:lastColumn="0" w:oddVBand="0" w:evenVBand="0" w:oddHBand="0" w:evenHBand="0" w:firstRowFirstColumn="0" w:firstRowLastColumn="0" w:lastRowFirstColumn="0" w:lastRowLastColumn="0"/>
            <w:tcW w:w="989" w:type="dxa"/>
            <w:shd w:val="clear" w:color="auto" w:fill="D9D9D9" w:themeFill="background1" w:themeFillShade="D9"/>
          </w:tcPr>
          <w:p w:rsidR="005E6E41" w:rsidRPr="0015165A" w:rsidRDefault="005E6E41" w:rsidP="00A964C7">
            <w:pPr>
              <w:spacing w:before="0"/>
              <w:contextualSpacing/>
              <w:jc w:val="center"/>
              <w:rPr>
                <w:sz w:val="16"/>
                <w:szCs w:val="16"/>
              </w:rPr>
            </w:pPr>
            <w:r w:rsidRPr="0015165A">
              <w:rPr>
                <w:sz w:val="16"/>
                <w:szCs w:val="16"/>
              </w:rPr>
              <w:t xml:space="preserve">AR </w:t>
            </w:r>
            <w:r>
              <w:rPr>
                <w:sz w:val="16"/>
                <w:szCs w:val="16"/>
              </w:rPr>
              <w:t>47</w:t>
            </w:r>
          </w:p>
        </w:tc>
        <w:tc>
          <w:tcPr>
            <w:tcW w:w="6240" w:type="dxa"/>
            <w:shd w:val="clear" w:color="auto" w:fill="auto"/>
          </w:tcPr>
          <w:p w:rsidR="005E6E41" w:rsidRPr="005E6E41" w:rsidRDefault="005E6E41" w:rsidP="00A964C7">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E6E41">
              <w:rPr>
                <w:rFonts w:ascii="Century Gothic" w:hAnsi="Century Gothic"/>
                <w:sz w:val="16"/>
                <w:szCs w:val="16"/>
              </w:rPr>
              <w:t>Bei der Erstellung der nach Absatz 52 erforderlichen Informationen über die THG-Gesamtemissionen geht das Unternehmen wie folgt vor:</w:t>
            </w:r>
          </w:p>
          <w:p w:rsidR="005E6E41" w:rsidRDefault="005E6E41" w:rsidP="00952834">
            <w:pPr>
              <w:pStyle w:val="Default"/>
              <w:numPr>
                <w:ilvl w:val="0"/>
                <w:numId w:val="2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E6E41">
              <w:rPr>
                <w:rFonts w:ascii="Century Gothic" w:hAnsi="Century Gothic"/>
                <w:sz w:val="16"/>
                <w:szCs w:val="16"/>
              </w:rPr>
              <w:t>Es verwendet die folgenden Formeln, um die THG-Gesamtemissionen zu berechnen:</w:t>
            </w:r>
          </w:p>
          <w:p w:rsidR="005E6E41" w:rsidRDefault="005E6E41" w:rsidP="00952834">
            <w:pPr>
              <w:pStyle w:val="Default"/>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noProof/>
              </w:rPr>
              <w:drawing>
                <wp:inline distT="0" distB="0" distL="0" distR="0">
                  <wp:extent cx="3381375" cy="31178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513" cy="326643"/>
                          </a:xfrm>
                          <a:prstGeom prst="rect">
                            <a:avLst/>
                          </a:prstGeom>
                          <a:noFill/>
                          <a:ln>
                            <a:noFill/>
                          </a:ln>
                        </pic:spPr>
                      </pic:pic>
                    </a:graphicData>
                  </a:graphic>
                </wp:inline>
              </w:drawing>
            </w:r>
          </w:p>
          <w:p w:rsidR="00681373" w:rsidRDefault="00015F5F" w:rsidP="00952834">
            <w:pPr>
              <w:pStyle w:val="Default"/>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noProof/>
              </w:rPr>
              <w:drawing>
                <wp:inline distT="0" distB="0" distL="0" distR="0">
                  <wp:extent cx="3381375" cy="2144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8556" cy="240273"/>
                          </a:xfrm>
                          <a:prstGeom prst="rect">
                            <a:avLst/>
                          </a:prstGeom>
                          <a:noFill/>
                          <a:ln>
                            <a:noFill/>
                          </a:ln>
                        </pic:spPr>
                      </pic:pic>
                    </a:graphicData>
                  </a:graphic>
                </wp:inline>
              </w:drawing>
            </w:r>
          </w:p>
          <w:p w:rsidR="00015F5F" w:rsidRPr="00015F5F" w:rsidRDefault="00015F5F" w:rsidP="00952834">
            <w:pPr>
              <w:pStyle w:val="Default"/>
              <w:numPr>
                <w:ilvl w:val="0"/>
                <w:numId w:val="24"/>
              </w:numPr>
              <w:ind w:left="466" w:hanging="3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15F5F">
              <w:rPr>
                <w:rFonts w:ascii="Century Gothic" w:hAnsi="Century Gothic"/>
                <w:sz w:val="16"/>
                <w:szCs w:val="16"/>
              </w:rPr>
              <w:t>es gibt die THG-Gesamtemissionen an, wobei bei der Messung der zugrunde liegenden Scope-2-Treibhausgasemissionen zwischen aus den standortbezogenen Methoden und aus den marktbezogenen Methoden abgeleiteten Emissionen unterschieden wird.</w:t>
            </w:r>
          </w:p>
        </w:tc>
        <w:tc>
          <w:tcPr>
            <w:tcW w:w="1848" w:type="dxa"/>
            <w:shd w:val="clear" w:color="auto" w:fill="auto"/>
          </w:tcPr>
          <w:p w:rsidR="005E6E41" w:rsidRPr="000E0C5F" w:rsidRDefault="005E6E41" w:rsidP="00A964C7">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E701A7" w:rsidRDefault="00E701A7">
      <w:pPr>
        <w:rPr>
          <w:b/>
          <w:bCs/>
        </w:rPr>
      </w:pPr>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6237"/>
        <w:gridCol w:w="1802"/>
        <w:gridCol w:w="45"/>
      </w:tblGrid>
      <w:tr w:rsidR="00A964C7" w:rsidRPr="00A964C7" w:rsidTr="00A964C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B15E5" w:rsidRPr="00A964C7" w:rsidRDefault="008B15E5" w:rsidP="005F328B">
            <w:pPr>
              <w:spacing w:before="0"/>
              <w:rPr>
                <w:color w:val="000000" w:themeColor="text1"/>
              </w:rPr>
            </w:pPr>
            <w:r w:rsidRPr="00A964C7">
              <w:rPr>
                <w:color w:val="000000" w:themeColor="text1"/>
              </w:rPr>
              <w:lastRenderedPageBreak/>
              <w:t xml:space="preserve">Teil 2: </w:t>
            </w:r>
            <w:proofErr w:type="spellStart"/>
            <w:r w:rsidRPr="00A964C7">
              <w:rPr>
                <w:color w:val="000000" w:themeColor="text1"/>
              </w:rPr>
              <w:t>Application</w:t>
            </w:r>
            <w:proofErr w:type="spellEnd"/>
            <w:r w:rsidRPr="00A964C7">
              <w:rPr>
                <w:color w:val="000000" w:themeColor="text1"/>
              </w:rPr>
              <w:t xml:space="preserve"> </w:t>
            </w:r>
            <w:proofErr w:type="spellStart"/>
            <w:r w:rsidRPr="00A964C7">
              <w:rPr>
                <w:color w:val="000000" w:themeColor="text1"/>
              </w:rPr>
              <w:t>Requirements</w:t>
            </w:r>
            <w:proofErr w:type="spellEnd"/>
            <w:r w:rsidR="00D30C35" w:rsidRPr="00A964C7">
              <w:rPr>
                <w:color w:val="000000" w:themeColor="text1"/>
              </w:rPr>
              <w:t>;</w:t>
            </w:r>
            <w:r w:rsidRPr="00A964C7">
              <w:rPr>
                <w:color w:val="000000" w:themeColor="text1"/>
              </w:rPr>
              <w:t xml:space="preserve"> Forts.</w:t>
            </w:r>
          </w:p>
        </w:tc>
      </w:tr>
      <w:tr w:rsidR="008B15E5" w:rsidRPr="00147B73" w:rsidTr="00A964C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auto"/>
            <w:vAlign w:val="center"/>
          </w:tcPr>
          <w:p w:rsidR="008B15E5" w:rsidRPr="00147B73" w:rsidRDefault="008B15E5" w:rsidP="005F328B">
            <w:pPr>
              <w:spacing w:before="0"/>
              <w:rPr>
                <w:sz w:val="2"/>
                <w:szCs w:val="2"/>
              </w:rPr>
            </w:pPr>
          </w:p>
        </w:tc>
      </w:tr>
      <w:tr w:rsidR="008B15E5" w:rsidRPr="008B15E5" w:rsidTr="008B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 w:type="dxa"/>
          <w:trHeight w:val="782"/>
        </w:trPr>
        <w:tc>
          <w:tcPr>
            <w:cnfStyle w:val="001000000000" w:firstRow="0" w:lastRow="0" w:firstColumn="1" w:lastColumn="0" w:oddVBand="0" w:evenVBand="0" w:oddHBand="0" w:evenHBand="0" w:firstRowFirstColumn="0" w:firstRowLastColumn="0" w:lastRowFirstColumn="0" w:lastRowLastColumn="0"/>
            <w:tcW w:w="988" w:type="dxa"/>
            <w:shd w:val="clear" w:color="auto" w:fill="228B22"/>
          </w:tcPr>
          <w:p w:rsidR="0053480B" w:rsidRPr="008B15E5" w:rsidRDefault="0053480B" w:rsidP="00CA12F6">
            <w:pPr>
              <w:spacing w:before="60" w:after="60"/>
              <w:jc w:val="center"/>
              <w:rPr>
                <w:color w:val="FFFFFF" w:themeColor="background1"/>
                <w:sz w:val="20"/>
                <w:szCs w:val="20"/>
              </w:rPr>
            </w:pPr>
            <w:r w:rsidRPr="008B15E5">
              <w:rPr>
                <w:color w:val="FFFFFF" w:themeColor="background1"/>
                <w:sz w:val="20"/>
                <w:szCs w:val="20"/>
              </w:rPr>
              <w:t>Quelle ESRS E1</w:t>
            </w:r>
          </w:p>
        </w:tc>
        <w:tc>
          <w:tcPr>
            <w:tcW w:w="6237" w:type="dxa"/>
            <w:shd w:val="clear" w:color="auto" w:fill="228B22"/>
          </w:tcPr>
          <w:p w:rsidR="0053480B" w:rsidRPr="008B15E5" w:rsidRDefault="0053480B" w:rsidP="00CA12F6">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8B15E5">
              <w:rPr>
                <w:b/>
                <w:color w:val="FFFFFF" w:themeColor="background1"/>
                <w:sz w:val="20"/>
                <w:szCs w:val="20"/>
              </w:rPr>
              <w:t>Parameter und Ziele</w:t>
            </w:r>
          </w:p>
        </w:tc>
        <w:tc>
          <w:tcPr>
            <w:tcW w:w="1802" w:type="dxa"/>
            <w:shd w:val="clear" w:color="auto" w:fill="228B22"/>
          </w:tcPr>
          <w:p w:rsidR="0053480B" w:rsidRPr="008B15E5" w:rsidRDefault="0053480B" w:rsidP="00CA12F6">
            <w:pPr>
              <w:spacing w:before="60" w:after="60"/>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8B15E5">
              <w:rPr>
                <w:b/>
                <w:color w:val="FFFFFF" w:themeColor="background1"/>
                <w:sz w:val="16"/>
                <w:szCs w:val="16"/>
              </w:rPr>
              <w:t>Bemerkungen, ggf. Verweis auf Datenpunkte</w:t>
            </w:r>
          </w:p>
        </w:tc>
      </w:tr>
      <w:tr w:rsidR="00895699" w:rsidRPr="000E0C5F" w:rsidTr="008B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45" w:type="dxa"/>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895699" w:rsidRPr="00E701A7" w:rsidRDefault="00E701A7" w:rsidP="00BA0AA1">
            <w:pPr>
              <w:spacing w:beforeLines="60" w:before="144" w:afterLines="60" w:after="144"/>
              <w:jc w:val="center"/>
              <w:rPr>
                <w:sz w:val="16"/>
                <w:szCs w:val="16"/>
              </w:rPr>
            </w:pPr>
            <w:r w:rsidRPr="00E701A7">
              <w:rPr>
                <w:sz w:val="16"/>
                <w:szCs w:val="16"/>
              </w:rPr>
              <w:t>AR 48</w:t>
            </w:r>
          </w:p>
        </w:tc>
        <w:tc>
          <w:tcPr>
            <w:tcW w:w="6237" w:type="dxa"/>
            <w:shd w:val="clear" w:color="auto" w:fill="auto"/>
          </w:tcPr>
          <w:p w:rsidR="00895699" w:rsidRPr="00E701A7" w:rsidRDefault="00E701A7" w:rsidP="0053480B">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E701A7">
              <w:rPr>
                <w:rFonts w:ascii="Century Gothic" w:hAnsi="Century Gothic"/>
                <w:sz w:val="16"/>
                <w:szCs w:val="16"/>
              </w:rPr>
              <w:t>Das Unternehmen gibt seine THG-Gesamtemissionen, aufgeschlüsselt nach Scope-1-, Scope-2- und signifikanten Scope-3-Emissionen, im Einklang mit der nachstehenden Tabelle an.</w:t>
            </w:r>
          </w:p>
          <w:p w:rsidR="00E701A7" w:rsidRDefault="00E701A7" w:rsidP="0053480B">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16"/>
                <w:szCs w:val="16"/>
              </w:rPr>
            </w:pPr>
            <w:r>
              <w:rPr>
                <w:noProof/>
              </w:rPr>
              <w:drawing>
                <wp:inline distT="0" distB="0" distL="0" distR="0">
                  <wp:extent cx="3495675" cy="119057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4926" cy="1227785"/>
                          </a:xfrm>
                          <a:prstGeom prst="rect">
                            <a:avLst/>
                          </a:prstGeom>
                          <a:noFill/>
                          <a:ln>
                            <a:noFill/>
                          </a:ln>
                        </pic:spPr>
                      </pic:pic>
                    </a:graphicData>
                  </a:graphic>
                </wp:inline>
              </w:drawing>
            </w:r>
          </w:p>
          <w:p w:rsidR="00E701A7" w:rsidRPr="009B2238" w:rsidRDefault="00E701A7" w:rsidP="0053480B">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16"/>
                <w:szCs w:val="16"/>
              </w:rPr>
            </w:pPr>
            <w:r>
              <w:rPr>
                <w:noProof/>
              </w:rPr>
              <w:drawing>
                <wp:inline distT="0" distB="0" distL="0" distR="0">
                  <wp:extent cx="3552825" cy="5009173"/>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7687" cy="5044226"/>
                          </a:xfrm>
                          <a:prstGeom prst="rect">
                            <a:avLst/>
                          </a:prstGeom>
                          <a:noFill/>
                          <a:ln>
                            <a:noFill/>
                          </a:ln>
                        </pic:spPr>
                      </pic:pic>
                    </a:graphicData>
                  </a:graphic>
                </wp:inline>
              </w:drawing>
            </w:r>
          </w:p>
        </w:tc>
        <w:tc>
          <w:tcPr>
            <w:tcW w:w="1802" w:type="dxa"/>
            <w:shd w:val="clear" w:color="auto" w:fill="auto"/>
          </w:tcPr>
          <w:p w:rsidR="00895699" w:rsidRPr="000E0C5F" w:rsidRDefault="00895699" w:rsidP="00BA0AA1">
            <w:pPr>
              <w:spacing w:beforeLines="60" w:before="144" w:afterLines="60" w:after="144"/>
              <w:cnfStyle w:val="000000100000" w:firstRow="0" w:lastRow="0" w:firstColumn="0" w:lastColumn="0" w:oddVBand="0" w:evenVBand="0" w:oddHBand="1" w:evenHBand="0" w:firstRowFirstColumn="0" w:firstRowLastColumn="0" w:lastRowFirstColumn="0" w:lastRowLastColumn="0"/>
              <w:rPr>
                <w:sz w:val="20"/>
              </w:rPr>
            </w:pPr>
          </w:p>
        </w:tc>
      </w:tr>
    </w:tbl>
    <w:p w:rsidR="0053480B" w:rsidRDefault="0053480B" w:rsidP="0053480B">
      <w:pPr>
        <w:pStyle w:val="Standardeinzug"/>
      </w:pPr>
      <w:r>
        <w:br w:type="page"/>
      </w:r>
    </w:p>
    <w:tbl>
      <w:tblPr>
        <w:tblStyle w:val="Gitternetztabelle4Akzent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6237"/>
        <w:gridCol w:w="1847"/>
      </w:tblGrid>
      <w:tr w:rsidR="0038768E" w:rsidRPr="00A964C7" w:rsidTr="0038768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38768E" w:rsidRPr="00A964C7" w:rsidRDefault="0038768E" w:rsidP="00A91B7F">
            <w:pPr>
              <w:spacing w:before="0"/>
              <w:rPr>
                <w:color w:val="000000" w:themeColor="text1"/>
              </w:rPr>
            </w:pPr>
            <w:r w:rsidRPr="00A964C7">
              <w:rPr>
                <w:color w:val="000000" w:themeColor="text1"/>
              </w:rPr>
              <w:lastRenderedPageBreak/>
              <w:t xml:space="preserve">Teil 2: </w:t>
            </w:r>
            <w:proofErr w:type="spellStart"/>
            <w:r w:rsidRPr="00A964C7">
              <w:rPr>
                <w:color w:val="000000" w:themeColor="text1"/>
              </w:rPr>
              <w:t>Application</w:t>
            </w:r>
            <w:proofErr w:type="spellEnd"/>
            <w:r w:rsidRPr="00A964C7">
              <w:rPr>
                <w:color w:val="000000" w:themeColor="text1"/>
              </w:rPr>
              <w:t xml:space="preserve"> </w:t>
            </w:r>
            <w:proofErr w:type="spellStart"/>
            <w:r w:rsidRPr="00A964C7">
              <w:rPr>
                <w:color w:val="000000" w:themeColor="text1"/>
              </w:rPr>
              <w:t>Requirements</w:t>
            </w:r>
            <w:proofErr w:type="spellEnd"/>
            <w:r w:rsidRPr="00A964C7">
              <w:rPr>
                <w:color w:val="000000" w:themeColor="text1"/>
              </w:rPr>
              <w:t>; Forts.</w:t>
            </w:r>
          </w:p>
        </w:tc>
      </w:tr>
      <w:tr w:rsidR="0038768E" w:rsidRPr="00147B73" w:rsidTr="0038768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38768E" w:rsidRPr="00147B73" w:rsidRDefault="0038768E" w:rsidP="00A91B7F">
            <w:pPr>
              <w:spacing w:before="0"/>
              <w:rPr>
                <w:sz w:val="2"/>
                <w:szCs w:val="2"/>
              </w:rPr>
            </w:pPr>
          </w:p>
        </w:tc>
      </w:tr>
      <w:tr w:rsidR="000D6D5D" w:rsidRPr="000D6D5D"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CellMar>
            <w:top w:w="85" w:type="dxa"/>
            <w:bottom w:w="85" w:type="dxa"/>
          </w:tblCellMar>
        </w:tblPrEx>
        <w:trPr>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228B22"/>
            <w:vAlign w:val="center"/>
          </w:tcPr>
          <w:p w:rsidR="0053480B" w:rsidRPr="000D6D5D" w:rsidRDefault="0053480B" w:rsidP="0021774A">
            <w:pPr>
              <w:spacing w:before="0"/>
              <w:contextualSpacing/>
              <w:jc w:val="center"/>
              <w:rPr>
                <w:color w:val="FFFFFF" w:themeColor="background1"/>
                <w:sz w:val="20"/>
                <w:szCs w:val="20"/>
              </w:rPr>
            </w:pPr>
            <w:r w:rsidRPr="000D6D5D">
              <w:rPr>
                <w:color w:val="FFFFFF" w:themeColor="background1"/>
                <w:sz w:val="20"/>
                <w:szCs w:val="20"/>
              </w:rPr>
              <w:t>Quelle ESRS E1</w:t>
            </w:r>
          </w:p>
        </w:tc>
        <w:tc>
          <w:tcPr>
            <w:tcW w:w="6237" w:type="dxa"/>
            <w:tcBorders>
              <w:top w:val="single" w:sz="4" w:space="0" w:color="auto"/>
            </w:tcBorders>
            <w:shd w:val="clear" w:color="auto" w:fill="228B22"/>
            <w:vAlign w:val="center"/>
          </w:tcPr>
          <w:p w:rsidR="0053480B" w:rsidRPr="000D6D5D" w:rsidRDefault="0053480B" w:rsidP="0021774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0D6D5D">
              <w:rPr>
                <w:b/>
                <w:color w:val="FFFFFF" w:themeColor="background1"/>
                <w:sz w:val="20"/>
                <w:szCs w:val="20"/>
              </w:rPr>
              <w:t>Parameter und Ziele</w:t>
            </w:r>
          </w:p>
        </w:tc>
        <w:tc>
          <w:tcPr>
            <w:tcW w:w="1847" w:type="dxa"/>
            <w:tcBorders>
              <w:top w:val="single" w:sz="4" w:space="0" w:color="auto"/>
            </w:tcBorders>
            <w:shd w:val="clear" w:color="auto" w:fill="228B22"/>
            <w:vAlign w:val="center"/>
          </w:tcPr>
          <w:p w:rsidR="0053480B" w:rsidRPr="000D6D5D" w:rsidRDefault="0053480B" w:rsidP="0021774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0D6D5D">
              <w:rPr>
                <w:b/>
                <w:color w:val="FFFFFF" w:themeColor="background1"/>
                <w:sz w:val="16"/>
                <w:szCs w:val="16"/>
              </w:rPr>
              <w:t>Bemerkungen, ggf. Verweis auf Datenpunkte</w:t>
            </w:r>
          </w:p>
        </w:tc>
      </w:tr>
      <w:tr w:rsidR="009B2238"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9B2238" w:rsidRPr="0015165A" w:rsidRDefault="009B2238" w:rsidP="0021774A">
            <w:pPr>
              <w:spacing w:before="0"/>
              <w:contextualSpacing/>
              <w:jc w:val="center"/>
              <w:rPr>
                <w:sz w:val="16"/>
                <w:szCs w:val="16"/>
              </w:rPr>
            </w:pPr>
            <w:r>
              <w:rPr>
                <w:sz w:val="16"/>
                <w:szCs w:val="16"/>
              </w:rPr>
              <w:t>A 48</w:t>
            </w:r>
          </w:p>
        </w:tc>
        <w:tc>
          <w:tcPr>
            <w:tcW w:w="6237" w:type="dxa"/>
            <w:shd w:val="clear" w:color="auto" w:fill="auto"/>
          </w:tcPr>
          <w:p w:rsidR="009B2238" w:rsidRDefault="009B2238" w:rsidP="0021774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p w:rsidR="009B2238" w:rsidRDefault="009B2238" w:rsidP="0021774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noProof/>
              </w:rPr>
              <w:drawing>
                <wp:inline distT="0" distB="0" distL="0" distR="0" wp14:anchorId="2809A8B3" wp14:editId="159999BF">
                  <wp:extent cx="3181350" cy="5920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879" cy="603274"/>
                          </a:xfrm>
                          <a:prstGeom prst="rect">
                            <a:avLst/>
                          </a:prstGeom>
                          <a:noFill/>
                          <a:ln>
                            <a:noFill/>
                          </a:ln>
                        </pic:spPr>
                      </pic:pic>
                    </a:graphicData>
                  </a:graphic>
                </wp:inline>
              </w:drawing>
            </w:r>
          </w:p>
          <w:p w:rsidR="009B2238" w:rsidRPr="00830085" w:rsidRDefault="009B2238" w:rsidP="0021774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1847" w:type="dxa"/>
            <w:shd w:val="clear" w:color="auto" w:fill="auto"/>
          </w:tcPr>
          <w:p w:rsidR="009B2238" w:rsidRPr="000E0C5F" w:rsidRDefault="009B2238" w:rsidP="0021774A">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830085"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830085" w:rsidRPr="0015165A" w:rsidRDefault="00830085" w:rsidP="0021774A">
            <w:pPr>
              <w:spacing w:before="0"/>
              <w:contextualSpacing/>
              <w:jc w:val="center"/>
              <w:rPr>
                <w:sz w:val="16"/>
                <w:szCs w:val="16"/>
              </w:rPr>
            </w:pPr>
            <w:r w:rsidRPr="0015165A">
              <w:rPr>
                <w:sz w:val="16"/>
                <w:szCs w:val="16"/>
              </w:rPr>
              <w:t xml:space="preserve">AR </w:t>
            </w:r>
            <w:r>
              <w:rPr>
                <w:sz w:val="16"/>
                <w:szCs w:val="16"/>
              </w:rPr>
              <w:t>49</w:t>
            </w:r>
          </w:p>
        </w:tc>
        <w:tc>
          <w:tcPr>
            <w:tcW w:w="6237" w:type="dxa"/>
            <w:shd w:val="clear" w:color="auto" w:fill="auto"/>
          </w:tcPr>
          <w:p w:rsidR="00830085" w:rsidRPr="00830085" w:rsidRDefault="00830085" w:rsidP="0021774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30085">
              <w:rPr>
                <w:rFonts w:ascii="Century Gothic" w:hAnsi="Century Gothic"/>
                <w:sz w:val="16"/>
                <w:szCs w:val="16"/>
              </w:rPr>
              <w:t xml:space="preserve">Um potenzielle </w:t>
            </w:r>
            <w:r w:rsidRPr="00830085">
              <w:rPr>
                <w:rFonts w:ascii="Century Gothic" w:hAnsi="Century Gothic"/>
                <w:b/>
                <w:bCs/>
                <w:sz w:val="16"/>
                <w:szCs w:val="16"/>
              </w:rPr>
              <w:t xml:space="preserve">Übergangsrisiken </w:t>
            </w:r>
            <w:r w:rsidRPr="00830085">
              <w:rPr>
                <w:rFonts w:ascii="Century Gothic" w:hAnsi="Century Gothic"/>
                <w:sz w:val="16"/>
                <w:szCs w:val="16"/>
              </w:rPr>
              <w:t xml:space="preserve">aufzuzeigen, kann das Unternehmen seine nach den wichtigen Ländern und gegebenenfalls nach Geschäftssegmenten aufgeschlüsselten THG-Gesamtemissionen angeben (unter Anwendung der gleichen Segmente wie für den Abschluss gemäß den Rechnungslegungsstandards, d. h. nach dem IFRS 8 </w:t>
            </w:r>
            <w:r w:rsidRPr="00830085">
              <w:rPr>
                <w:rFonts w:ascii="Century Gothic" w:hAnsi="Century Gothic"/>
                <w:i/>
                <w:iCs/>
                <w:sz w:val="16"/>
                <w:szCs w:val="16"/>
              </w:rPr>
              <w:t xml:space="preserve">Geschäftssegmente </w:t>
            </w:r>
            <w:r w:rsidRPr="00830085">
              <w:rPr>
                <w:rFonts w:ascii="Century Gothic" w:hAnsi="Century Gothic"/>
                <w:sz w:val="16"/>
                <w:szCs w:val="16"/>
              </w:rPr>
              <w:t>oder lokalen Rechnungslegungsanforderungen). Scope-3-Treibhausgasemissionen können von diesen Aufschlüsselungen nach Ländern ausgenommen werden, wenn die entsprechenden Daten nicht ohne Weiteres verfügbar sind.</w:t>
            </w:r>
          </w:p>
        </w:tc>
        <w:tc>
          <w:tcPr>
            <w:tcW w:w="1847" w:type="dxa"/>
            <w:shd w:val="clear" w:color="auto" w:fill="auto"/>
          </w:tcPr>
          <w:p w:rsidR="00830085" w:rsidRPr="000E0C5F" w:rsidRDefault="00830085" w:rsidP="0021774A">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830085"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830085" w:rsidRPr="0015165A" w:rsidRDefault="00830085" w:rsidP="0021774A">
            <w:pPr>
              <w:spacing w:before="0"/>
              <w:contextualSpacing/>
              <w:jc w:val="center"/>
              <w:rPr>
                <w:sz w:val="16"/>
                <w:szCs w:val="16"/>
              </w:rPr>
            </w:pPr>
            <w:r w:rsidRPr="0015165A">
              <w:rPr>
                <w:sz w:val="16"/>
                <w:szCs w:val="16"/>
              </w:rPr>
              <w:t xml:space="preserve">AR </w:t>
            </w:r>
            <w:r>
              <w:rPr>
                <w:sz w:val="16"/>
                <w:szCs w:val="16"/>
              </w:rPr>
              <w:t>50</w:t>
            </w:r>
          </w:p>
        </w:tc>
        <w:tc>
          <w:tcPr>
            <w:tcW w:w="6237" w:type="dxa"/>
            <w:shd w:val="clear" w:color="auto" w:fill="auto"/>
          </w:tcPr>
          <w:p w:rsidR="00830085" w:rsidRPr="00830085" w:rsidRDefault="00830085" w:rsidP="0021774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30085">
              <w:rPr>
                <w:rFonts w:ascii="Century Gothic" w:hAnsi="Century Gothic"/>
                <w:sz w:val="16"/>
                <w:szCs w:val="16"/>
              </w:rPr>
              <w:t>Die Scope-3-Treibhausgasemissionen können auch nach den in der Norm EN ISO 14064-1:2018 festgelegten indirekten Emissionskategorien dargestellt werden.</w:t>
            </w:r>
          </w:p>
        </w:tc>
        <w:tc>
          <w:tcPr>
            <w:tcW w:w="1847" w:type="dxa"/>
            <w:shd w:val="clear" w:color="auto" w:fill="auto"/>
          </w:tcPr>
          <w:p w:rsidR="00830085" w:rsidRPr="000E0C5F" w:rsidRDefault="00830085" w:rsidP="0021774A">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830085"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830085" w:rsidRPr="0015165A" w:rsidRDefault="00830085" w:rsidP="0021774A">
            <w:pPr>
              <w:spacing w:before="0"/>
              <w:contextualSpacing/>
              <w:jc w:val="center"/>
              <w:rPr>
                <w:sz w:val="16"/>
                <w:szCs w:val="16"/>
              </w:rPr>
            </w:pPr>
            <w:r w:rsidRPr="0015165A">
              <w:rPr>
                <w:sz w:val="16"/>
                <w:szCs w:val="16"/>
              </w:rPr>
              <w:t xml:space="preserve">AR </w:t>
            </w:r>
            <w:r>
              <w:rPr>
                <w:sz w:val="16"/>
                <w:szCs w:val="16"/>
              </w:rPr>
              <w:t>51</w:t>
            </w:r>
          </w:p>
        </w:tc>
        <w:tc>
          <w:tcPr>
            <w:tcW w:w="6237" w:type="dxa"/>
            <w:shd w:val="clear" w:color="auto" w:fill="auto"/>
          </w:tcPr>
          <w:p w:rsidR="00830085" w:rsidRPr="00830085" w:rsidRDefault="00830085" w:rsidP="0021774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30085">
              <w:rPr>
                <w:rFonts w:ascii="Century Gothic" w:hAnsi="Century Gothic"/>
                <w:sz w:val="16"/>
                <w:szCs w:val="16"/>
              </w:rPr>
              <w:t xml:space="preserve">Wenn es für die Scope-3-Emissionen des Unternehmens wesentlich ist, muss es die Treibhausgasemissionen aus erworbenen Cloud-Computing- und Rechenzentrumsdiensten als Teil der übergeordneten </w:t>
            </w:r>
            <w:r w:rsidRPr="00830085">
              <w:rPr>
                <w:rFonts w:ascii="Century Gothic" w:hAnsi="Century Gothic"/>
                <w:b/>
                <w:bCs/>
                <w:sz w:val="16"/>
                <w:szCs w:val="16"/>
              </w:rPr>
              <w:t xml:space="preserve">Scope-3-Kategorie </w:t>
            </w:r>
            <w:r w:rsidRPr="00830085">
              <w:rPr>
                <w:rFonts w:ascii="Century Gothic" w:hAnsi="Century Gothic"/>
                <w:sz w:val="16"/>
                <w:szCs w:val="16"/>
              </w:rPr>
              <w:t>„vorgelagerte erworbene Waren und Dienstleistungen“ angeben.</w:t>
            </w:r>
          </w:p>
        </w:tc>
        <w:tc>
          <w:tcPr>
            <w:tcW w:w="1847" w:type="dxa"/>
            <w:shd w:val="clear" w:color="auto" w:fill="auto"/>
          </w:tcPr>
          <w:p w:rsidR="00830085" w:rsidRPr="000E0C5F" w:rsidRDefault="00830085" w:rsidP="0021774A">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830085"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tcPr>
          <w:p w:rsidR="00830085" w:rsidRPr="0015165A" w:rsidRDefault="00830085" w:rsidP="0021774A">
            <w:pPr>
              <w:spacing w:before="0"/>
              <w:contextualSpacing/>
              <w:jc w:val="center"/>
              <w:rPr>
                <w:sz w:val="16"/>
                <w:szCs w:val="16"/>
              </w:rPr>
            </w:pPr>
            <w:r w:rsidRPr="0015165A">
              <w:rPr>
                <w:sz w:val="16"/>
                <w:szCs w:val="16"/>
              </w:rPr>
              <w:t xml:space="preserve">AR </w:t>
            </w:r>
            <w:r>
              <w:rPr>
                <w:sz w:val="16"/>
                <w:szCs w:val="16"/>
              </w:rPr>
              <w:t>52</w:t>
            </w:r>
          </w:p>
        </w:tc>
        <w:tc>
          <w:tcPr>
            <w:tcW w:w="6237" w:type="dxa"/>
            <w:shd w:val="clear" w:color="auto" w:fill="auto"/>
          </w:tcPr>
          <w:p w:rsidR="00830085" w:rsidRPr="00830085" w:rsidRDefault="00830085" w:rsidP="0021774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30085">
              <w:rPr>
                <w:rFonts w:ascii="Century Gothic" w:hAnsi="Century Gothic"/>
                <w:sz w:val="16"/>
                <w:szCs w:val="16"/>
              </w:rPr>
              <w:t xml:space="preserve">Die nach </w:t>
            </w:r>
            <w:proofErr w:type="spellStart"/>
            <w:r w:rsidRPr="00830085">
              <w:rPr>
                <w:rFonts w:ascii="Century Gothic" w:hAnsi="Century Gothic"/>
                <w:sz w:val="16"/>
                <w:szCs w:val="16"/>
              </w:rPr>
              <w:t>Scope</w:t>
            </w:r>
            <w:proofErr w:type="spellEnd"/>
            <w:r w:rsidRPr="00830085">
              <w:rPr>
                <w:rFonts w:ascii="Century Gothic" w:hAnsi="Century Gothic"/>
                <w:sz w:val="16"/>
                <w:szCs w:val="16"/>
              </w:rPr>
              <w:t xml:space="preserve"> 1, 2 und 3 aufgeschlüsselten THG-Gesamtemissionen können in der </w:t>
            </w:r>
            <w:r w:rsidRPr="00830085">
              <w:rPr>
                <w:rFonts w:ascii="Century Gothic" w:hAnsi="Century Gothic"/>
                <w:b/>
                <w:bCs/>
                <w:sz w:val="16"/>
                <w:szCs w:val="16"/>
              </w:rPr>
              <w:t xml:space="preserve">Nachhaltigkeitserklärung </w:t>
            </w:r>
            <w:r w:rsidRPr="00830085">
              <w:rPr>
                <w:rFonts w:ascii="Century Gothic" w:hAnsi="Century Gothic"/>
                <w:sz w:val="16"/>
                <w:szCs w:val="16"/>
              </w:rPr>
              <w:t xml:space="preserve">grafisch dargestellt werden (z. B. als Balken- oder Kreisdiagramm), sodass daraus die Aufteilung der Treibhausgasemissionen innerhalb der </w:t>
            </w:r>
            <w:r w:rsidRPr="00830085">
              <w:rPr>
                <w:rFonts w:ascii="Century Gothic" w:hAnsi="Century Gothic"/>
                <w:b/>
                <w:bCs/>
                <w:sz w:val="16"/>
                <w:szCs w:val="16"/>
              </w:rPr>
              <w:t xml:space="preserve">Wertschöpfungskette </w:t>
            </w:r>
            <w:r w:rsidRPr="00830085">
              <w:rPr>
                <w:rFonts w:ascii="Century Gothic" w:hAnsi="Century Gothic"/>
                <w:sz w:val="16"/>
                <w:szCs w:val="16"/>
              </w:rPr>
              <w:t>(vorgelagert, eigene Tätigkeiten, Transport, nachgelagert) hervorgeht.</w:t>
            </w:r>
          </w:p>
        </w:tc>
        <w:tc>
          <w:tcPr>
            <w:tcW w:w="1847" w:type="dxa"/>
            <w:shd w:val="clear" w:color="auto" w:fill="auto"/>
          </w:tcPr>
          <w:p w:rsidR="00830085" w:rsidRPr="000E0C5F" w:rsidRDefault="00830085" w:rsidP="0021774A">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1F1799" w:rsidRPr="00253D69"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D9D9D9" w:themeFill="background1" w:themeFillShade="D9"/>
            <w:vAlign w:val="center"/>
          </w:tcPr>
          <w:p w:rsidR="001F1799" w:rsidRPr="00253D69" w:rsidRDefault="001F1799" w:rsidP="0021774A">
            <w:pPr>
              <w:spacing w:before="0"/>
              <w:contextualSpacing/>
              <w:jc w:val="left"/>
              <w:rPr>
                <w:sz w:val="16"/>
                <w:szCs w:val="16"/>
              </w:rPr>
            </w:pPr>
          </w:p>
        </w:tc>
        <w:tc>
          <w:tcPr>
            <w:tcW w:w="6237" w:type="dxa"/>
            <w:shd w:val="clear" w:color="auto" w:fill="auto"/>
            <w:vAlign w:val="center"/>
          </w:tcPr>
          <w:p w:rsidR="001F1799" w:rsidRPr="00253D69" w:rsidRDefault="001F1799" w:rsidP="0021774A">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253D69">
              <w:rPr>
                <w:rFonts w:ascii="Century Gothic" w:hAnsi="Century Gothic"/>
                <w:b/>
                <w:i/>
                <w:iCs/>
                <w:sz w:val="16"/>
                <w:szCs w:val="16"/>
              </w:rPr>
              <w:t>Treibhausgasintensität auf der Grundlage der Nettoeinnahmen</w:t>
            </w:r>
          </w:p>
        </w:tc>
        <w:tc>
          <w:tcPr>
            <w:tcW w:w="1847" w:type="dxa"/>
            <w:shd w:val="clear" w:color="auto" w:fill="auto"/>
            <w:vAlign w:val="center"/>
          </w:tcPr>
          <w:p w:rsidR="001F1799" w:rsidRPr="00253D69" w:rsidRDefault="001F1799" w:rsidP="0021774A">
            <w:pPr>
              <w:spacing w:before="0"/>
              <w:contextualSpacing/>
              <w:jc w:val="left"/>
              <w:cnfStyle w:val="000000000000" w:firstRow="0" w:lastRow="0" w:firstColumn="0" w:lastColumn="0" w:oddVBand="0" w:evenVBand="0" w:oddHBand="0" w:evenHBand="0" w:firstRowFirstColumn="0" w:firstRowLastColumn="0" w:lastRowFirstColumn="0" w:lastRowLastColumn="0"/>
              <w:rPr>
                <w:b/>
                <w:sz w:val="20"/>
              </w:rPr>
            </w:pPr>
          </w:p>
        </w:tc>
      </w:tr>
      <w:tr w:rsidR="00442B89"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tcBorders>
            <w:shd w:val="clear" w:color="auto" w:fill="D9D9D9" w:themeFill="background1" w:themeFillShade="D9"/>
            <w:vAlign w:val="center"/>
          </w:tcPr>
          <w:p w:rsidR="00442B89" w:rsidRPr="0015165A" w:rsidRDefault="00442B89" w:rsidP="0021774A">
            <w:pPr>
              <w:spacing w:before="0"/>
              <w:contextualSpacing/>
              <w:jc w:val="left"/>
              <w:rPr>
                <w:sz w:val="16"/>
                <w:szCs w:val="16"/>
              </w:rPr>
            </w:pPr>
          </w:p>
        </w:tc>
        <w:tc>
          <w:tcPr>
            <w:tcW w:w="6237" w:type="dxa"/>
            <w:tcBorders>
              <w:bottom w:val="single" w:sz="4" w:space="0" w:color="auto"/>
            </w:tcBorders>
            <w:shd w:val="clear" w:color="auto" w:fill="auto"/>
            <w:vAlign w:val="center"/>
          </w:tcPr>
          <w:p w:rsidR="00442B89" w:rsidRPr="00442B89" w:rsidRDefault="00442B89" w:rsidP="0021774A">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sz w:val="16"/>
                <w:szCs w:val="16"/>
              </w:rPr>
            </w:pPr>
            <w:r w:rsidRPr="00442B89">
              <w:rPr>
                <w:rFonts w:ascii="Century Gothic" w:hAnsi="Century Gothic"/>
                <w:i/>
                <w:sz w:val="16"/>
                <w:szCs w:val="16"/>
              </w:rPr>
              <w:t>Leitlinien für die Berechnung</w:t>
            </w:r>
          </w:p>
        </w:tc>
        <w:tc>
          <w:tcPr>
            <w:tcW w:w="1847" w:type="dxa"/>
            <w:tcBorders>
              <w:bottom w:val="single" w:sz="4" w:space="0" w:color="auto"/>
            </w:tcBorders>
            <w:shd w:val="clear" w:color="auto" w:fill="auto"/>
            <w:vAlign w:val="center"/>
          </w:tcPr>
          <w:p w:rsidR="00442B89" w:rsidRPr="000E0C5F" w:rsidRDefault="00442B89" w:rsidP="0021774A">
            <w:pPr>
              <w:spacing w:before="0"/>
              <w:contextualSpacing/>
              <w:jc w:val="left"/>
              <w:cnfStyle w:val="000000100000" w:firstRow="0" w:lastRow="0" w:firstColumn="0" w:lastColumn="0" w:oddVBand="0" w:evenVBand="0" w:oddHBand="1" w:evenHBand="0" w:firstRowFirstColumn="0" w:firstRowLastColumn="0" w:lastRowFirstColumn="0" w:lastRowLastColumn="0"/>
              <w:rPr>
                <w:sz w:val="20"/>
              </w:rPr>
            </w:pPr>
          </w:p>
        </w:tc>
      </w:tr>
      <w:tr w:rsidR="00830085"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085" w:rsidRPr="0015165A" w:rsidRDefault="00830085" w:rsidP="0021774A">
            <w:pPr>
              <w:spacing w:before="0"/>
              <w:contextualSpacing/>
              <w:jc w:val="center"/>
              <w:rPr>
                <w:sz w:val="16"/>
                <w:szCs w:val="16"/>
              </w:rPr>
            </w:pPr>
            <w:r w:rsidRPr="0015165A">
              <w:rPr>
                <w:sz w:val="16"/>
                <w:szCs w:val="16"/>
              </w:rPr>
              <w:t xml:space="preserve">AR </w:t>
            </w:r>
            <w:r>
              <w:rPr>
                <w:sz w:val="16"/>
                <w:szCs w:val="16"/>
              </w:rPr>
              <w:t>53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479D1" w:rsidRPr="000479D1" w:rsidRDefault="000479D1" w:rsidP="0021774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Bei der Angabe der nach Absatz 53 erforderlichen Informationen über die Treibhausgasintensität auf der Grundlage der Nettoeinnahmen geht das Unternehmen wie folgt vor:</w:t>
            </w:r>
          </w:p>
          <w:p w:rsidR="000479D1" w:rsidRPr="000479D1" w:rsidRDefault="000479D1" w:rsidP="0021774A">
            <w:pPr>
              <w:pStyle w:val="Default"/>
              <w:numPr>
                <w:ilvl w:val="0"/>
                <w:numId w:val="2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Es berechnet die Treibhausgasintensität anhand der folgenden Formel:</w:t>
            </w:r>
          </w:p>
          <w:p w:rsidR="00830085" w:rsidRPr="000479D1" w:rsidRDefault="000479D1" w:rsidP="0021774A">
            <w:pPr>
              <w:pStyle w:val="Default"/>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noProof/>
                <w:sz w:val="16"/>
                <w:szCs w:val="16"/>
              </w:rPr>
              <w:drawing>
                <wp:inline distT="0" distB="0" distL="0" distR="0">
                  <wp:extent cx="1322363" cy="2512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777" cy="257064"/>
                          </a:xfrm>
                          <a:prstGeom prst="rect">
                            <a:avLst/>
                          </a:prstGeom>
                          <a:noFill/>
                          <a:ln>
                            <a:noFill/>
                          </a:ln>
                        </pic:spPr>
                      </pic:pic>
                    </a:graphicData>
                  </a:graphic>
                </wp:inline>
              </w:drawing>
            </w:r>
          </w:p>
          <w:p w:rsidR="000479D1" w:rsidRPr="000479D1" w:rsidRDefault="000479D1" w:rsidP="0021774A">
            <w:pPr>
              <w:pStyle w:val="Default"/>
              <w:numPr>
                <w:ilvl w:val="0"/>
                <w:numId w:val="2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es drückt die THG-Gesamtemissionen in Tonnen CO</w:t>
            </w:r>
            <w:r w:rsidRPr="00203D1B">
              <w:rPr>
                <w:rFonts w:ascii="Century Gothic" w:hAnsi="Century Gothic"/>
                <w:sz w:val="16"/>
                <w:szCs w:val="16"/>
                <w:vertAlign w:val="subscript"/>
              </w:rPr>
              <w:t>2</w:t>
            </w:r>
            <w:r w:rsidRPr="000479D1">
              <w:rPr>
                <w:rFonts w:ascii="Century Gothic" w:hAnsi="Century Gothic"/>
                <w:sz w:val="16"/>
                <w:szCs w:val="16"/>
              </w:rPr>
              <w:t>-Äquivalent und die Nettoeinnahmen in Währungseinheiten (z. B. Euro) aus und legt die Ergebnisse für die marktbezogene und standortbezogene Methode vor,</w:t>
            </w:r>
          </w:p>
          <w:p w:rsidR="000479D1" w:rsidRPr="000479D1" w:rsidRDefault="000479D1" w:rsidP="0021774A">
            <w:pPr>
              <w:pStyle w:val="Default"/>
              <w:numPr>
                <w:ilvl w:val="0"/>
                <w:numId w:val="2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es trägt die THG-Gesamtemissionen in den Zähler und die Nettogesamteinnahmen in den Nenner ein,</w:t>
            </w:r>
          </w:p>
          <w:p w:rsidR="000479D1" w:rsidRPr="000479D1" w:rsidRDefault="000479D1" w:rsidP="0021774A">
            <w:pPr>
              <w:pStyle w:val="Default"/>
              <w:numPr>
                <w:ilvl w:val="0"/>
                <w:numId w:val="2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es berechnet die THG-Gesamtemissionen gemäß Absatz 44 Buchstabe d und Absatz 52 und</w:t>
            </w:r>
          </w:p>
          <w:p w:rsidR="000479D1" w:rsidRPr="00946D3C" w:rsidRDefault="000479D1" w:rsidP="0021774A">
            <w:pPr>
              <w:pStyle w:val="Default"/>
              <w:numPr>
                <w:ilvl w:val="0"/>
                <w:numId w:val="25"/>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0479D1">
              <w:rPr>
                <w:rFonts w:ascii="Century Gothic" w:hAnsi="Century Gothic"/>
                <w:sz w:val="16"/>
                <w:szCs w:val="16"/>
              </w:rPr>
              <w:t>es berechnet die Nettoeinnahmen im Einklang mit den Anforderungen der für Abschlüsse anzuwendenden Rechnungslegungsstandards, d. h. IFRS 15 oder lokale Rechnungslegungsanforderungen.</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30085" w:rsidRPr="000E0C5F" w:rsidRDefault="00830085" w:rsidP="0021774A">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bl>
    <w:p w:rsidR="0038768E" w:rsidRDefault="0038768E">
      <w:r>
        <w:rPr>
          <w:b/>
          <w:bCs/>
        </w:rPr>
        <w:br w:type="page"/>
      </w:r>
    </w:p>
    <w:tbl>
      <w:tblPr>
        <w:tblStyle w:val="Gitternetztabelle4Akzent6"/>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6240"/>
        <w:gridCol w:w="1848"/>
      </w:tblGrid>
      <w:tr w:rsidR="0038768E" w:rsidRPr="00A964C7" w:rsidTr="0038768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38768E" w:rsidRPr="00A964C7" w:rsidRDefault="0038768E" w:rsidP="00A91B7F">
            <w:pPr>
              <w:spacing w:before="0"/>
              <w:rPr>
                <w:color w:val="000000" w:themeColor="text1"/>
              </w:rPr>
            </w:pPr>
            <w:r w:rsidRPr="00A964C7">
              <w:rPr>
                <w:color w:val="000000" w:themeColor="text1"/>
              </w:rPr>
              <w:lastRenderedPageBreak/>
              <w:t xml:space="preserve">Teil 2: </w:t>
            </w:r>
            <w:proofErr w:type="spellStart"/>
            <w:r w:rsidRPr="00A964C7">
              <w:rPr>
                <w:color w:val="000000" w:themeColor="text1"/>
              </w:rPr>
              <w:t>Application</w:t>
            </w:r>
            <w:proofErr w:type="spellEnd"/>
            <w:r w:rsidRPr="00A964C7">
              <w:rPr>
                <w:color w:val="000000" w:themeColor="text1"/>
              </w:rPr>
              <w:t xml:space="preserve"> </w:t>
            </w:r>
            <w:proofErr w:type="spellStart"/>
            <w:r w:rsidRPr="00A964C7">
              <w:rPr>
                <w:color w:val="000000" w:themeColor="text1"/>
              </w:rPr>
              <w:t>Requirements</w:t>
            </w:r>
            <w:proofErr w:type="spellEnd"/>
            <w:r w:rsidRPr="00A964C7">
              <w:rPr>
                <w:color w:val="000000" w:themeColor="text1"/>
              </w:rPr>
              <w:t>; Forts.</w:t>
            </w:r>
          </w:p>
        </w:tc>
      </w:tr>
      <w:tr w:rsidR="00622DF2" w:rsidRPr="002D1A40" w:rsidTr="0038768E">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77" w:type="dxa"/>
            <w:gridSpan w:val="3"/>
            <w:shd w:val="clear" w:color="auto" w:fill="auto"/>
            <w:vAlign w:val="center"/>
          </w:tcPr>
          <w:p w:rsidR="00622DF2" w:rsidRPr="002D1A40" w:rsidRDefault="00622DF2" w:rsidP="005F328B">
            <w:pPr>
              <w:spacing w:before="0"/>
              <w:rPr>
                <w:sz w:val="2"/>
                <w:szCs w:val="2"/>
              </w:rPr>
            </w:pPr>
          </w:p>
        </w:tc>
      </w:tr>
      <w:tr w:rsidR="00622DF2" w:rsidRPr="000D6D5D"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CellMar>
            <w:top w:w="85" w:type="dxa"/>
            <w:bottom w:w="85" w:type="dxa"/>
          </w:tblCellMar>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shd w:val="clear" w:color="auto" w:fill="228B22"/>
            <w:vAlign w:val="center"/>
          </w:tcPr>
          <w:p w:rsidR="00622DF2" w:rsidRPr="000D6D5D" w:rsidRDefault="00622DF2" w:rsidP="005F328B">
            <w:pPr>
              <w:spacing w:before="60" w:after="60"/>
              <w:jc w:val="center"/>
              <w:rPr>
                <w:color w:val="FFFFFF" w:themeColor="background1"/>
                <w:sz w:val="20"/>
                <w:szCs w:val="20"/>
              </w:rPr>
            </w:pPr>
            <w:r w:rsidRPr="000D6D5D">
              <w:rPr>
                <w:color w:val="FFFFFF" w:themeColor="background1"/>
                <w:sz w:val="20"/>
                <w:szCs w:val="20"/>
              </w:rPr>
              <w:t>Quelle ESRS E1</w:t>
            </w:r>
          </w:p>
        </w:tc>
        <w:tc>
          <w:tcPr>
            <w:tcW w:w="6240" w:type="dxa"/>
            <w:shd w:val="clear" w:color="auto" w:fill="228B22"/>
            <w:vAlign w:val="center"/>
          </w:tcPr>
          <w:p w:rsidR="00622DF2" w:rsidRPr="000D6D5D" w:rsidRDefault="00622DF2" w:rsidP="005F328B">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0D6D5D">
              <w:rPr>
                <w:b/>
                <w:color w:val="FFFFFF" w:themeColor="background1"/>
                <w:sz w:val="20"/>
                <w:szCs w:val="20"/>
              </w:rPr>
              <w:t>Parameter und Ziele</w:t>
            </w:r>
          </w:p>
        </w:tc>
        <w:tc>
          <w:tcPr>
            <w:tcW w:w="1848" w:type="dxa"/>
            <w:shd w:val="clear" w:color="auto" w:fill="228B22"/>
            <w:vAlign w:val="center"/>
          </w:tcPr>
          <w:p w:rsidR="00622DF2" w:rsidRPr="000D6D5D" w:rsidRDefault="00622DF2" w:rsidP="005F328B">
            <w:pPr>
              <w:spacing w:before="60" w:after="60"/>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0D6D5D">
              <w:rPr>
                <w:b/>
                <w:color w:val="FFFFFF" w:themeColor="background1"/>
                <w:sz w:val="16"/>
                <w:szCs w:val="16"/>
              </w:rPr>
              <w:t>Bemerkungen, ggf. Verweis auf Datenpunkte</w:t>
            </w:r>
          </w:p>
        </w:tc>
      </w:tr>
      <w:tr w:rsidR="00946D3C"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shd w:val="clear" w:color="auto" w:fill="D9D9D9" w:themeFill="background1" w:themeFillShade="D9"/>
          </w:tcPr>
          <w:p w:rsidR="00946D3C" w:rsidRPr="0015165A" w:rsidRDefault="00946D3C" w:rsidP="003C051A">
            <w:pPr>
              <w:spacing w:before="0"/>
              <w:contextualSpacing/>
              <w:jc w:val="center"/>
              <w:rPr>
                <w:sz w:val="16"/>
                <w:szCs w:val="16"/>
              </w:rPr>
            </w:pPr>
            <w:r w:rsidRPr="0015165A">
              <w:rPr>
                <w:sz w:val="16"/>
                <w:szCs w:val="16"/>
              </w:rPr>
              <w:t xml:space="preserve">AR </w:t>
            </w:r>
            <w:r>
              <w:rPr>
                <w:sz w:val="16"/>
                <w:szCs w:val="16"/>
              </w:rPr>
              <w:t>54</w:t>
            </w:r>
          </w:p>
        </w:tc>
        <w:tc>
          <w:tcPr>
            <w:tcW w:w="6240" w:type="dxa"/>
            <w:shd w:val="clear" w:color="auto" w:fill="auto"/>
          </w:tcPr>
          <w:p w:rsidR="00946D3C" w:rsidRDefault="00946D3C" w:rsidP="003C051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46D3C">
              <w:rPr>
                <w:rFonts w:ascii="Century Gothic" w:hAnsi="Century Gothic"/>
                <w:sz w:val="16"/>
                <w:szCs w:val="16"/>
              </w:rPr>
              <w:t>Die quantitativen Informationen können in einer Tabelle wie der folgenden dargestellt werden.</w:t>
            </w:r>
          </w:p>
          <w:p w:rsidR="00946D3C" w:rsidRPr="00946D3C" w:rsidRDefault="00946D3C" w:rsidP="003C051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noProof/>
              </w:rPr>
              <w:drawing>
                <wp:inline distT="0" distB="0" distL="0" distR="0">
                  <wp:extent cx="3172265" cy="581523"/>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01023" cy="605126"/>
                          </a:xfrm>
                          <a:prstGeom prst="rect">
                            <a:avLst/>
                          </a:prstGeom>
                          <a:noFill/>
                          <a:ln>
                            <a:noFill/>
                          </a:ln>
                        </pic:spPr>
                      </pic:pic>
                    </a:graphicData>
                  </a:graphic>
                </wp:inline>
              </w:drawing>
            </w:r>
          </w:p>
        </w:tc>
        <w:tc>
          <w:tcPr>
            <w:tcW w:w="1848" w:type="dxa"/>
            <w:shd w:val="clear" w:color="auto" w:fill="auto"/>
          </w:tcPr>
          <w:p w:rsidR="00946D3C" w:rsidRPr="000E0C5F" w:rsidRDefault="00946D3C" w:rsidP="003C051A">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946D3C" w:rsidRPr="000E0C5F" w:rsidTr="0038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trHeight w:val="473"/>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shd w:val="clear" w:color="auto" w:fill="D9D9D9" w:themeFill="background1" w:themeFillShade="D9"/>
          </w:tcPr>
          <w:p w:rsidR="00946D3C" w:rsidRPr="0015165A" w:rsidRDefault="00946D3C" w:rsidP="003C051A">
            <w:pPr>
              <w:spacing w:before="0"/>
              <w:contextualSpacing/>
              <w:jc w:val="center"/>
              <w:rPr>
                <w:sz w:val="16"/>
                <w:szCs w:val="16"/>
              </w:rPr>
            </w:pPr>
          </w:p>
        </w:tc>
        <w:tc>
          <w:tcPr>
            <w:tcW w:w="6240" w:type="dxa"/>
            <w:tcBorders>
              <w:bottom w:val="single" w:sz="4" w:space="0" w:color="auto"/>
            </w:tcBorders>
            <w:shd w:val="clear" w:color="auto" w:fill="auto"/>
          </w:tcPr>
          <w:p w:rsidR="00946D3C" w:rsidRPr="00B47E47" w:rsidRDefault="00946D3C" w:rsidP="003C051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i/>
                <w:sz w:val="16"/>
                <w:szCs w:val="16"/>
              </w:rPr>
            </w:pPr>
            <w:r w:rsidRPr="00B47E47">
              <w:rPr>
                <w:rFonts w:ascii="Century Gothic" w:hAnsi="Century Gothic"/>
                <w:i/>
                <w:sz w:val="16"/>
                <w:szCs w:val="16"/>
              </w:rPr>
              <w:t>Konnektivität der Treibhausgasintensität auf der Grundlage der Einnahmen mit Informationen zur Finanzberichterstattung</w:t>
            </w:r>
          </w:p>
        </w:tc>
        <w:tc>
          <w:tcPr>
            <w:tcW w:w="1848" w:type="dxa"/>
            <w:tcBorders>
              <w:bottom w:val="single" w:sz="4" w:space="0" w:color="auto"/>
            </w:tcBorders>
            <w:shd w:val="clear" w:color="auto" w:fill="auto"/>
          </w:tcPr>
          <w:p w:rsidR="00946D3C" w:rsidRPr="000E0C5F" w:rsidRDefault="00946D3C" w:rsidP="003C051A">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B47E47" w:rsidRPr="000E0C5F" w:rsidTr="0038768E">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7E47" w:rsidRPr="0015165A" w:rsidRDefault="00B47E47" w:rsidP="003C051A">
            <w:pPr>
              <w:spacing w:before="0"/>
              <w:contextualSpacing/>
              <w:jc w:val="center"/>
              <w:rPr>
                <w:sz w:val="16"/>
                <w:szCs w:val="16"/>
              </w:rPr>
            </w:pPr>
            <w:r w:rsidRPr="0015165A">
              <w:rPr>
                <w:sz w:val="16"/>
                <w:szCs w:val="16"/>
              </w:rPr>
              <w:t xml:space="preserve">AR </w:t>
            </w:r>
            <w:r>
              <w:rPr>
                <w:sz w:val="16"/>
                <w:szCs w:val="16"/>
              </w:rPr>
              <w:t>55</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B47E47" w:rsidRPr="00496B20" w:rsidRDefault="00B47E47" w:rsidP="003C051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96B20">
              <w:rPr>
                <w:rFonts w:ascii="Century Gothic" w:hAnsi="Century Gothic"/>
                <w:sz w:val="16"/>
                <w:szCs w:val="16"/>
              </w:rPr>
              <w:t>Der Abgleich der zur Berechnung der Treibhausgasintensität verwendeten Nettoeinnahmen mit dem betreffenden Posten oder den entsprechenden Erläuterungen im Abschluss (gemäß Absatz 55) kann:</w:t>
            </w:r>
          </w:p>
          <w:p w:rsidR="00B47E47" w:rsidRPr="00496B20" w:rsidRDefault="00B47E47" w:rsidP="003C051A">
            <w:pPr>
              <w:pStyle w:val="Default"/>
              <w:numPr>
                <w:ilvl w:val="0"/>
                <w:numId w:val="2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96B20">
              <w:rPr>
                <w:rFonts w:ascii="Century Gothic" w:hAnsi="Century Gothic"/>
                <w:sz w:val="16"/>
                <w:szCs w:val="16"/>
              </w:rPr>
              <w:t>durch einen Querverweis auf den entsprechenden Posten oder die Angaben im Abschluss oder</w:t>
            </w:r>
          </w:p>
          <w:p w:rsidR="00B47E47" w:rsidRPr="00496B20" w:rsidRDefault="00B47E47" w:rsidP="003C051A">
            <w:pPr>
              <w:pStyle w:val="Default"/>
              <w:numPr>
                <w:ilvl w:val="0"/>
                <w:numId w:val="2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96B20">
              <w:rPr>
                <w:rFonts w:ascii="Century Gothic" w:hAnsi="Century Gothic"/>
                <w:sz w:val="16"/>
                <w:szCs w:val="16"/>
              </w:rPr>
              <w:t>durch einen quantitativen Abgleich unter Verwendung des nachstehenden Tabellenformats, wenn die Nettoeinnahmen nicht direkt mit einem Posten oder einer Angabe im Abschluss verknüpft werden können.</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B47E47" w:rsidRPr="000E0C5F" w:rsidRDefault="00B47E47" w:rsidP="003C051A">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bl>
    <w:p w:rsidR="0053480B" w:rsidRPr="001F21CD" w:rsidRDefault="0053480B" w:rsidP="00496B20">
      <w:pPr>
        <w:jc w:val="left"/>
        <w:rPr>
          <w:sz w:val="12"/>
          <w:szCs w:val="12"/>
        </w:rPr>
      </w:pPr>
    </w:p>
    <w:sectPr w:rsidR="0053480B" w:rsidRPr="001F21CD" w:rsidSect="00596DD7">
      <w:headerReference w:type="default" r:id="rId17"/>
      <w:footerReference w:type="default" r:id="rId18"/>
      <w:headerReference w:type="first" r:id="rId19"/>
      <w:footerReference w:type="first" r:id="rId20"/>
      <w:footnotePr>
        <w:numStart w:val="38"/>
      </w:footnotePr>
      <w:type w:val="continuous"/>
      <w:pgSz w:w="11907" w:h="16839" w:code="9"/>
      <w:pgMar w:top="1099" w:right="1701" w:bottom="1134" w:left="1134" w:header="1134"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596DD7" w:rsidTr="0001466E">
      <w:trPr>
        <w:trHeight w:hRule="exact" w:val="1191"/>
      </w:trPr>
      <w:tc>
        <w:tcPr>
          <w:tcW w:w="2265" w:type="dxa"/>
          <w:vAlign w:val="bottom"/>
          <w:hideMark/>
        </w:tcPr>
        <w:p w:rsidR="00596DD7" w:rsidRDefault="00596DD7" w:rsidP="00596DD7">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468978830"/>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596DD7" w:rsidRDefault="00596DD7" w:rsidP="00596DD7">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596DD7" w:rsidRDefault="00596DD7" w:rsidP="00596DD7">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596DD7" w:rsidRDefault="00596DD7" w:rsidP="00596DD7">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596DD7" w:rsidRDefault="00596DD7" w:rsidP="00596DD7">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7</w:t>
          </w:r>
        </w:p>
        <w:p w:rsidR="00596DD7" w:rsidRDefault="00596DD7" w:rsidP="00596DD7">
          <w:pPr>
            <w:tabs>
              <w:tab w:val="left" w:pos="2100"/>
            </w:tabs>
            <w:spacing w:before="0"/>
            <w:jc w:val="right"/>
            <w:rPr>
              <w:sz w:val="20"/>
            </w:rPr>
          </w:pPr>
          <w:r>
            <w:rPr>
              <w:rFonts w:eastAsiaTheme="minorHAnsi" w:cstheme="minorBidi"/>
              <w:sz w:val="20"/>
              <w:lang w:eastAsia="en-US"/>
            </w:rPr>
            <w:t>Stand: 01.08.2024</w:t>
          </w:r>
        </w:p>
      </w:tc>
    </w:tr>
  </w:tbl>
  <w:p w:rsidR="009E6C29" w:rsidRPr="00596DD7" w:rsidRDefault="009E6C29" w:rsidP="00596DD7">
    <w:pPr>
      <w:tabs>
        <w:tab w:val="center" w:pos="4536"/>
        <w:tab w:val="right" w:pos="9072"/>
        <w:tab w:val="left" w:pos="9781"/>
      </w:tabs>
      <w:spacing w:before="0" w:after="120"/>
      <w:jc w:val="left"/>
      <w:rPr>
        <w:rFonts w:eastAsiaTheme="minorHAnsi"/>
        <w:sz w:val="8"/>
        <w:szCs w:val="8"/>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596DD7" w:rsidTr="0001466E">
      <w:trPr>
        <w:trHeight w:hRule="exact" w:val="1191"/>
      </w:trPr>
      <w:tc>
        <w:tcPr>
          <w:tcW w:w="2265" w:type="dxa"/>
          <w:vAlign w:val="bottom"/>
          <w:hideMark/>
        </w:tcPr>
        <w:p w:rsidR="00596DD7" w:rsidRDefault="00596DD7" w:rsidP="00596DD7">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596DD7" w:rsidRDefault="00596DD7" w:rsidP="00596DD7">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596DD7" w:rsidRDefault="00596DD7" w:rsidP="00596DD7">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596DD7" w:rsidRDefault="00596DD7" w:rsidP="00596DD7">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596DD7" w:rsidRDefault="00596DD7" w:rsidP="00596DD7">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7</w:t>
          </w:r>
        </w:p>
        <w:p w:rsidR="00596DD7" w:rsidRDefault="00596DD7" w:rsidP="00596DD7">
          <w:pPr>
            <w:tabs>
              <w:tab w:val="left" w:pos="2100"/>
            </w:tabs>
            <w:spacing w:before="0"/>
            <w:jc w:val="right"/>
            <w:rPr>
              <w:sz w:val="20"/>
            </w:rPr>
          </w:pPr>
          <w:r>
            <w:rPr>
              <w:rFonts w:eastAsiaTheme="minorHAnsi" w:cstheme="minorBidi"/>
              <w:sz w:val="20"/>
              <w:lang w:eastAsia="en-US"/>
            </w:rPr>
            <w:t>Stand: 01.08.2024</w:t>
          </w:r>
        </w:p>
      </w:tc>
    </w:tr>
  </w:tbl>
  <w:p w:rsidR="009E6C29" w:rsidRPr="00596DD7" w:rsidRDefault="009E6C29" w:rsidP="00596DD7">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 w:id="1">
    <w:p w:rsidR="006615CE" w:rsidRDefault="006615CE">
      <w:pPr>
        <w:pStyle w:val="Funotentext"/>
      </w:pPr>
      <w:r>
        <w:rPr>
          <w:rStyle w:val="Funotenzeichen"/>
        </w:rPr>
        <w:footnoteRef/>
      </w:r>
      <w:r>
        <w:t xml:space="preserve"> </w:t>
      </w:r>
      <w:r w:rsidRPr="00CA759E">
        <w:rPr>
          <w:sz w:val="12"/>
          <w:szCs w:val="12"/>
        </w:rPr>
        <w:t>Diese Informationen unterstützen den Informationsbedarf von Finanzmarktteilnehmern, die der Verordnung (EU) 2019/2088 unterliegen, da sie von einem verpflichtenden Indikator in Bezug auf die wichtigsten negativen Auswirkungen gemäß den Indikator Nr. 1 und 2 in Anhang I Tabelle I der Delegierten Verordnung (EU) 2022/1288 der Kommission in Bezug auf Offenlegungsvorschriften für nachhaltige Investitionen („Treibhausgasemissionen“ und „CO2-Fußabdruck“) abgeleitet werden. Diese Informationen stehen im Einklang mit Artikel 5 Absatz 1, Artikel 6 und Artikel 8 Absatz 1 der Delegierten Verordnung (EU) 2020/1818 der Kommission (Verordnung über Referenzwerte für den klimabedingten Wandel).</w:t>
      </w:r>
    </w:p>
  </w:footnote>
  <w:footnote w:id="2">
    <w:p w:rsidR="00E00FA8" w:rsidRDefault="00E00FA8">
      <w:pPr>
        <w:pStyle w:val="Funotentext"/>
      </w:pPr>
      <w:r>
        <w:rPr>
          <w:rStyle w:val="Funotenzeichen"/>
        </w:rPr>
        <w:footnoteRef/>
      </w:r>
      <w:r w:rsidR="00B37A5C">
        <w:rPr>
          <w:sz w:val="12"/>
          <w:szCs w:val="12"/>
        </w:rPr>
        <w:t xml:space="preserve"> </w:t>
      </w:r>
      <w:r w:rsidRPr="00773AD7">
        <w:rPr>
          <w:sz w:val="12"/>
          <w:szCs w:val="12"/>
        </w:rPr>
        <w:t>Diese Informationen unterstützen den Informationsbedarf von Finanzmarktteilnehmern, die der Verordnung (EU) 2019/2088 unterliegen, da sie von einem verpflichtenden Indikator in Bezug auf die wichtigsten negativen Auswirkungen gemäß dem Indikator Nr. 3 in Anhang I Tabelle I der Delegierten Verordnung (EU) 2022/1288 der Kommission in Bezug auf Offenlegungsvorschriften für nachhaltige Investitionen („THG-Emissionsintensität der Unternehmen, in die investiert wird“) abgeleitet werden. Diese Informationen stehen im Einklang mit Artikel 8 Absatz 1 der Delegierten Verordnung (EU) 2020/1818 der Kommission (Verordnung über Referenzwerte für den klimabedingten Wandel).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FE" w:rsidRDefault="000F35FE" w:rsidP="00F02684">
    <w:pPr>
      <w:pStyle w:val="Kopfzeile"/>
      <w:pBdr>
        <w:bottom w:val="none" w:sz="0" w:space="0" w:color="auto"/>
      </w:pBdr>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8"/>
      <w:gridCol w:w="6657"/>
      <w:gridCol w:w="714"/>
      <w:gridCol w:w="713"/>
    </w:tblGrid>
    <w:tr w:rsidR="000F35FE" w:rsidTr="00D027E9">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C5F1C5"/>
        </w:tcPr>
        <w:p w:rsidR="000F35FE" w:rsidRPr="00125DE7" w:rsidRDefault="000F35FE" w:rsidP="00D027E9">
          <w:pPr>
            <w:spacing w:before="0"/>
            <w:contextualSpacing/>
            <w:rPr>
              <w:color w:val="000000" w:themeColor="text1"/>
              <w:sz w:val="20"/>
              <w:szCs w:val="20"/>
            </w:rPr>
          </w:pPr>
          <w:r w:rsidRPr="00125DE7">
            <w:rPr>
              <w:color w:val="000000" w:themeColor="text1"/>
              <w:sz w:val="20"/>
              <w:szCs w:val="20"/>
            </w:rPr>
            <w:t>E1-6</w:t>
          </w:r>
        </w:p>
      </w:tc>
      <w:tc>
        <w:tcPr>
          <w:tcW w:w="6657" w:type="dxa"/>
          <w:tcBorders>
            <w:top w:val="none" w:sz="0" w:space="0" w:color="auto"/>
            <w:left w:val="none" w:sz="0" w:space="0" w:color="auto"/>
            <w:bottom w:val="none" w:sz="0" w:space="0" w:color="auto"/>
            <w:right w:val="none" w:sz="0" w:space="0" w:color="auto"/>
          </w:tcBorders>
          <w:shd w:val="clear" w:color="auto" w:fill="C5F1C5"/>
        </w:tcPr>
        <w:p w:rsidR="000F35FE" w:rsidRPr="00125DE7" w:rsidRDefault="000F35FE" w:rsidP="00D027E9">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5DE7">
            <w:rPr>
              <w:color w:val="auto"/>
              <w:sz w:val="20"/>
              <w:szCs w:val="20"/>
            </w:rPr>
            <w:t xml:space="preserve">THG-Bruttoemissionen der Kategorien </w:t>
          </w:r>
          <w:proofErr w:type="spellStart"/>
          <w:r w:rsidRPr="00125DE7">
            <w:rPr>
              <w:color w:val="auto"/>
              <w:sz w:val="20"/>
              <w:szCs w:val="20"/>
            </w:rPr>
            <w:t>Scope</w:t>
          </w:r>
          <w:proofErr w:type="spellEnd"/>
          <w:r w:rsidRPr="00125DE7">
            <w:rPr>
              <w:color w:val="auto"/>
              <w:sz w:val="20"/>
              <w:szCs w:val="20"/>
            </w:rPr>
            <w:t xml:space="preserve"> 1, 2 und 3 sowie THG-Gesamtemissionen</w:t>
          </w:r>
          <w:r>
            <w:rPr>
              <w:color w:val="auto"/>
              <w:sz w:val="20"/>
              <w:szCs w:val="20"/>
            </w:rPr>
            <w:t>; Forts.</w:t>
          </w:r>
        </w:p>
      </w:tc>
      <w:tc>
        <w:tcPr>
          <w:tcW w:w="714" w:type="dxa"/>
          <w:tcBorders>
            <w:top w:val="none" w:sz="0" w:space="0" w:color="auto"/>
            <w:left w:val="none" w:sz="0" w:space="0" w:color="auto"/>
            <w:bottom w:val="none" w:sz="0" w:space="0" w:color="auto"/>
            <w:right w:val="none" w:sz="0" w:space="0" w:color="auto"/>
          </w:tcBorders>
          <w:shd w:val="clear" w:color="auto" w:fill="auto"/>
        </w:tcPr>
        <w:p w:rsidR="000F35FE" w:rsidRPr="003C0F68" w:rsidRDefault="000F35FE" w:rsidP="00D027E9">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0F35FE" w:rsidRPr="00C04682" w:rsidRDefault="005E385A" w:rsidP="00D027E9">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25</w:t>
          </w:r>
        </w:p>
      </w:tc>
    </w:tr>
  </w:tbl>
  <w:p w:rsidR="000F35FE" w:rsidRPr="00E00FA8" w:rsidRDefault="000F35FE" w:rsidP="00F02684">
    <w:pPr>
      <w:pStyle w:val="Kopfzeile"/>
      <w:pBdr>
        <w:bottom w:val="none" w:sz="0" w:space="0" w:color="auto"/>
      </w:pBdr>
      <w:rPr>
        <w:sz w:val="2"/>
        <w:szCs w:val="2"/>
      </w:rPr>
    </w:pPr>
  </w:p>
  <w:p w:rsidR="009E6C29" w:rsidRPr="00665F75" w:rsidRDefault="009E6C29" w:rsidP="00F02684">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B075035"/>
    <w:multiLevelType w:val="hybridMultilevel"/>
    <w:tmpl w:val="3AECEC28"/>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C4E3F13"/>
    <w:multiLevelType w:val="hybridMultilevel"/>
    <w:tmpl w:val="464058DA"/>
    <w:lvl w:ilvl="0" w:tplc="6F76596A">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1" w15:restartNumberingAfterBreak="0">
    <w:nsid w:val="10DE4C7B"/>
    <w:multiLevelType w:val="hybridMultilevel"/>
    <w:tmpl w:val="BEE01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5B059B"/>
    <w:multiLevelType w:val="hybridMultilevel"/>
    <w:tmpl w:val="80B07A74"/>
    <w:lvl w:ilvl="0" w:tplc="4D482C6E">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B5A6F26"/>
    <w:multiLevelType w:val="hybridMultilevel"/>
    <w:tmpl w:val="725CC6A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3D5540"/>
    <w:multiLevelType w:val="hybridMultilevel"/>
    <w:tmpl w:val="2C7608A2"/>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6C382D"/>
    <w:multiLevelType w:val="hybridMultilevel"/>
    <w:tmpl w:val="750824D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62040F"/>
    <w:multiLevelType w:val="hybridMultilevel"/>
    <w:tmpl w:val="8F28796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43120A"/>
    <w:multiLevelType w:val="singleLevel"/>
    <w:tmpl w:val="04070003"/>
    <w:lvl w:ilvl="0">
      <w:start w:val="1"/>
      <w:numFmt w:val="bullet"/>
      <w:lvlText w:val="o"/>
      <w:lvlJc w:val="left"/>
      <w:pPr>
        <w:ind w:left="720" w:hanging="360"/>
      </w:pPr>
      <w:rPr>
        <w:rFonts w:ascii="Courier New" w:hAnsi="Courier New" w:cs="Courier New" w:hint="default"/>
      </w:rPr>
    </w:lvl>
  </w:abstractNum>
  <w:abstractNum w:abstractNumId="19" w15:restartNumberingAfterBreak="0">
    <w:nsid w:val="44FB0DAC"/>
    <w:multiLevelType w:val="hybridMultilevel"/>
    <w:tmpl w:val="6300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880955"/>
    <w:multiLevelType w:val="hybridMultilevel"/>
    <w:tmpl w:val="7CECFD00"/>
    <w:lvl w:ilvl="0" w:tplc="0407001B">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7331F7"/>
    <w:multiLevelType w:val="hybridMultilevel"/>
    <w:tmpl w:val="5EE295A4"/>
    <w:lvl w:ilvl="0" w:tplc="6F76596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F97A1C"/>
    <w:multiLevelType w:val="hybridMultilevel"/>
    <w:tmpl w:val="C8DC3D4A"/>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9D71DC"/>
    <w:multiLevelType w:val="hybridMultilevel"/>
    <w:tmpl w:val="4628C72E"/>
    <w:lvl w:ilvl="0" w:tplc="5982658E">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4" w15:restartNumberingAfterBreak="0">
    <w:nsid w:val="5EF515B8"/>
    <w:multiLevelType w:val="hybridMultilevel"/>
    <w:tmpl w:val="D1F08254"/>
    <w:lvl w:ilvl="0" w:tplc="D20C9500">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46233B"/>
    <w:multiLevelType w:val="hybridMultilevel"/>
    <w:tmpl w:val="CED2F3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EE2F0E"/>
    <w:multiLevelType w:val="hybridMultilevel"/>
    <w:tmpl w:val="725CC6A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3460CB"/>
    <w:multiLevelType w:val="hybridMultilevel"/>
    <w:tmpl w:val="DF2C320A"/>
    <w:lvl w:ilvl="0" w:tplc="5982658E">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684A58"/>
    <w:multiLevelType w:val="hybridMultilevel"/>
    <w:tmpl w:val="8BA0F92C"/>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abstractNum w:abstractNumId="30" w15:restartNumberingAfterBreak="0">
    <w:nsid w:val="7E9911B2"/>
    <w:multiLevelType w:val="hybridMultilevel"/>
    <w:tmpl w:val="83B41E72"/>
    <w:lvl w:ilvl="0" w:tplc="F31072AE">
      <w:start w:val="1"/>
      <w:numFmt w:val="lowerLetter"/>
      <w:lvlText w:val="%1)"/>
      <w:lvlJc w:val="left"/>
      <w:pPr>
        <w:ind w:left="720" w:hanging="360"/>
      </w:pPr>
      <w:rPr>
        <w:rFonts w:hint="default"/>
      </w:rPr>
    </w:lvl>
    <w:lvl w:ilvl="1" w:tplc="0C323490" w:tentative="1">
      <w:start w:val="1"/>
      <w:numFmt w:val="lowerLetter"/>
      <w:lvlText w:val="%2."/>
      <w:lvlJc w:val="left"/>
      <w:pPr>
        <w:ind w:left="1440" w:hanging="360"/>
      </w:pPr>
    </w:lvl>
    <w:lvl w:ilvl="2" w:tplc="E0166060" w:tentative="1">
      <w:start w:val="1"/>
      <w:numFmt w:val="lowerRoman"/>
      <w:lvlText w:val="%3."/>
      <w:lvlJc w:val="right"/>
      <w:pPr>
        <w:ind w:left="2160" w:hanging="180"/>
      </w:pPr>
    </w:lvl>
    <w:lvl w:ilvl="3" w:tplc="D0B8CDFC" w:tentative="1">
      <w:start w:val="1"/>
      <w:numFmt w:val="decimal"/>
      <w:lvlText w:val="%4."/>
      <w:lvlJc w:val="left"/>
      <w:pPr>
        <w:ind w:left="2880" w:hanging="360"/>
      </w:pPr>
    </w:lvl>
    <w:lvl w:ilvl="4" w:tplc="D868CEF4" w:tentative="1">
      <w:start w:val="1"/>
      <w:numFmt w:val="lowerLetter"/>
      <w:lvlText w:val="%5."/>
      <w:lvlJc w:val="left"/>
      <w:pPr>
        <w:ind w:left="3600" w:hanging="360"/>
      </w:pPr>
    </w:lvl>
    <w:lvl w:ilvl="5" w:tplc="F49A6664" w:tentative="1">
      <w:start w:val="1"/>
      <w:numFmt w:val="lowerRoman"/>
      <w:lvlText w:val="%6."/>
      <w:lvlJc w:val="right"/>
      <w:pPr>
        <w:ind w:left="4320" w:hanging="180"/>
      </w:pPr>
    </w:lvl>
    <w:lvl w:ilvl="6" w:tplc="8294EBFE" w:tentative="1">
      <w:start w:val="1"/>
      <w:numFmt w:val="decimal"/>
      <w:lvlText w:val="%7."/>
      <w:lvlJc w:val="left"/>
      <w:pPr>
        <w:ind w:left="5040" w:hanging="360"/>
      </w:pPr>
    </w:lvl>
    <w:lvl w:ilvl="7" w:tplc="3386252A" w:tentative="1">
      <w:start w:val="1"/>
      <w:numFmt w:val="lowerLetter"/>
      <w:lvlText w:val="%8."/>
      <w:lvlJc w:val="left"/>
      <w:pPr>
        <w:ind w:left="5760" w:hanging="360"/>
      </w:pPr>
    </w:lvl>
    <w:lvl w:ilvl="8" w:tplc="3F46C360" w:tentative="1">
      <w:start w:val="1"/>
      <w:numFmt w:val="lowerRoman"/>
      <w:lvlText w:val="%9."/>
      <w:lvlJc w:val="right"/>
      <w:pPr>
        <w:ind w:left="6480" w:hanging="180"/>
      </w:pPr>
    </w:lvl>
  </w:abstractNum>
  <w:num w:numId="1">
    <w:abstractNumId w:val="29"/>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23"/>
  </w:num>
  <w:num w:numId="12">
    <w:abstractNumId w:val="13"/>
  </w:num>
  <w:num w:numId="13">
    <w:abstractNumId w:val="20"/>
  </w:num>
  <w:num w:numId="14">
    <w:abstractNumId w:val="21"/>
  </w:num>
  <w:num w:numId="15">
    <w:abstractNumId w:val="25"/>
  </w:num>
  <w:num w:numId="16">
    <w:abstractNumId w:val="28"/>
  </w:num>
  <w:num w:numId="17">
    <w:abstractNumId w:val="30"/>
  </w:num>
  <w:num w:numId="18">
    <w:abstractNumId w:val="12"/>
  </w:num>
  <w:num w:numId="19">
    <w:abstractNumId w:val="17"/>
  </w:num>
  <w:num w:numId="20">
    <w:abstractNumId w:val="14"/>
  </w:num>
  <w:num w:numId="21">
    <w:abstractNumId w:val="22"/>
  </w:num>
  <w:num w:numId="22">
    <w:abstractNumId w:val="16"/>
  </w:num>
  <w:num w:numId="23">
    <w:abstractNumId w:val="18"/>
  </w:num>
  <w:num w:numId="24">
    <w:abstractNumId w:val="8"/>
  </w:num>
  <w:num w:numId="25">
    <w:abstractNumId w:val="27"/>
  </w:num>
  <w:num w:numId="26">
    <w:abstractNumId w:val="9"/>
  </w:num>
  <w:num w:numId="27">
    <w:abstractNumId w:val="26"/>
  </w:num>
  <w:num w:numId="28">
    <w:abstractNumId w:val="24"/>
  </w:num>
  <w:num w:numId="29">
    <w:abstractNumId w:val="15"/>
  </w:num>
  <w:num w:numId="30">
    <w:abstractNumId w:val="19"/>
  </w:num>
  <w:num w:numId="3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numStart w:val="3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477C"/>
    <w:rsid w:val="00015F5F"/>
    <w:rsid w:val="000213D0"/>
    <w:rsid w:val="0002748A"/>
    <w:rsid w:val="00030ECD"/>
    <w:rsid w:val="0003242D"/>
    <w:rsid w:val="0003449D"/>
    <w:rsid w:val="0004061E"/>
    <w:rsid w:val="0004096F"/>
    <w:rsid w:val="000457B8"/>
    <w:rsid w:val="000479D1"/>
    <w:rsid w:val="00047FBF"/>
    <w:rsid w:val="000503CF"/>
    <w:rsid w:val="0005326E"/>
    <w:rsid w:val="000616B8"/>
    <w:rsid w:val="00064F40"/>
    <w:rsid w:val="000732FA"/>
    <w:rsid w:val="00075E7C"/>
    <w:rsid w:val="00080B9A"/>
    <w:rsid w:val="00081CD2"/>
    <w:rsid w:val="00086B8A"/>
    <w:rsid w:val="00090988"/>
    <w:rsid w:val="00091383"/>
    <w:rsid w:val="0009344D"/>
    <w:rsid w:val="00097B2B"/>
    <w:rsid w:val="000B1337"/>
    <w:rsid w:val="000B69FB"/>
    <w:rsid w:val="000C61BA"/>
    <w:rsid w:val="000D349D"/>
    <w:rsid w:val="000D6428"/>
    <w:rsid w:val="000D6D5D"/>
    <w:rsid w:val="000E0C5F"/>
    <w:rsid w:val="000E26F7"/>
    <w:rsid w:val="000E57B4"/>
    <w:rsid w:val="000E692D"/>
    <w:rsid w:val="000F2D44"/>
    <w:rsid w:val="000F35FE"/>
    <w:rsid w:val="00106BBE"/>
    <w:rsid w:val="00111AC6"/>
    <w:rsid w:val="00114EA5"/>
    <w:rsid w:val="00115916"/>
    <w:rsid w:val="001205E2"/>
    <w:rsid w:val="00125DE7"/>
    <w:rsid w:val="00130748"/>
    <w:rsid w:val="00140F86"/>
    <w:rsid w:val="00143F11"/>
    <w:rsid w:val="001468B7"/>
    <w:rsid w:val="00147B73"/>
    <w:rsid w:val="0015165A"/>
    <w:rsid w:val="001570C5"/>
    <w:rsid w:val="001610A2"/>
    <w:rsid w:val="00165A53"/>
    <w:rsid w:val="00180880"/>
    <w:rsid w:val="00182B83"/>
    <w:rsid w:val="00184E10"/>
    <w:rsid w:val="0019585B"/>
    <w:rsid w:val="001A1B58"/>
    <w:rsid w:val="001A6337"/>
    <w:rsid w:val="001B3F50"/>
    <w:rsid w:val="001B5348"/>
    <w:rsid w:val="001B7418"/>
    <w:rsid w:val="001B7E25"/>
    <w:rsid w:val="001C0D6B"/>
    <w:rsid w:val="001C1789"/>
    <w:rsid w:val="001D22E2"/>
    <w:rsid w:val="001E1F96"/>
    <w:rsid w:val="001E38E2"/>
    <w:rsid w:val="001E7A82"/>
    <w:rsid w:val="001F04DD"/>
    <w:rsid w:val="001F1799"/>
    <w:rsid w:val="001F21CD"/>
    <w:rsid w:val="00203D1B"/>
    <w:rsid w:val="002051B1"/>
    <w:rsid w:val="002065BE"/>
    <w:rsid w:val="0021047B"/>
    <w:rsid w:val="00213C34"/>
    <w:rsid w:val="0021774A"/>
    <w:rsid w:val="00222629"/>
    <w:rsid w:val="00251DAC"/>
    <w:rsid w:val="00253D69"/>
    <w:rsid w:val="00257647"/>
    <w:rsid w:val="002717FB"/>
    <w:rsid w:val="00280D52"/>
    <w:rsid w:val="00283F41"/>
    <w:rsid w:val="00284FA6"/>
    <w:rsid w:val="00285560"/>
    <w:rsid w:val="00285C0D"/>
    <w:rsid w:val="00290924"/>
    <w:rsid w:val="00291F83"/>
    <w:rsid w:val="0029592F"/>
    <w:rsid w:val="002A064F"/>
    <w:rsid w:val="002A0C98"/>
    <w:rsid w:val="002A29CF"/>
    <w:rsid w:val="002A3549"/>
    <w:rsid w:val="002B17CE"/>
    <w:rsid w:val="002B298F"/>
    <w:rsid w:val="002B37AC"/>
    <w:rsid w:val="002B7B81"/>
    <w:rsid w:val="002C7903"/>
    <w:rsid w:val="002D0908"/>
    <w:rsid w:val="002D1A40"/>
    <w:rsid w:val="002D7E2D"/>
    <w:rsid w:val="002F09D8"/>
    <w:rsid w:val="002F6B99"/>
    <w:rsid w:val="002F771F"/>
    <w:rsid w:val="00301DCE"/>
    <w:rsid w:val="00304799"/>
    <w:rsid w:val="00305D9F"/>
    <w:rsid w:val="0032544F"/>
    <w:rsid w:val="00330A29"/>
    <w:rsid w:val="00340216"/>
    <w:rsid w:val="00342964"/>
    <w:rsid w:val="00352142"/>
    <w:rsid w:val="00354556"/>
    <w:rsid w:val="00360F3D"/>
    <w:rsid w:val="00364269"/>
    <w:rsid w:val="003703D1"/>
    <w:rsid w:val="00376DCD"/>
    <w:rsid w:val="00382BCD"/>
    <w:rsid w:val="00386087"/>
    <w:rsid w:val="003875E4"/>
    <w:rsid w:val="0038768E"/>
    <w:rsid w:val="003932A1"/>
    <w:rsid w:val="00396D05"/>
    <w:rsid w:val="00396E62"/>
    <w:rsid w:val="003A6CCF"/>
    <w:rsid w:val="003A6FEB"/>
    <w:rsid w:val="003A7861"/>
    <w:rsid w:val="003B420D"/>
    <w:rsid w:val="003C051A"/>
    <w:rsid w:val="003D15FE"/>
    <w:rsid w:val="003E348F"/>
    <w:rsid w:val="003E5835"/>
    <w:rsid w:val="003F1B18"/>
    <w:rsid w:val="003F79F4"/>
    <w:rsid w:val="00402C0A"/>
    <w:rsid w:val="00403766"/>
    <w:rsid w:val="004076E9"/>
    <w:rsid w:val="0041402E"/>
    <w:rsid w:val="00414D05"/>
    <w:rsid w:val="00416098"/>
    <w:rsid w:val="00416270"/>
    <w:rsid w:val="00424009"/>
    <w:rsid w:val="004248A0"/>
    <w:rsid w:val="00425D64"/>
    <w:rsid w:val="004279BD"/>
    <w:rsid w:val="0043323A"/>
    <w:rsid w:val="00433509"/>
    <w:rsid w:val="00440D21"/>
    <w:rsid w:val="00441F70"/>
    <w:rsid w:val="00442B89"/>
    <w:rsid w:val="004459D5"/>
    <w:rsid w:val="00445BB8"/>
    <w:rsid w:val="0044742E"/>
    <w:rsid w:val="00454705"/>
    <w:rsid w:val="00465DB3"/>
    <w:rsid w:val="0047207E"/>
    <w:rsid w:val="00473311"/>
    <w:rsid w:val="00476504"/>
    <w:rsid w:val="00477296"/>
    <w:rsid w:val="004867BC"/>
    <w:rsid w:val="0049126F"/>
    <w:rsid w:val="00496B20"/>
    <w:rsid w:val="004A1265"/>
    <w:rsid w:val="004B0628"/>
    <w:rsid w:val="004B2234"/>
    <w:rsid w:val="004B32C2"/>
    <w:rsid w:val="004B5526"/>
    <w:rsid w:val="004B5A8E"/>
    <w:rsid w:val="004B6272"/>
    <w:rsid w:val="004B6415"/>
    <w:rsid w:val="004B7430"/>
    <w:rsid w:val="004C3F5D"/>
    <w:rsid w:val="004C60FF"/>
    <w:rsid w:val="004D43D5"/>
    <w:rsid w:val="004D6C91"/>
    <w:rsid w:val="004E52F0"/>
    <w:rsid w:val="004E699D"/>
    <w:rsid w:val="004F1A62"/>
    <w:rsid w:val="004F1C26"/>
    <w:rsid w:val="004F1E92"/>
    <w:rsid w:val="0050152B"/>
    <w:rsid w:val="00503C2E"/>
    <w:rsid w:val="005060F4"/>
    <w:rsid w:val="005126C2"/>
    <w:rsid w:val="0051275C"/>
    <w:rsid w:val="00516C43"/>
    <w:rsid w:val="0052103B"/>
    <w:rsid w:val="00523480"/>
    <w:rsid w:val="00525CDB"/>
    <w:rsid w:val="00527267"/>
    <w:rsid w:val="00527970"/>
    <w:rsid w:val="00533698"/>
    <w:rsid w:val="0053480B"/>
    <w:rsid w:val="00534A4B"/>
    <w:rsid w:val="00537185"/>
    <w:rsid w:val="005473EF"/>
    <w:rsid w:val="0055136F"/>
    <w:rsid w:val="0055156D"/>
    <w:rsid w:val="00557E86"/>
    <w:rsid w:val="00567521"/>
    <w:rsid w:val="005716AB"/>
    <w:rsid w:val="00583AA1"/>
    <w:rsid w:val="0058527F"/>
    <w:rsid w:val="00585859"/>
    <w:rsid w:val="005913EC"/>
    <w:rsid w:val="005921A2"/>
    <w:rsid w:val="00594C08"/>
    <w:rsid w:val="005967E6"/>
    <w:rsid w:val="00596DD7"/>
    <w:rsid w:val="005A05DD"/>
    <w:rsid w:val="005B024A"/>
    <w:rsid w:val="005B57D7"/>
    <w:rsid w:val="005B7F7F"/>
    <w:rsid w:val="005C1C85"/>
    <w:rsid w:val="005C5708"/>
    <w:rsid w:val="005D1825"/>
    <w:rsid w:val="005D26BD"/>
    <w:rsid w:val="005D2A74"/>
    <w:rsid w:val="005D4260"/>
    <w:rsid w:val="005D7367"/>
    <w:rsid w:val="005E0577"/>
    <w:rsid w:val="005E07BD"/>
    <w:rsid w:val="005E385A"/>
    <w:rsid w:val="005E6E41"/>
    <w:rsid w:val="005E7803"/>
    <w:rsid w:val="005F6F40"/>
    <w:rsid w:val="00617F89"/>
    <w:rsid w:val="00622DF2"/>
    <w:rsid w:val="00632C1A"/>
    <w:rsid w:val="006415FE"/>
    <w:rsid w:val="006454CF"/>
    <w:rsid w:val="0065198F"/>
    <w:rsid w:val="006521FF"/>
    <w:rsid w:val="006615CE"/>
    <w:rsid w:val="00662DD4"/>
    <w:rsid w:val="00664FBF"/>
    <w:rsid w:val="00665F75"/>
    <w:rsid w:val="00666AFB"/>
    <w:rsid w:val="0066763B"/>
    <w:rsid w:val="00680DF2"/>
    <w:rsid w:val="00681373"/>
    <w:rsid w:val="0068164E"/>
    <w:rsid w:val="00684B37"/>
    <w:rsid w:val="00692C04"/>
    <w:rsid w:val="00692DEF"/>
    <w:rsid w:val="006A27FA"/>
    <w:rsid w:val="006C4228"/>
    <w:rsid w:val="006D45A1"/>
    <w:rsid w:val="006D7242"/>
    <w:rsid w:val="006E1366"/>
    <w:rsid w:val="006E24F6"/>
    <w:rsid w:val="006E7126"/>
    <w:rsid w:val="006E75CB"/>
    <w:rsid w:val="006F281C"/>
    <w:rsid w:val="007024CA"/>
    <w:rsid w:val="007026D1"/>
    <w:rsid w:val="00706147"/>
    <w:rsid w:val="00711AB6"/>
    <w:rsid w:val="00715003"/>
    <w:rsid w:val="00716DD5"/>
    <w:rsid w:val="00717DE0"/>
    <w:rsid w:val="00720E5C"/>
    <w:rsid w:val="00740CB3"/>
    <w:rsid w:val="00741254"/>
    <w:rsid w:val="00742EA1"/>
    <w:rsid w:val="00744772"/>
    <w:rsid w:val="00744C9A"/>
    <w:rsid w:val="007506E6"/>
    <w:rsid w:val="00762112"/>
    <w:rsid w:val="007626C5"/>
    <w:rsid w:val="007627A3"/>
    <w:rsid w:val="00763FC1"/>
    <w:rsid w:val="007648E0"/>
    <w:rsid w:val="00765666"/>
    <w:rsid w:val="00772791"/>
    <w:rsid w:val="00773AD7"/>
    <w:rsid w:val="0078728B"/>
    <w:rsid w:val="00790130"/>
    <w:rsid w:val="00792B34"/>
    <w:rsid w:val="00796513"/>
    <w:rsid w:val="007A060E"/>
    <w:rsid w:val="007A0F21"/>
    <w:rsid w:val="007A3E0C"/>
    <w:rsid w:val="007A407E"/>
    <w:rsid w:val="007A52E3"/>
    <w:rsid w:val="007B1945"/>
    <w:rsid w:val="007B3E4C"/>
    <w:rsid w:val="007C77B1"/>
    <w:rsid w:val="007D1B45"/>
    <w:rsid w:val="007D3976"/>
    <w:rsid w:val="007D6927"/>
    <w:rsid w:val="007E0249"/>
    <w:rsid w:val="007F334F"/>
    <w:rsid w:val="007F3A7C"/>
    <w:rsid w:val="007F60A5"/>
    <w:rsid w:val="00802ED4"/>
    <w:rsid w:val="00805892"/>
    <w:rsid w:val="00805ECA"/>
    <w:rsid w:val="008076E9"/>
    <w:rsid w:val="0081072B"/>
    <w:rsid w:val="008248D3"/>
    <w:rsid w:val="00830085"/>
    <w:rsid w:val="00834FC0"/>
    <w:rsid w:val="008471C9"/>
    <w:rsid w:val="008507A2"/>
    <w:rsid w:val="00855B99"/>
    <w:rsid w:val="00861273"/>
    <w:rsid w:val="0086179F"/>
    <w:rsid w:val="00862DDF"/>
    <w:rsid w:val="00862F74"/>
    <w:rsid w:val="00870FFE"/>
    <w:rsid w:val="00872C95"/>
    <w:rsid w:val="00872F5F"/>
    <w:rsid w:val="0087591D"/>
    <w:rsid w:val="008764C8"/>
    <w:rsid w:val="0088020C"/>
    <w:rsid w:val="00884570"/>
    <w:rsid w:val="00891EEA"/>
    <w:rsid w:val="008934ED"/>
    <w:rsid w:val="00895699"/>
    <w:rsid w:val="0089643B"/>
    <w:rsid w:val="008976BA"/>
    <w:rsid w:val="008A5560"/>
    <w:rsid w:val="008B15E5"/>
    <w:rsid w:val="008B4862"/>
    <w:rsid w:val="008C44B0"/>
    <w:rsid w:val="008C4725"/>
    <w:rsid w:val="008D1A8E"/>
    <w:rsid w:val="008E0D82"/>
    <w:rsid w:val="008E0FC7"/>
    <w:rsid w:val="008E116B"/>
    <w:rsid w:val="008F75E7"/>
    <w:rsid w:val="009001A4"/>
    <w:rsid w:val="00901301"/>
    <w:rsid w:val="009075A9"/>
    <w:rsid w:val="00911510"/>
    <w:rsid w:val="009212B4"/>
    <w:rsid w:val="00934C45"/>
    <w:rsid w:val="00934C5B"/>
    <w:rsid w:val="00946D3C"/>
    <w:rsid w:val="0095198B"/>
    <w:rsid w:val="00952834"/>
    <w:rsid w:val="00952AD1"/>
    <w:rsid w:val="00961A7D"/>
    <w:rsid w:val="00970211"/>
    <w:rsid w:val="009757C6"/>
    <w:rsid w:val="009760D0"/>
    <w:rsid w:val="00977270"/>
    <w:rsid w:val="0097728F"/>
    <w:rsid w:val="009773FE"/>
    <w:rsid w:val="00984AAE"/>
    <w:rsid w:val="00985A96"/>
    <w:rsid w:val="00990776"/>
    <w:rsid w:val="0099236A"/>
    <w:rsid w:val="009A6E64"/>
    <w:rsid w:val="009B2238"/>
    <w:rsid w:val="009C0A38"/>
    <w:rsid w:val="009C1E3E"/>
    <w:rsid w:val="009C2FF2"/>
    <w:rsid w:val="009C542C"/>
    <w:rsid w:val="009C6EFB"/>
    <w:rsid w:val="009C7454"/>
    <w:rsid w:val="009C7804"/>
    <w:rsid w:val="009D0798"/>
    <w:rsid w:val="009D429E"/>
    <w:rsid w:val="009E1FB1"/>
    <w:rsid w:val="009E52C9"/>
    <w:rsid w:val="009E6C29"/>
    <w:rsid w:val="009F1567"/>
    <w:rsid w:val="009F6E01"/>
    <w:rsid w:val="009F7D84"/>
    <w:rsid w:val="00A06317"/>
    <w:rsid w:val="00A13766"/>
    <w:rsid w:val="00A14850"/>
    <w:rsid w:val="00A237ED"/>
    <w:rsid w:val="00A23F62"/>
    <w:rsid w:val="00A307D5"/>
    <w:rsid w:val="00A31197"/>
    <w:rsid w:val="00A5114A"/>
    <w:rsid w:val="00A613A1"/>
    <w:rsid w:val="00A62C9B"/>
    <w:rsid w:val="00A649A3"/>
    <w:rsid w:val="00A7113B"/>
    <w:rsid w:val="00A75CE3"/>
    <w:rsid w:val="00A76B51"/>
    <w:rsid w:val="00A8486F"/>
    <w:rsid w:val="00A87FE5"/>
    <w:rsid w:val="00A90655"/>
    <w:rsid w:val="00A92E8B"/>
    <w:rsid w:val="00A946ED"/>
    <w:rsid w:val="00A964C7"/>
    <w:rsid w:val="00AA65D6"/>
    <w:rsid w:val="00AB613B"/>
    <w:rsid w:val="00AC17EE"/>
    <w:rsid w:val="00AC20E5"/>
    <w:rsid w:val="00AC3CBC"/>
    <w:rsid w:val="00AE290A"/>
    <w:rsid w:val="00AF1983"/>
    <w:rsid w:val="00AF4845"/>
    <w:rsid w:val="00AF76A2"/>
    <w:rsid w:val="00B114B0"/>
    <w:rsid w:val="00B1324F"/>
    <w:rsid w:val="00B13741"/>
    <w:rsid w:val="00B15817"/>
    <w:rsid w:val="00B1680D"/>
    <w:rsid w:val="00B175D2"/>
    <w:rsid w:val="00B2286E"/>
    <w:rsid w:val="00B22993"/>
    <w:rsid w:val="00B261B2"/>
    <w:rsid w:val="00B34064"/>
    <w:rsid w:val="00B3475C"/>
    <w:rsid w:val="00B37A5C"/>
    <w:rsid w:val="00B451B0"/>
    <w:rsid w:val="00B47E47"/>
    <w:rsid w:val="00B50770"/>
    <w:rsid w:val="00B6345C"/>
    <w:rsid w:val="00B66196"/>
    <w:rsid w:val="00B6637D"/>
    <w:rsid w:val="00B73242"/>
    <w:rsid w:val="00B760B6"/>
    <w:rsid w:val="00B77530"/>
    <w:rsid w:val="00B84813"/>
    <w:rsid w:val="00B870E2"/>
    <w:rsid w:val="00B91F5A"/>
    <w:rsid w:val="00BA02EC"/>
    <w:rsid w:val="00BA1533"/>
    <w:rsid w:val="00BA1564"/>
    <w:rsid w:val="00BA7590"/>
    <w:rsid w:val="00BB730F"/>
    <w:rsid w:val="00BB7EE1"/>
    <w:rsid w:val="00BC0E3E"/>
    <w:rsid w:val="00BC6A51"/>
    <w:rsid w:val="00BD2864"/>
    <w:rsid w:val="00BD2F69"/>
    <w:rsid w:val="00BD37FF"/>
    <w:rsid w:val="00BD62C0"/>
    <w:rsid w:val="00BE0165"/>
    <w:rsid w:val="00BE368B"/>
    <w:rsid w:val="00BE4FB5"/>
    <w:rsid w:val="00BF0354"/>
    <w:rsid w:val="00BF2B89"/>
    <w:rsid w:val="00BF7EB9"/>
    <w:rsid w:val="00C03A3B"/>
    <w:rsid w:val="00C03EEC"/>
    <w:rsid w:val="00C04682"/>
    <w:rsid w:val="00C10F24"/>
    <w:rsid w:val="00C24E59"/>
    <w:rsid w:val="00C30D7D"/>
    <w:rsid w:val="00C407A8"/>
    <w:rsid w:val="00C43D74"/>
    <w:rsid w:val="00C45B48"/>
    <w:rsid w:val="00C470A2"/>
    <w:rsid w:val="00C50BAE"/>
    <w:rsid w:val="00C55BF4"/>
    <w:rsid w:val="00C61048"/>
    <w:rsid w:val="00C80ECB"/>
    <w:rsid w:val="00C850F9"/>
    <w:rsid w:val="00C8522D"/>
    <w:rsid w:val="00C91AC1"/>
    <w:rsid w:val="00C929A0"/>
    <w:rsid w:val="00C940C7"/>
    <w:rsid w:val="00C9577E"/>
    <w:rsid w:val="00CA5FDE"/>
    <w:rsid w:val="00CA64ED"/>
    <w:rsid w:val="00CA6FFC"/>
    <w:rsid w:val="00CA759E"/>
    <w:rsid w:val="00CB24C7"/>
    <w:rsid w:val="00CB3640"/>
    <w:rsid w:val="00CC19EF"/>
    <w:rsid w:val="00CD1A9A"/>
    <w:rsid w:val="00CD22DE"/>
    <w:rsid w:val="00CD2B7E"/>
    <w:rsid w:val="00CD4117"/>
    <w:rsid w:val="00CD547C"/>
    <w:rsid w:val="00CE2C28"/>
    <w:rsid w:val="00CE73C2"/>
    <w:rsid w:val="00CF6E18"/>
    <w:rsid w:val="00CF7BE5"/>
    <w:rsid w:val="00D027E9"/>
    <w:rsid w:val="00D13823"/>
    <w:rsid w:val="00D13901"/>
    <w:rsid w:val="00D13BD1"/>
    <w:rsid w:val="00D239B7"/>
    <w:rsid w:val="00D23B84"/>
    <w:rsid w:val="00D308D8"/>
    <w:rsid w:val="00D30C35"/>
    <w:rsid w:val="00D330A7"/>
    <w:rsid w:val="00D3468F"/>
    <w:rsid w:val="00D45365"/>
    <w:rsid w:val="00D61222"/>
    <w:rsid w:val="00D6322C"/>
    <w:rsid w:val="00D65E04"/>
    <w:rsid w:val="00D80C9D"/>
    <w:rsid w:val="00D84246"/>
    <w:rsid w:val="00D94808"/>
    <w:rsid w:val="00DA6374"/>
    <w:rsid w:val="00DB2096"/>
    <w:rsid w:val="00DB3534"/>
    <w:rsid w:val="00DB3B77"/>
    <w:rsid w:val="00DC5CF9"/>
    <w:rsid w:val="00DC7BB1"/>
    <w:rsid w:val="00DD3447"/>
    <w:rsid w:val="00DD5810"/>
    <w:rsid w:val="00DD6816"/>
    <w:rsid w:val="00DE10AB"/>
    <w:rsid w:val="00DE2B44"/>
    <w:rsid w:val="00DE3213"/>
    <w:rsid w:val="00DF21AF"/>
    <w:rsid w:val="00DF6B90"/>
    <w:rsid w:val="00E00FA8"/>
    <w:rsid w:val="00E016C0"/>
    <w:rsid w:val="00E01E33"/>
    <w:rsid w:val="00E051EF"/>
    <w:rsid w:val="00E211D2"/>
    <w:rsid w:val="00E21377"/>
    <w:rsid w:val="00E26625"/>
    <w:rsid w:val="00E329E8"/>
    <w:rsid w:val="00E342CA"/>
    <w:rsid w:val="00E368C3"/>
    <w:rsid w:val="00E50734"/>
    <w:rsid w:val="00E54CF5"/>
    <w:rsid w:val="00E57522"/>
    <w:rsid w:val="00E57793"/>
    <w:rsid w:val="00E60A33"/>
    <w:rsid w:val="00E61BCD"/>
    <w:rsid w:val="00E64C5B"/>
    <w:rsid w:val="00E65739"/>
    <w:rsid w:val="00E67C78"/>
    <w:rsid w:val="00E701A7"/>
    <w:rsid w:val="00E7291B"/>
    <w:rsid w:val="00E77518"/>
    <w:rsid w:val="00EA0865"/>
    <w:rsid w:val="00EA2ACF"/>
    <w:rsid w:val="00EA527D"/>
    <w:rsid w:val="00EA74B3"/>
    <w:rsid w:val="00EB6957"/>
    <w:rsid w:val="00EC00F0"/>
    <w:rsid w:val="00EE217B"/>
    <w:rsid w:val="00EF2558"/>
    <w:rsid w:val="00F02684"/>
    <w:rsid w:val="00F029CC"/>
    <w:rsid w:val="00F02A61"/>
    <w:rsid w:val="00F0747B"/>
    <w:rsid w:val="00F07A99"/>
    <w:rsid w:val="00F15E00"/>
    <w:rsid w:val="00F16438"/>
    <w:rsid w:val="00F16D23"/>
    <w:rsid w:val="00F2421E"/>
    <w:rsid w:val="00F279E3"/>
    <w:rsid w:val="00F3121A"/>
    <w:rsid w:val="00F35247"/>
    <w:rsid w:val="00F43427"/>
    <w:rsid w:val="00F508B7"/>
    <w:rsid w:val="00F51F9C"/>
    <w:rsid w:val="00F52A04"/>
    <w:rsid w:val="00F5694D"/>
    <w:rsid w:val="00F579A0"/>
    <w:rsid w:val="00F607DD"/>
    <w:rsid w:val="00F672A4"/>
    <w:rsid w:val="00F67FF5"/>
    <w:rsid w:val="00F73204"/>
    <w:rsid w:val="00F8345D"/>
    <w:rsid w:val="00F87375"/>
    <w:rsid w:val="00F920AB"/>
    <w:rsid w:val="00FA1E51"/>
    <w:rsid w:val="00FB19BE"/>
    <w:rsid w:val="00FB20D6"/>
    <w:rsid w:val="00FB74D4"/>
    <w:rsid w:val="00FC2BD6"/>
    <w:rsid w:val="00FC7365"/>
    <w:rsid w:val="00FC75AC"/>
    <w:rsid w:val="00FD0600"/>
    <w:rsid w:val="00FD6CCC"/>
    <w:rsid w:val="00FE5374"/>
    <w:rsid w:val="00FE65A7"/>
    <w:rsid w:val="00FF418D"/>
    <w:rsid w:val="00FF4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94D0F80"/>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link w:val="berschrift1Zchn"/>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link w:val="KopfzeileZchn"/>
    <w:uiPriority w:val="99"/>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link w:val="TextkrperZchn"/>
    <w:uiPriority w:val="1"/>
    <w:qFormat/>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 w:type="character" w:customStyle="1" w:styleId="TextkrperZchn">
    <w:name w:val="Textkörper Zchn"/>
    <w:basedOn w:val="Absatz-Standardschriftart"/>
    <w:link w:val="Textkrper"/>
    <w:uiPriority w:val="1"/>
    <w:rsid w:val="00C03EEC"/>
    <w:rPr>
      <w:rFonts w:ascii="Century Gothic" w:hAnsi="Century Gothic"/>
      <w:sz w:val="22"/>
    </w:rPr>
  </w:style>
  <w:style w:type="paragraph" w:customStyle="1" w:styleId="TableParagraph">
    <w:name w:val="Table Paragraph"/>
    <w:basedOn w:val="Standard"/>
    <w:uiPriority w:val="1"/>
    <w:qFormat/>
    <w:rsid w:val="00C03EEC"/>
    <w:pPr>
      <w:autoSpaceDE w:val="0"/>
      <w:autoSpaceDN w:val="0"/>
      <w:adjustRightInd w:val="0"/>
      <w:spacing w:before="0"/>
      <w:jc w:val="left"/>
    </w:pPr>
    <w:rPr>
      <w:rFonts w:ascii="Cambria" w:hAnsi="Cambria" w:cs="Cambria"/>
      <w:sz w:val="24"/>
      <w:szCs w:val="24"/>
    </w:rPr>
  </w:style>
  <w:style w:type="character" w:customStyle="1" w:styleId="KopfzeileZchn">
    <w:name w:val="Kopfzeile Zchn"/>
    <w:basedOn w:val="Absatz-Standardschriftart"/>
    <w:link w:val="Kopfzeile"/>
    <w:uiPriority w:val="99"/>
    <w:rsid w:val="000F35FE"/>
    <w:rPr>
      <w:rFonts w:ascii="Century Gothic" w:hAnsi="Century Gothic"/>
    </w:rPr>
  </w:style>
  <w:style w:type="character" w:customStyle="1" w:styleId="berschrift1Zchn">
    <w:name w:val="Überschrift 1 Zchn"/>
    <w:basedOn w:val="Absatz-Standardschriftart"/>
    <w:link w:val="berschrift1"/>
    <w:rsid w:val="00441F70"/>
    <w:rPr>
      <w:rFonts w:ascii="Futura Md BT" w:hAnsi="Futura Md BT"/>
      <w:b/>
      <w:color w:val="00A7DE"/>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94EAED76-2A0E-4650-8A08-338B382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11</Pages>
  <Words>3109</Words>
  <Characters>22259</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253</cp:revision>
  <cp:lastPrinted>2024-08-08T14:43:00Z</cp:lastPrinted>
  <dcterms:created xsi:type="dcterms:W3CDTF">2024-06-10T14:02:00Z</dcterms:created>
  <dcterms:modified xsi:type="dcterms:W3CDTF">2024-09-16T12:49:00Z</dcterms:modified>
</cp:coreProperties>
</file>