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114EA5">
        <w:trPr>
          <w:cantSplit/>
          <w:trHeight w:val="83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AF76A2" w:rsidRPr="00114EA5" w:rsidRDefault="00A62C9B" w:rsidP="00A62C9B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proofErr w:type="spellStart"/>
            <w:r>
              <w:rPr>
                <w:rFonts w:ascii="Century Gothic" w:hAnsi="Century Gothic"/>
                <w:color w:val="228B22"/>
                <w:sz w:val="28"/>
              </w:rPr>
              <w:t>Angabepflicht</w:t>
            </w:r>
            <w:proofErr w:type="spellEnd"/>
            <w:r>
              <w:rPr>
                <w:rFonts w:ascii="Century Gothic" w:hAnsi="Century Gothic"/>
                <w:color w:val="228B22"/>
                <w:sz w:val="28"/>
              </w:rPr>
              <w:t xml:space="preserve"> </w:t>
            </w:r>
            <w:r w:rsidR="00AF4845">
              <w:rPr>
                <w:rFonts w:ascii="Century Gothic" w:hAnsi="Century Gothic"/>
                <w:color w:val="228B22"/>
                <w:sz w:val="28"/>
              </w:rPr>
              <w:t>E1-</w:t>
            </w:r>
            <w:r w:rsidR="00BC0A22">
              <w:rPr>
                <w:rFonts w:ascii="Century Gothic" w:hAnsi="Century Gothic"/>
                <w:color w:val="228B22"/>
                <w:sz w:val="28"/>
              </w:rPr>
              <w:t>8</w:t>
            </w:r>
            <w:r w:rsidR="00AF4845">
              <w:rPr>
                <w:rFonts w:ascii="Century Gothic" w:hAnsi="Century Gothic"/>
                <w:color w:val="228B22"/>
                <w:sz w:val="28"/>
              </w:rPr>
              <w:t xml:space="preserve"> – </w:t>
            </w:r>
            <w:r w:rsidR="00BC0A22">
              <w:rPr>
                <w:rFonts w:ascii="Century Gothic" w:hAnsi="Century Gothic"/>
                <w:color w:val="228B22"/>
                <w:sz w:val="28"/>
              </w:rPr>
              <w:t>Interne CO</w:t>
            </w:r>
            <w:r w:rsidR="00BC0A22" w:rsidRPr="00BC0A22">
              <w:rPr>
                <w:rFonts w:ascii="Century Gothic" w:hAnsi="Century Gothic"/>
                <w:color w:val="228B22"/>
                <w:sz w:val="28"/>
                <w:vertAlign w:val="subscript"/>
              </w:rPr>
              <w:t>2</w:t>
            </w:r>
            <w:r w:rsidR="00BC0A22">
              <w:rPr>
                <w:rFonts w:ascii="Century Gothic" w:hAnsi="Century Gothic"/>
                <w:color w:val="228B22"/>
                <w:sz w:val="28"/>
              </w:rPr>
              <w:t>-Bepreisung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1F2D4D" w:rsidRDefault="00A62C9B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2"/>
              </w:rPr>
            </w:pPr>
            <w:r w:rsidRPr="001F2D4D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683928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8</w:t>
            </w:r>
            <w:r w:rsidRPr="001F2D4D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/2024</w:t>
            </w:r>
          </w:p>
        </w:tc>
      </w:tr>
    </w:tbl>
    <w:p w:rsidR="00666AFB" w:rsidRDefault="00666AFB" w:rsidP="002710BC">
      <w:pPr>
        <w:spacing w:before="0"/>
      </w:pPr>
    </w:p>
    <w:tbl>
      <w:tblPr>
        <w:tblStyle w:val="Gitternetztabelle4Akzent6"/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228B22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"/>
        <w:gridCol w:w="988"/>
        <w:gridCol w:w="6233"/>
        <w:gridCol w:w="292"/>
        <w:gridCol w:w="841"/>
        <w:gridCol w:w="708"/>
        <w:gridCol w:w="10"/>
      </w:tblGrid>
      <w:tr w:rsidR="00E329E8" w:rsidTr="00172CD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left w:val="nil"/>
              <w:bottom w:val="nil"/>
            </w:tcBorders>
            <w:shd w:val="clear" w:color="auto" w:fill="C5F1C5"/>
            <w:vAlign w:val="center"/>
          </w:tcPr>
          <w:p w:rsidR="00E329E8" w:rsidRPr="005948B1" w:rsidRDefault="00E329E8" w:rsidP="00172CD9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bookmarkStart w:id="0" w:name="_Hlk168988876"/>
            <w:r w:rsidRPr="005948B1">
              <w:rPr>
                <w:color w:val="000000" w:themeColor="text1"/>
                <w:sz w:val="20"/>
                <w:szCs w:val="20"/>
              </w:rPr>
              <w:t>E1-</w:t>
            </w:r>
            <w:r w:rsidR="00BC0A22" w:rsidRPr="005948B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25" w:type="dxa"/>
            <w:gridSpan w:val="2"/>
            <w:tcBorders>
              <w:top w:val="nil"/>
              <w:bottom w:val="nil"/>
            </w:tcBorders>
            <w:shd w:val="clear" w:color="auto" w:fill="C5F1C5"/>
            <w:vAlign w:val="center"/>
          </w:tcPr>
          <w:p w:rsidR="00E329E8" w:rsidRPr="005948B1" w:rsidRDefault="00BC0A22" w:rsidP="00172CD9">
            <w:pPr>
              <w:spacing w:before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948B1">
              <w:rPr>
                <w:color w:val="auto"/>
                <w:sz w:val="20"/>
                <w:szCs w:val="20"/>
              </w:rPr>
              <w:t>Interne CO</w:t>
            </w:r>
            <w:r w:rsidRPr="005948B1">
              <w:rPr>
                <w:color w:val="auto"/>
                <w:sz w:val="20"/>
                <w:szCs w:val="20"/>
                <w:vertAlign w:val="subscript"/>
              </w:rPr>
              <w:t>2</w:t>
            </w:r>
            <w:r w:rsidRPr="005948B1">
              <w:rPr>
                <w:color w:val="auto"/>
                <w:sz w:val="20"/>
                <w:szCs w:val="20"/>
              </w:rPr>
              <w:t>-Bepreisung</w:t>
            </w:r>
          </w:p>
        </w:tc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29E8" w:rsidRPr="003C0F68" w:rsidRDefault="00E329E8" w:rsidP="00172CD9">
            <w:pPr>
              <w:spacing w:before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E329E8" w:rsidRPr="00453511" w:rsidRDefault="002E3D93" w:rsidP="00172CD9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710BC" w:rsidRPr="00172CD9" w:rsidTr="00172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10BC" w:rsidRPr="00172CD9" w:rsidRDefault="002710BC" w:rsidP="00172CD9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bookmarkEnd w:id="0"/>
      <w:tr w:rsidR="002710BC" w:rsidRPr="00122B7B" w:rsidTr="00172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After w:val="1"/>
          <w:wAfter w:w="10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710BC" w:rsidRPr="00122B7B" w:rsidRDefault="002710BC" w:rsidP="00172CD9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B7B">
              <w:rPr>
                <w:color w:val="000000" w:themeColor="text1"/>
                <w:sz w:val="20"/>
                <w:szCs w:val="20"/>
              </w:rPr>
              <w:t>Teil 1: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2B7B">
              <w:rPr>
                <w:color w:val="000000" w:themeColor="text1"/>
                <w:sz w:val="20"/>
                <w:szCs w:val="20"/>
              </w:rPr>
              <w:t>Regulatorische Vorgabe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</w:p>
        </w:tc>
      </w:tr>
      <w:tr w:rsidR="002710BC" w:rsidRPr="00172CD9" w:rsidTr="00172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10BC" w:rsidRPr="00172CD9" w:rsidRDefault="002710BC" w:rsidP="00172CD9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2710BC" w:rsidRPr="002710BC" w:rsidTr="00172CD9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</w:tblPrEx>
        <w:trPr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47207E" w:rsidRPr="002710BC" w:rsidRDefault="0047207E" w:rsidP="00172CD9">
            <w:pPr>
              <w:spacing w:before="0"/>
              <w:contextualSpacing/>
              <w:jc w:val="center"/>
              <w:rPr>
                <w:color w:val="FFFFFF" w:themeColor="background1"/>
                <w:sz w:val="20"/>
                <w:szCs w:val="20"/>
              </w:rPr>
            </w:pPr>
            <w:r w:rsidRPr="002710BC">
              <w:rPr>
                <w:color w:val="FFFFFF" w:themeColor="background1"/>
                <w:sz w:val="20"/>
                <w:szCs w:val="20"/>
              </w:rPr>
              <w:t>Quelle ESRS E1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47207E" w:rsidRPr="002710BC" w:rsidRDefault="00D94808" w:rsidP="00172CD9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2710BC">
              <w:rPr>
                <w:b/>
                <w:color w:val="FFFFFF" w:themeColor="background1"/>
                <w:sz w:val="20"/>
                <w:szCs w:val="20"/>
              </w:rPr>
              <w:t>Parameter und Ziele</w:t>
            </w:r>
          </w:p>
        </w:tc>
        <w:tc>
          <w:tcPr>
            <w:tcW w:w="1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47207E" w:rsidRPr="002710BC" w:rsidRDefault="0047207E" w:rsidP="00172CD9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710BC">
              <w:rPr>
                <w:b/>
                <w:color w:val="FFFFFF" w:themeColor="background1"/>
                <w:sz w:val="16"/>
                <w:szCs w:val="16"/>
              </w:rPr>
              <w:t>Bemerkungen, ggf. Verweis auf Datenpunkte</w:t>
            </w:r>
          </w:p>
        </w:tc>
      </w:tr>
      <w:tr w:rsidR="0047207E" w:rsidRPr="000E0C5F" w:rsidTr="00172CD9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1C5"/>
          </w:tcPr>
          <w:p w:rsidR="0047207E" w:rsidRPr="0015165A" w:rsidRDefault="0047207E" w:rsidP="00172CD9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 xml:space="preserve">Tz. </w:t>
            </w:r>
            <w:r w:rsidR="00BC0A22">
              <w:rPr>
                <w:sz w:val="16"/>
                <w:szCs w:val="16"/>
              </w:rPr>
              <w:t>62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7E" w:rsidRPr="00BC0A22" w:rsidRDefault="00BC0A22" w:rsidP="00172CD9">
            <w:pPr>
              <w:pStyle w:val="Defaul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BC0A2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Das Unternehmen hat anzugeben, </w:t>
            </w:r>
            <w:r w:rsidRPr="00F8541C"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  <w:t>ob</w:t>
            </w:r>
            <w:r w:rsidRPr="00BC0A2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es </w:t>
            </w:r>
            <w:r w:rsidRPr="00BC0A2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interne </w:t>
            </w:r>
            <w:r w:rsidRPr="00F8541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highlight w:val="yellow"/>
              </w:rPr>
              <w:t>CO</w:t>
            </w:r>
            <w:r w:rsidRPr="00F8541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highlight w:val="yellow"/>
                <w:vertAlign w:val="subscript"/>
              </w:rPr>
              <w:t>2</w:t>
            </w:r>
            <w:r w:rsidRPr="00F8541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highlight w:val="yellow"/>
              </w:rPr>
              <w:t xml:space="preserve">-Bepreisungssysteme </w:t>
            </w:r>
            <w:r w:rsidRPr="00F8541C"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  <w:t>anwendet</w:t>
            </w:r>
            <w:r w:rsidRPr="00BC0A2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und – wenn ja – wie diese seine Entscheidungsfindung unterstützen und Anreize für die Umsetzung klimabezogener </w:t>
            </w:r>
            <w:r w:rsidRPr="00BC0A2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Strategien </w:t>
            </w:r>
            <w:r w:rsidRPr="00BC0A2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und </w:t>
            </w:r>
            <w:r w:rsidRPr="00BC0A22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Ziele </w:t>
            </w:r>
            <w:r w:rsidRPr="00BC0A22">
              <w:rPr>
                <w:rFonts w:ascii="Century Gothic" w:hAnsi="Century Gothic"/>
                <w:b/>
                <w:bCs/>
                <w:sz w:val="16"/>
                <w:szCs w:val="16"/>
              </w:rPr>
              <w:t>schaffen.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7E" w:rsidRPr="000E0C5F" w:rsidRDefault="0047207E" w:rsidP="00172CD9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7207E" w:rsidRPr="000E0C5F" w:rsidTr="00172CD9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1C5"/>
          </w:tcPr>
          <w:p w:rsidR="0047207E" w:rsidRPr="0015165A" w:rsidRDefault="0047207E" w:rsidP="00172CD9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 xml:space="preserve">Tz. </w:t>
            </w:r>
            <w:r w:rsidR="00BC0A22">
              <w:rPr>
                <w:sz w:val="16"/>
                <w:szCs w:val="16"/>
              </w:rPr>
              <w:t>63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2" w:rsidRPr="00A92DFB" w:rsidRDefault="00BC0A22" w:rsidP="00172CD9">
            <w:pPr>
              <w:pStyle w:val="Defaul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92DFB">
              <w:rPr>
                <w:rFonts w:ascii="Century Gothic" w:hAnsi="Century Gothic"/>
                <w:sz w:val="16"/>
                <w:szCs w:val="16"/>
              </w:rPr>
              <w:t xml:space="preserve">Die gemäß Absatz 62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erforderlichen Informationen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umfassen Folgendes:</w:t>
            </w:r>
          </w:p>
          <w:p w:rsidR="00BC0A22" w:rsidRPr="00A92DFB" w:rsidRDefault="00BC0A22" w:rsidP="00172CD9">
            <w:pPr>
              <w:pStyle w:val="Default"/>
              <w:numPr>
                <w:ilvl w:val="0"/>
                <w:numId w:val="28"/>
              </w:numPr>
              <w:ind w:left="46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92DFB">
              <w:rPr>
                <w:rFonts w:ascii="Century Gothic" w:hAnsi="Century Gothic"/>
                <w:sz w:val="16"/>
                <w:szCs w:val="16"/>
              </w:rPr>
              <w:t xml:space="preserve">die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Art des internen CO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  <w:vertAlign w:val="subscript"/>
              </w:rPr>
              <w:t>2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-Bepreisungssystems,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z. B. die für CapEx oder für Entscheidungen über Investitionen in Forschung und Entwicklung (</w:t>
            </w:r>
            <w:proofErr w:type="spellStart"/>
            <w:r w:rsidRPr="00A92DFB">
              <w:rPr>
                <w:rFonts w:ascii="Century Gothic" w:hAnsi="Century Gothic"/>
                <w:sz w:val="16"/>
                <w:szCs w:val="16"/>
              </w:rPr>
              <w:t>FuE</w:t>
            </w:r>
            <w:proofErr w:type="spellEnd"/>
            <w:r w:rsidRPr="00A92DFB">
              <w:rPr>
                <w:rFonts w:ascii="Century Gothic" w:hAnsi="Century Gothic"/>
                <w:sz w:val="16"/>
                <w:szCs w:val="16"/>
              </w:rPr>
              <w:t>) angewandten Schattenpreise, interne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A92DFB">
              <w:rPr>
                <w:rFonts w:ascii="Century Gothic" w:hAnsi="Century Gothic"/>
                <w:sz w:val="16"/>
                <w:szCs w:val="16"/>
              </w:rPr>
              <w:t>-Gebühren oder interne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A92DFB">
              <w:rPr>
                <w:rFonts w:ascii="Century Gothic" w:hAnsi="Century Gothic"/>
                <w:sz w:val="16"/>
                <w:szCs w:val="16"/>
              </w:rPr>
              <w:t>-Fonds,</w:t>
            </w:r>
          </w:p>
          <w:p w:rsidR="00BC0A22" w:rsidRPr="00A92DFB" w:rsidRDefault="00BC0A22" w:rsidP="00172CD9">
            <w:pPr>
              <w:pStyle w:val="Default"/>
              <w:numPr>
                <w:ilvl w:val="0"/>
                <w:numId w:val="28"/>
              </w:numPr>
              <w:ind w:left="46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den spezifischen Anwendungsbereich der CO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  <w:vertAlign w:val="subscript"/>
              </w:rPr>
              <w:t>2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-Bepreisungssysteme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(Tätigkeiten, geografische Angaben, Unternehmen usw.),</w:t>
            </w:r>
          </w:p>
          <w:p w:rsidR="00BC0A22" w:rsidRPr="00A92DFB" w:rsidRDefault="00BC0A22" w:rsidP="00172CD9">
            <w:pPr>
              <w:pStyle w:val="Default"/>
              <w:numPr>
                <w:ilvl w:val="0"/>
                <w:numId w:val="28"/>
              </w:numPr>
              <w:ind w:left="46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92DFB">
              <w:rPr>
                <w:rFonts w:ascii="Century Gothic" w:hAnsi="Century Gothic"/>
                <w:sz w:val="16"/>
                <w:szCs w:val="16"/>
              </w:rPr>
              <w:t xml:space="preserve">die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CO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  <w:vertAlign w:val="subscript"/>
              </w:rPr>
              <w:t>2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-Preise,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die je nach Art des Systems angewandt werden, und kritische Annahmen zur Bestimmung der Preise, einschließlich der Quelle der angewandten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A92DFB">
              <w:rPr>
                <w:rFonts w:ascii="Century Gothic" w:hAnsi="Century Gothic"/>
                <w:sz w:val="16"/>
                <w:szCs w:val="16"/>
              </w:rPr>
              <w:t>-Preise sowie die Gründe, aus denen diese Preise für die gewählte Anwendung als relevant erachtet werden. Das Unternehmen kann die Methode zur Berechnung der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A92DFB">
              <w:rPr>
                <w:rFonts w:ascii="Century Gothic" w:hAnsi="Century Gothic"/>
                <w:sz w:val="16"/>
                <w:szCs w:val="16"/>
              </w:rPr>
              <w:t>-Preise angeben, einschließlich des Umfangs, in dem diese Preise unter Verwendung wissenschaftlicher Leitlinien festgesetzt wurden, und der Art und Weise, wie ihre künftige Entwicklung mit wissenschaftlich fundierten Zielpfaden der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A92DFB">
              <w:rPr>
                <w:rFonts w:ascii="Century Gothic" w:hAnsi="Century Gothic"/>
                <w:sz w:val="16"/>
                <w:szCs w:val="16"/>
              </w:rPr>
              <w:t>-Bepreisung zusammenhängt, und</w:t>
            </w:r>
          </w:p>
          <w:p w:rsidR="0047207E" w:rsidRPr="00A92DFB" w:rsidRDefault="00BC0A22" w:rsidP="00172CD9">
            <w:pPr>
              <w:pStyle w:val="Default"/>
              <w:numPr>
                <w:ilvl w:val="0"/>
                <w:numId w:val="28"/>
              </w:numPr>
              <w:ind w:left="46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92DFB">
              <w:rPr>
                <w:rFonts w:ascii="Century Gothic" w:hAnsi="Century Gothic"/>
                <w:sz w:val="16"/>
                <w:szCs w:val="16"/>
              </w:rPr>
              <w:t xml:space="preserve">die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ungefähren Mengen der THG-Bruttoemissionen des laufenden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Jahres (</w:t>
            </w:r>
            <w:proofErr w:type="spellStart"/>
            <w:r w:rsidRPr="00A92DFB">
              <w:rPr>
                <w:rFonts w:ascii="Century Gothic" w:hAnsi="Century Gothic"/>
                <w:sz w:val="16"/>
                <w:szCs w:val="16"/>
              </w:rPr>
              <w:t>Scope</w:t>
            </w:r>
            <w:proofErr w:type="spellEnd"/>
            <w:r w:rsidRPr="00A92DFB">
              <w:rPr>
                <w:rFonts w:ascii="Century Gothic" w:hAnsi="Century Gothic"/>
                <w:sz w:val="16"/>
                <w:szCs w:val="16"/>
              </w:rPr>
              <w:t xml:space="preserve"> 1, 2 und gegebenenfalls </w:t>
            </w:r>
            <w:proofErr w:type="spellStart"/>
            <w:r w:rsidRPr="00A92DFB">
              <w:rPr>
                <w:rFonts w:ascii="Century Gothic" w:hAnsi="Century Gothic"/>
                <w:sz w:val="16"/>
                <w:szCs w:val="16"/>
              </w:rPr>
              <w:t>Scope</w:t>
            </w:r>
            <w:proofErr w:type="spellEnd"/>
            <w:r w:rsidRPr="00A92DFB">
              <w:rPr>
                <w:rFonts w:ascii="Century Gothic" w:hAnsi="Century Gothic"/>
                <w:sz w:val="16"/>
                <w:szCs w:val="16"/>
              </w:rPr>
              <w:t xml:space="preserve"> 3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) in Tonnen CO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  <w:vertAlign w:val="subscript"/>
              </w:rPr>
              <w:t>2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-Äquivalent, die unter diese Systeme fallen, sowie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ihren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Anteil</w:t>
            </w:r>
            <w:r w:rsidRPr="00A92DFB">
              <w:rPr>
                <w:rFonts w:ascii="Century Gothic" w:hAnsi="Century Gothic"/>
                <w:sz w:val="16"/>
                <w:szCs w:val="16"/>
              </w:rPr>
              <w:t xml:space="preserve"> an den THG-Gesamtemissionen des Unternehmens für jeden </w:t>
            </w:r>
            <w:proofErr w:type="spellStart"/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Scope</w:t>
            </w:r>
            <w:proofErr w:type="spellEnd"/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7E" w:rsidRPr="000E0C5F" w:rsidRDefault="0047207E" w:rsidP="00172CD9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710BC" w:rsidRDefault="002710BC"/>
    <w:p w:rsidR="002710BC" w:rsidRDefault="002710BC" w:rsidP="002710BC">
      <w:pPr>
        <w:pStyle w:val="Standardeinzug"/>
      </w:pPr>
      <w:r>
        <w:br w:type="page"/>
      </w:r>
      <w:bookmarkStart w:id="1" w:name="_GoBack"/>
      <w:bookmarkEnd w:id="1"/>
    </w:p>
    <w:p w:rsidR="00781064" w:rsidRDefault="00781064"/>
    <w:tbl>
      <w:tblPr>
        <w:tblStyle w:val="Gitternetztabelle4Akzent6"/>
        <w:tblW w:w="908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8B22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"/>
        <w:gridCol w:w="978"/>
        <w:gridCol w:w="10"/>
        <w:gridCol w:w="6231"/>
        <w:gridCol w:w="435"/>
        <w:gridCol w:w="699"/>
        <w:gridCol w:w="710"/>
        <w:gridCol w:w="10"/>
      </w:tblGrid>
      <w:tr w:rsidR="002710BC" w:rsidTr="004428D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F1C5"/>
          </w:tcPr>
          <w:p w:rsidR="002710BC" w:rsidRPr="005948B1" w:rsidRDefault="002710BC" w:rsidP="005F328B">
            <w:pPr>
              <w:spacing w:beforeLines="60" w:before="144" w:afterLines="60" w:after="144"/>
              <w:rPr>
                <w:color w:val="000000" w:themeColor="text1"/>
                <w:sz w:val="20"/>
                <w:szCs w:val="20"/>
              </w:rPr>
            </w:pPr>
            <w:r w:rsidRPr="005948B1">
              <w:rPr>
                <w:color w:val="000000" w:themeColor="text1"/>
                <w:sz w:val="20"/>
                <w:szCs w:val="20"/>
              </w:rPr>
              <w:t>E1-8</w:t>
            </w:r>
          </w:p>
        </w:tc>
        <w:tc>
          <w:tcPr>
            <w:tcW w:w="66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F1C5"/>
          </w:tcPr>
          <w:p w:rsidR="002710BC" w:rsidRPr="005948B1" w:rsidRDefault="002710BC" w:rsidP="005F328B">
            <w:pPr>
              <w:spacing w:beforeLines="60" w:before="144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948B1">
              <w:rPr>
                <w:color w:val="auto"/>
                <w:sz w:val="20"/>
                <w:szCs w:val="20"/>
              </w:rPr>
              <w:t>Interne CO</w:t>
            </w:r>
            <w:r w:rsidRPr="005948B1">
              <w:rPr>
                <w:color w:val="auto"/>
                <w:sz w:val="20"/>
                <w:szCs w:val="20"/>
                <w:vertAlign w:val="subscript"/>
              </w:rPr>
              <w:t>2</w:t>
            </w:r>
            <w:r w:rsidRPr="005948B1">
              <w:rPr>
                <w:color w:val="auto"/>
                <w:sz w:val="20"/>
                <w:szCs w:val="20"/>
              </w:rPr>
              <w:t>-Bepreisung</w:t>
            </w:r>
          </w:p>
        </w:tc>
        <w:tc>
          <w:tcPr>
            <w:tcW w:w="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710BC" w:rsidRPr="003C0F68" w:rsidRDefault="002710BC" w:rsidP="005F328B">
            <w:pPr>
              <w:spacing w:beforeLines="60" w:before="144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710BC" w:rsidRPr="00453511" w:rsidRDefault="002E3D93" w:rsidP="005F328B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710BC" w:rsidRPr="004428D1" w:rsidTr="004428D1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auto"/>
            <w:vAlign w:val="center"/>
          </w:tcPr>
          <w:p w:rsidR="002710BC" w:rsidRPr="004428D1" w:rsidRDefault="002710BC" w:rsidP="004428D1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2710BC" w:rsidRPr="00122B7B" w:rsidTr="004428D1">
        <w:tblPrEx>
          <w:shd w:val="clear" w:color="auto" w:fill="auto"/>
        </w:tblPrEx>
        <w:trPr>
          <w:gridAfter w:val="1"/>
          <w:wAfter w:w="10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D9D9D9" w:themeFill="background1" w:themeFillShade="D9"/>
            <w:vAlign w:val="center"/>
          </w:tcPr>
          <w:p w:rsidR="002710BC" w:rsidRPr="00122B7B" w:rsidRDefault="002710BC" w:rsidP="004428D1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B7B">
              <w:rPr>
                <w:color w:val="000000" w:themeColor="text1"/>
                <w:sz w:val="20"/>
                <w:szCs w:val="20"/>
              </w:rPr>
              <w:t xml:space="preserve">Teil </w:t>
            </w:r>
            <w:r>
              <w:rPr>
                <w:color w:val="000000" w:themeColor="text1"/>
                <w:sz w:val="20"/>
                <w:szCs w:val="20"/>
              </w:rPr>
              <w:t xml:space="preserve">2: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Application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Requirements</w:t>
            </w:r>
            <w:proofErr w:type="spellEnd"/>
          </w:p>
        </w:tc>
      </w:tr>
      <w:tr w:rsidR="002710BC" w:rsidRPr="004428D1" w:rsidTr="004428D1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7"/>
            <w:shd w:val="clear" w:color="auto" w:fill="auto"/>
            <w:vAlign w:val="center"/>
          </w:tcPr>
          <w:p w:rsidR="002710BC" w:rsidRPr="004428D1" w:rsidRDefault="002710BC" w:rsidP="004428D1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2710BC" w:rsidRPr="002710BC" w:rsidTr="004428D1">
        <w:trPr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2710BC" w:rsidRPr="002710BC" w:rsidRDefault="002710BC" w:rsidP="004428D1">
            <w:pPr>
              <w:spacing w:before="0"/>
              <w:contextualSpacing/>
              <w:jc w:val="center"/>
              <w:rPr>
                <w:color w:val="FFFFFF" w:themeColor="background1"/>
                <w:sz w:val="20"/>
                <w:szCs w:val="20"/>
              </w:rPr>
            </w:pPr>
            <w:r w:rsidRPr="002710BC">
              <w:rPr>
                <w:color w:val="FFFFFF" w:themeColor="background1"/>
                <w:sz w:val="20"/>
                <w:szCs w:val="20"/>
              </w:rPr>
              <w:t>Quelle ESRS E1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2710BC" w:rsidRPr="002710BC" w:rsidRDefault="002710BC" w:rsidP="004428D1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2710BC">
              <w:rPr>
                <w:b/>
                <w:color w:val="FFFFFF" w:themeColor="background1"/>
                <w:sz w:val="20"/>
                <w:szCs w:val="20"/>
              </w:rPr>
              <w:t>Parameter und Ziele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2710BC" w:rsidRPr="002710BC" w:rsidRDefault="002710BC" w:rsidP="004428D1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710BC">
              <w:rPr>
                <w:b/>
                <w:color w:val="FFFFFF" w:themeColor="background1"/>
                <w:sz w:val="16"/>
                <w:szCs w:val="16"/>
              </w:rPr>
              <w:t>Bemerkungen, ggf. Verweis auf Datenpunkte</w:t>
            </w:r>
          </w:p>
        </w:tc>
      </w:tr>
      <w:tr w:rsidR="00990776" w:rsidRPr="00403766" w:rsidTr="0044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0776" w:rsidRPr="00A92DFB" w:rsidRDefault="00990776" w:rsidP="004428D1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A92DFB">
              <w:rPr>
                <w:sz w:val="16"/>
                <w:szCs w:val="16"/>
              </w:rPr>
              <w:t xml:space="preserve">AR </w:t>
            </w:r>
            <w:r w:rsidR="00A92DFB">
              <w:rPr>
                <w:sz w:val="16"/>
                <w:szCs w:val="16"/>
              </w:rPr>
              <w:t>65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EB" w:rsidRPr="00054DEB" w:rsidRDefault="00054DEB" w:rsidP="004428D1">
            <w:pPr>
              <w:pStyle w:val="Defaul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054DEB">
              <w:rPr>
                <w:rFonts w:ascii="Century Gothic" w:hAnsi="Century Gothic"/>
                <w:sz w:val="16"/>
                <w:szCs w:val="16"/>
              </w:rPr>
              <w:t xml:space="preserve">Bei der Angabe der nach den Absätzen 62 und 63 erforderlichen Informationen erläutert das Unternehmen kurz,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ob</w:t>
            </w:r>
            <w:r w:rsidRPr="00054DEB">
              <w:rPr>
                <w:rFonts w:ascii="Century Gothic" w:hAnsi="Century Gothic"/>
                <w:sz w:val="16"/>
                <w:szCs w:val="16"/>
              </w:rPr>
              <w:t xml:space="preserve"> und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inwiefern</w:t>
            </w:r>
            <w:r w:rsidRPr="00054DEB">
              <w:rPr>
                <w:rFonts w:ascii="Century Gothic" w:hAnsi="Century Gothic"/>
                <w:sz w:val="16"/>
                <w:szCs w:val="16"/>
              </w:rPr>
              <w:t xml:space="preserve"> die 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CO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  <w:vertAlign w:val="subscript"/>
              </w:rPr>
              <w:t>2</w:t>
            </w:r>
            <w:r w:rsidRPr="00F8541C">
              <w:rPr>
                <w:rFonts w:ascii="Century Gothic" w:hAnsi="Century Gothic"/>
                <w:sz w:val="16"/>
                <w:szCs w:val="16"/>
                <w:highlight w:val="yellow"/>
              </w:rPr>
              <w:t>-Preise,</w:t>
            </w:r>
            <w:r w:rsidRPr="00054DEB">
              <w:rPr>
                <w:rFonts w:ascii="Century Gothic" w:hAnsi="Century Gothic"/>
                <w:sz w:val="16"/>
                <w:szCs w:val="16"/>
              </w:rPr>
              <w:t xml:space="preserve"> die in internen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054DEB">
              <w:rPr>
                <w:rFonts w:ascii="Century Gothic" w:hAnsi="Century Gothic"/>
                <w:sz w:val="16"/>
                <w:szCs w:val="16"/>
              </w:rPr>
              <w:t>-Bepreisungssystemen verwendet werden, mit den in den Abschlüssen verwendeten Preisen übereinstimmen. Dies erfolgt unter Berücksichtigung der internen CO</w:t>
            </w:r>
            <w:r w:rsidRPr="00054DEB">
              <w:rPr>
                <w:rFonts w:ascii="Century Gothic" w:hAnsi="Century Gothic"/>
                <w:sz w:val="16"/>
                <w:szCs w:val="16"/>
                <w:vertAlign w:val="subscript"/>
              </w:rPr>
              <w:t>2</w:t>
            </w:r>
            <w:r w:rsidRPr="00054DEB">
              <w:rPr>
                <w:rFonts w:ascii="Century Gothic" w:hAnsi="Century Gothic"/>
                <w:sz w:val="16"/>
                <w:szCs w:val="16"/>
              </w:rPr>
              <w:t>-Preise, die für Folgendes verwendet werden:</w:t>
            </w:r>
          </w:p>
          <w:p w:rsidR="00054DEB" w:rsidRPr="00054DEB" w:rsidRDefault="00054DEB" w:rsidP="004428D1">
            <w:pPr>
              <w:pStyle w:val="Default"/>
              <w:numPr>
                <w:ilvl w:val="0"/>
                <w:numId w:val="25"/>
              </w:numPr>
              <w:ind w:left="48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054DEB">
              <w:rPr>
                <w:rFonts w:ascii="Century Gothic" w:hAnsi="Century Gothic"/>
                <w:sz w:val="16"/>
                <w:szCs w:val="16"/>
              </w:rPr>
              <w:t>die Bewertung der Nutzungsdauer und des Restwerts seiner Vermögenswerte (immaterielle Wirtschaftsgüter, Sachanlagen),</w:t>
            </w:r>
          </w:p>
          <w:p w:rsidR="00054DEB" w:rsidRPr="00054DEB" w:rsidRDefault="00054DEB" w:rsidP="004428D1">
            <w:pPr>
              <w:pStyle w:val="Default"/>
              <w:numPr>
                <w:ilvl w:val="0"/>
                <w:numId w:val="25"/>
              </w:numPr>
              <w:ind w:left="48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054DEB">
              <w:rPr>
                <w:rFonts w:ascii="Century Gothic" w:hAnsi="Century Gothic"/>
                <w:sz w:val="16"/>
                <w:szCs w:val="16"/>
              </w:rPr>
              <w:t>die Wertminderung von Vermögenswerten und</w:t>
            </w:r>
          </w:p>
          <w:p w:rsidR="00990776" w:rsidRPr="00054DEB" w:rsidRDefault="00054DEB" w:rsidP="004428D1">
            <w:pPr>
              <w:pStyle w:val="Default"/>
              <w:numPr>
                <w:ilvl w:val="0"/>
                <w:numId w:val="25"/>
              </w:numPr>
              <w:ind w:left="48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054DEB">
              <w:rPr>
                <w:rFonts w:ascii="Century Gothic" w:hAnsi="Century Gothic"/>
                <w:sz w:val="16"/>
                <w:szCs w:val="16"/>
              </w:rPr>
              <w:t>die Bemessung des beizulegenden Zeitwerts von durch Unternehmensübernahmen erworbenen Vermögenswerten.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76" w:rsidRPr="00403766" w:rsidRDefault="00990776" w:rsidP="004428D1">
            <w:pPr>
              <w:spacing w:befor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90776" w:rsidRPr="008E116B" w:rsidTr="004428D1">
        <w:tblPrEx>
          <w:shd w:val="clear" w:color="auto" w:fill="auto"/>
        </w:tblPrEx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0776" w:rsidRPr="0015165A" w:rsidRDefault="00990776" w:rsidP="004428D1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 xml:space="preserve">AR </w:t>
            </w:r>
            <w:r w:rsidR="00054DEB">
              <w:rPr>
                <w:sz w:val="16"/>
                <w:szCs w:val="16"/>
              </w:rPr>
              <w:t>66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66" w:rsidRPr="00A13766" w:rsidRDefault="00781064" w:rsidP="004428D1">
            <w:pPr>
              <w:pStyle w:val="Defaul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805517" cy="1449619"/>
                  <wp:effectExtent l="0" t="0" r="508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671" cy="146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76" w:rsidRPr="008E116B" w:rsidRDefault="00990776" w:rsidP="004428D1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97728F" w:rsidRPr="00781064" w:rsidRDefault="0097728F" w:rsidP="00781064"/>
    <w:sectPr w:rsidR="0097728F" w:rsidRPr="00781064" w:rsidSect="00665F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F9515A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F9515A" w:rsidRDefault="00F9515A" w:rsidP="00F9515A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109451488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F9515A" w:rsidRDefault="00F9515A" w:rsidP="00F9515A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F9515A" w:rsidRDefault="00F9515A" w:rsidP="00F9515A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6A7B446" wp14:editId="4ABBCCA7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F9515A" w:rsidRDefault="00F9515A" w:rsidP="00F9515A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1A6F9BD" wp14:editId="1DC77DB0">
                <wp:extent cx="1151255" cy="431800"/>
                <wp:effectExtent l="0" t="0" r="0" b="635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F9515A" w:rsidRDefault="00F9515A" w:rsidP="00F9515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20</w:t>
          </w:r>
        </w:p>
        <w:p w:rsidR="00F9515A" w:rsidRDefault="00F9515A" w:rsidP="00F9515A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F9515A" w:rsidRDefault="009E6C29" w:rsidP="00F9515A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F9515A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F9515A" w:rsidRDefault="00F9515A" w:rsidP="00F9515A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F9515A" w:rsidRDefault="00F9515A" w:rsidP="00F9515A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F9515A" w:rsidRDefault="00F9515A" w:rsidP="00F9515A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6A7B446" wp14:editId="4ABBCCA7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F9515A" w:rsidRDefault="00F9515A" w:rsidP="00F9515A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1A6F9BD" wp14:editId="1DC77DB0">
                <wp:extent cx="1151255" cy="4318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F9515A" w:rsidRDefault="00F9515A" w:rsidP="00F9515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20</w:t>
          </w:r>
        </w:p>
        <w:p w:rsidR="00F9515A" w:rsidRDefault="00F9515A" w:rsidP="00F9515A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F9515A" w:rsidRDefault="009E6C29" w:rsidP="00F9515A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9E6C29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E9451E"/>
    <w:multiLevelType w:val="hybridMultilevel"/>
    <w:tmpl w:val="8208F07E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015A51"/>
    <w:multiLevelType w:val="hybridMultilevel"/>
    <w:tmpl w:val="E3A4866A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464A"/>
    <w:multiLevelType w:val="hybridMultilevel"/>
    <w:tmpl w:val="54ACAADC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066DF"/>
    <w:multiLevelType w:val="hybridMultilevel"/>
    <w:tmpl w:val="DD2EA8C0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AFF"/>
    <w:multiLevelType w:val="hybridMultilevel"/>
    <w:tmpl w:val="32D0C22A"/>
    <w:lvl w:ilvl="0" w:tplc="61BA8D7C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4754C"/>
    <w:multiLevelType w:val="hybridMultilevel"/>
    <w:tmpl w:val="C47C5052"/>
    <w:lvl w:ilvl="0" w:tplc="D676242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B47C9"/>
    <w:multiLevelType w:val="hybridMultilevel"/>
    <w:tmpl w:val="1E04C04A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7DAD"/>
    <w:multiLevelType w:val="hybridMultilevel"/>
    <w:tmpl w:val="2702C6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23359"/>
    <w:multiLevelType w:val="hybridMultilevel"/>
    <w:tmpl w:val="934AEA60"/>
    <w:lvl w:ilvl="0" w:tplc="1784AA2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C6DC7"/>
    <w:multiLevelType w:val="hybridMultilevel"/>
    <w:tmpl w:val="87984E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F3E0E30"/>
    <w:multiLevelType w:val="hybridMultilevel"/>
    <w:tmpl w:val="501CAA2E"/>
    <w:lvl w:ilvl="0" w:tplc="D676242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80A5E"/>
    <w:multiLevelType w:val="hybridMultilevel"/>
    <w:tmpl w:val="508C8514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9388D"/>
    <w:multiLevelType w:val="hybridMultilevel"/>
    <w:tmpl w:val="A086AA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576"/>
    <w:multiLevelType w:val="hybridMultilevel"/>
    <w:tmpl w:val="334A026C"/>
    <w:lvl w:ilvl="0" w:tplc="289C2F4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5A3B"/>
    <w:multiLevelType w:val="hybridMultilevel"/>
    <w:tmpl w:val="C7DE2254"/>
    <w:lvl w:ilvl="0" w:tplc="5C9667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41DCC"/>
    <w:multiLevelType w:val="hybridMultilevel"/>
    <w:tmpl w:val="533CAA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0"/>
  </w:num>
  <w:num w:numId="13">
    <w:abstractNumId w:val="15"/>
  </w:num>
  <w:num w:numId="14">
    <w:abstractNumId w:val="16"/>
  </w:num>
  <w:num w:numId="15">
    <w:abstractNumId w:val="26"/>
  </w:num>
  <w:num w:numId="16">
    <w:abstractNumId w:val="21"/>
  </w:num>
  <w:num w:numId="17">
    <w:abstractNumId w:val="23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12"/>
  </w:num>
  <w:num w:numId="23">
    <w:abstractNumId w:val="18"/>
  </w:num>
  <w:num w:numId="24">
    <w:abstractNumId w:val="22"/>
  </w:num>
  <w:num w:numId="25">
    <w:abstractNumId w:val="25"/>
  </w:num>
  <w:num w:numId="26">
    <w:abstractNumId w:val="19"/>
  </w:num>
  <w:num w:numId="27">
    <w:abstractNumId w:val="8"/>
  </w:num>
  <w:num w:numId="2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13D0"/>
    <w:rsid w:val="0002748A"/>
    <w:rsid w:val="00030ECD"/>
    <w:rsid w:val="0003242D"/>
    <w:rsid w:val="0003449D"/>
    <w:rsid w:val="0004061E"/>
    <w:rsid w:val="0004096F"/>
    <w:rsid w:val="000457B8"/>
    <w:rsid w:val="000503CF"/>
    <w:rsid w:val="0005326E"/>
    <w:rsid w:val="00054DEB"/>
    <w:rsid w:val="000616B8"/>
    <w:rsid w:val="00064F40"/>
    <w:rsid w:val="000732FA"/>
    <w:rsid w:val="00075E7C"/>
    <w:rsid w:val="00080B9A"/>
    <w:rsid w:val="00086B8A"/>
    <w:rsid w:val="0009344D"/>
    <w:rsid w:val="00097B2B"/>
    <w:rsid w:val="000B1337"/>
    <w:rsid w:val="000C61BA"/>
    <w:rsid w:val="000D349D"/>
    <w:rsid w:val="000D6428"/>
    <w:rsid w:val="000E0C5F"/>
    <w:rsid w:val="000E26F7"/>
    <w:rsid w:val="000E57B4"/>
    <w:rsid w:val="000F2D44"/>
    <w:rsid w:val="00106BBE"/>
    <w:rsid w:val="00111AC6"/>
    <w:rsid w:val="00114EA5"/>
    <w:rsid w:val="00115916"/>
    <w:rsid w:val="001205E2"/>
    <w:rsid w:val="00130748"/>
    <w:rsid w:val="00140F86"/>
    <w:rsid w:val="00143F11"/>
    <w:rsid w:val="001468B7"/>
    <w:rsid w:val="0015165A"/>
    <w:rsid w:val="001610A2"/>
    <w:rsid w:val="00165A53"/>
    <w:rsid w:val="00172CD9"/>
    <w:rsid w:val="00180880"/>
    <w:rsid w:val="00182B83"/>
    <w:rsid w:val="00184E10"/>
    <w:rsid w:val="0019585B"/>
    <w:rsid w:val="001A1B58"/>
    <w:rsid w:val="001A6337"/>
    <w:rsid w:val="001B3F50"/>
    <w:rsid w:val="001B7418"/>
    <w:rsid w:val="001B7E25"/>
    <w:rsid w:val="001C0D6B"/>
    <w:rsid w:val="001C1789"/>
    <w:rsid w:val="001D22E2"/>
    <w:rsid w:val="001E1F96"/>
    <w:rsid w:val="001E38E2"/>
    <w:rsid w:val="001E7A82"/>
    <w:rsid w:val="001F04DD"/>
    <w:rsid w:val="001F2D4D"/>
    <w:rsid w:val="002051B1"/>
    <w:rsid w:val="002065BE"/>
    <w:rsid w:val="0021047B"/>
    <w:rsid w:val="00211FF0"/>
    <w:rsid w:val="00213C34"/>
    <w:rsid w:val="00222629"/>
    <w:rsid w:val="00257647"/>
    <w:rsid w:val="002710BC"/>
    <w:rsid w:val="002717FB"/>
    <w:rsid w:val="00280D52"/>
    <w:rsid w:val="00283F41"/>
    <w:rsid w:val="00284FA6"/>
    <w:rsid w:val="00285560"/>
    <w:rsid w:val="00285C0D"/>
    <w:rsid w:val="00290924"/>
    <w:rsid w:val="00291F83"/>
    <w:rsid w:val="0029592F"/>
    <w:rsid w:val="002A064F"/>
    <w:rsid w:val="002A0C98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E3D93"/>
    <w:rsid w:val="002F09D8"/>
    <w:rsid w:val="002F6B99"/>
    <w:rsid w:val="002F771F"/>
    <w:rsid w:val="00301DCE"/>
    <w:rsid w:val="00304799"/>
    <w:rsid w:val="00305D9F"/>
    <w:rsid w:val="00340216"/>
    <w:rsid w:val="00342964"/>
    <w:rsid w:val="00352142"/>
    <w:rsid w:val="00354556"/>
    <w:rsid w:val="00360F3D"/>
    <w:rsid w:val="00364269"/>
    <w:rsid w:val="003703D1"/>
    <w:rsid w:val="00376DCD"/>
    <w:rsid w:val="00382BCD"/>
    <w:rsid w:val="003875E4"/>
    <w:rsid w:val="003932A1"/>
    <w:rsid w:val="003A6CCF"/>
    <w:rsid w:val="003A6FEB"/>
    <w:rsid w:val="003A7861"/>
    <w:rsid w:val="003B420D"/>
    <w:rsid w:val="003D15FE"/>
    <w:rsid w:val="003E348F"/>
    <w:rsid w:val="003E5835"/>
    <w:rsid w:val="003F1B18"/>
    <w:rsid w:val="00402C0A"/>
    <w:rsid w:val="00403766"/>
    <w:rsid w:val="004076E9"/>
    <w:rsid w:val="0041402E"/>
    <w:rsid w:val="00414D05"/>
    <w:rsid w:val="00416098"/>
    <w:rsid w:val="00416270"/>
    <w:rsid w:val="00424009"/>
    <w:rsid w:val="004248A0"/>
    <w:rsid w:val="00425D64"/>
    <w:rsid w:val="004279BD"/>
    <w:rsid w:val="0043323A"/>
    <w:rsid w:val="00433509"/>
    <w:rsid w:val="00440D21"/>
    <w:rsid w:val="004428D1"/>
    <w:rsid w:val="00445BB8"/>
    <w:rsid w:val="0044742E"/>
    <w:rsid w:val="00453511"/>
    <w:rsid w:val="00454705"/>
    <w:rsid w:val="00465DB3"/>
    <w:rsid w:val="0047207E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26C2"/>
    <w:rsid w:val="00516C43"/>
    <w:rsid w:val="0052103B"/>
    <w:rsid w:val="00523480"/>
    <w:rsid w:val="00524EF3"/>
    <w:rsid w:val="00525CDB"/>
    <w:rsid w:val="00527267"/>
    <w:rsid w:val="00527970"/>
    <w:rsid w:val="00533698"/>
    <w:rsid w:val="00534A4B"/>
    <w:rsid w:val="00537185"/>
    <w:rsid w:val="005473EF"/>
    <w:rsid w:val="0055136F"/>
    <w:rsid w:val="0055156D"/>
    <w:rsid w:val="00557E86"/>
    <w:rsid w:val="00567521"/>
    <w:rsid w:val="005716AB"/>
    <w:rsid w:val="00583AA1"/>
    <w:rsid w:val="0058527F"/>
    <w:rsid w:val="00585859"/>
    <w:rsid w:val="005913EC"/>
    <w:rsid w:val="005921A2"/>
    <w:rsid w:val="005948B1"/>
    <w:rsid w:val="00594C08"/>
    <w:rsid w:val="005967E6"/>
    <w:rsid w:val="005A05DD"/>
    <w:rsid w:val="005B024A"/>
    <w:rsid w:val="005B57D7"/>
    <w:rsid w:val="005B7F7F"/>
    <w:rsid w:val="005C1C85"/>
    <w:rsid w:val="005C5708"/>
    <w:rsid w:val="005C7EB5"/>
    <w:rsid w:val="005D1825"/>
    <w:rsid w:val="005D26BD"/>
    <w:rsid w:val="005D2A74"/>
    <w:rsid w:val="005D4260"/>
    <w:rsid w:val="005D7367"/>
    <w:rsid w:val="005E0577"/>
    <w:rsid w:val="005E07BD"/>
    <w:rsid w:val="005E7803"/>
    <w:rsid w:val="005F6F40"/>
    <w:rsid w:val="00632C1A"/>
    <w:rsid w:val="006415FE"/>
    <w:rsid w:val="006454CF"/>
    <w:rsid w:val="0065198F"/>
    <w:rsid w:val="006521FF"/>
    <w:rsid w:val="00664FBF"/>
    <w:rsid w:val="00665F75"/>
    <w:rsid w:val="00666AFB"/>
    <w:rsid w:val="0066763B"/>
    <w:rsid w:val="0068164E"/>
    <w:rsid w:val="00683928"/>
    <w:rsid w:val="00684B37"/>
    <w:rsid w:val="006A27FA"/>
    <w:rsid w:val="006B7120"/>
    <w:rsid w:val="006C4228"/>
    <w:rsid w:val="006D45A1"/>
    <w:rsid w:val="006D7242"/>
    <w:rsid w:val="006E24F6"/>
    <w:rsid w:val="006E7126"/>
    <w:rsid w:val="006F281C"/>
    <w:rsid w:val="007024CA"/>
    <w:rsid w:val="007026D1"/>
    <w:rsid w:val="00706147"/>
    <w:rsid w:val="00711AB6"/>
    <w:rsid w:val="00715003"/>
    <w:rsid w:val="00716DD5"/>
    <w:rsid w:val="00720E5C"/>
    <w:rsid w:val="00740CB3"/>
    <w:rsid w:val="00742EA1"/>
    <w:rsid w:val="00744772"/>
    <w:rsid w:val="00744C9A"/>
    <w:rsid w:val="007506E6"/>
    <w:rsid w:val="00762112"/>
    <w:rsid w:val="007626C5"/>
    <w:rsid w:val="00763FC1"/>
    <w:rsid w:val="007648E0"/>
    <w:rsid w:val="00765666"/>
    <w:rsid w:val="00772791"/>
    <w:rsid w:val="00781064"/>
    <w:rsid w:val="0078728B"/>
    <w:rsid w:val="00790130"/>
    <w:rsid w:val="00796513"/>
    <w:rsid w:val="007A060E"/>
    <w:rsid w:val="007A0F21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076E9"/>
    <w:rsid w:val="0081072B"/>
    <w:rsid w:val="008248D3"/>
    <w:rsid w:val="00834FC0"/>
    <w:rsid w:val="008471C9"/>
    <w:rsid w:val="008507A2"/>
    <w:rsid w:val="00855B99"/>
    <w:rsid w:val="00861273"/>
    <w:rsid w:val="00862DDF"/>
    <w:rsid w:val="00862F74"/>
    <w:rsid w:val="00870FFE"/>
    <w:rsid w:val="00872C95"/>
    <w:rsid w:val="00872F5F"/>
    <w:rsid w:val="0087591D"/>
    <w:rsid w:val="008764C8"/>
    <w:rsid w:val="00877AC0"/>
    <w:rsid w:val="0088020C"/>
    <w:rsid w:val="00884570"/>
    <w:rsid w:val="00891EEA"/>
    <w:rsid w:val="008934ED"/>
    <w:rsid w:val="008976BA"/>
    <w:rsid w:val="008A5560"/>
    <w:rsid w:val="008B4862"/>
    <w:rsid w:val="008C44B0"/>
    <w:rsid w:val="008C4725"/>
    <w:rsid w:val="008D1A8E"/>
    <w:rsid w:val="008E0D82"/>
    <w:rsid w:val="008E0FC7"/>
    <w:rsid w:val="008E116B"/>
    <w:rsid w:val="008F75E7"/>
    <w:rsid w:val="009075A9"/>
    <w:rsid w:val="009212B4"/>
    <w:rsid w:val="00934C5B"/>
    <w:rsid w:val="0095198B"/>
    <w:rsid w:val="00952AD1"/>
    <w:rsid w:val="00970211"/>
    <w:rsid w:val="009760D0"/>
    <w:rsid w:val="00977270"/>
    <w:rsid w:val="0097728F"/>
    <w:rsid w:val="009773FE"/>
    <w:rsid w:val="00984AAE"/>
    <w:rsid w:val="00985A96"/>
    <w:rsid w:val="00990776"/>
    <w:rsid w:val="0099236A"/>
    <w:rsid w:val="009A6E64"/>
    <w:rsid w:val="009C0A38"/>
    <w:rsid w:val="009C1E3E"/>
    <w:rsid w:val="009C2FF2"/>
    <w:rsid w:val="009C542C"/>
    <w:rsid w:val="009C6EFB"/>
    <w:rsid w:val="009C7454"/>
    <w:rsid w:val="009C7804"/>
    <w:rsid w:val="009D0798"/>
    <w:rsid w:val="009D429E"/>
    <w:rsid w:val="009E1FB1"/>
    <w:rsid w:val="009E52C9"/>
    <w:rsid w:val="009E6C29"/>
    <w:rsid w:val="009F6E01"/>
    <w:rsid w:val="009F7D84"/>
    <w:rsid w:val="00A06317"/>
    <w:rsid w:val="00A13766"/>
    <w:rsid w:val="00A14850"/>
    <w:rsid w:val="00A237ED"/>
    <w:rsid w:val="00A23F62"/>
    <w:rsid w:val="00A31197"/>
    <w:rsid w:val="00A5114A"/>
    <w:rsid w:val="00A613A1"/>
    <w:rsid w:val="00A62C9B"/>
    <w:rsid w:val="00A649A3"/>
    <w:rsid w:val="00A7113B"/>
    <w:rsid w:val="00A75CE3"/>
    <w:rsid w:val="00A8486F"/>
    <w:rsid w:val="00A87FE5"/>
    <w:rsid w:val="00A90655"/>
    <w:rsid w:val="00A92DFB"/>
    <w:rsid w:val="00A92E8B"/>
    <w:rsid w:val="00A946ED"/>
    <w:rsid w:val="00AA65D6"/>
    <w:rsid w:val="00AB613B"/>
    <w:rsid w:val="00AC17EE"/>
    <w:rsid w:val="00AC20E5"/>
    <w:rsid w:val="00AC3CBC"/>
    <w:rsid w:val="00AE290A"/>
    <w:rsid w:val="00AF1983"/>
    <w:rsid w:val="00AF4845"/>
    <w:rsid w:val="00AF76A2"/>
    <w:rsid w:val="00B114B0"/>
    <w:rsid w:val="00B1324F"/>
    <w:rsid w:val="00B13741"/>
    <w:rsid w:val="00B15817"/>
    <w:rsid w:val="00B1680D"/>
    <w:rsid w:val="00B175D2"/>
    <w:rsid w:val="00B2286E"/>
    <w:rsid w:val="00B22993"/>
    <w:rsid w:val="00B261B2"/>
    <w:rsid w:val="00B34064"/>
    <w:rsid w:val="00B3475C"/>
    <w:rsid w:val="00B451B0"/>
    <w:rsid w:val="00B50770"/>
    <w:rsid w:val="00B6345C"/>
    <w:rsid w:val="00B66196"/>
    <w:rsid w:val="00B6637D"/>
    <w:rsid w:val="00B73242"/>
    <w:rsid w:val="00B760B6"/>
    <w:rsid w:val="00B77530"/>
    <w:rsid w:val="00B84813"/>
    <w:rsid w:val="00B870E2"/>
    <w:rsid w:val="00B91F5A"/>
    <w:rsid w:val="00BA02EC"/>
    <w:rsid w:val="00BA1533"/>
    <w:rsid w:val="00BA1564"/>
    <w:rsid w:val="00BA7590"/>
    <w:rsid w:val="00BB730F"/>
    <w:rsid w:val="00BB7EE1"/>
    <w:rsid w:val="00BC0A22"/>
    <w:rsid w:val="00BC0E3E"/>
    <w:rsid w:val="00BC6A51"/>
    <w:rsid w:val="00BD2864"/>
    <w:rsid w:val="00BD37FF"/>
    <w:rsid w:val="00BD62C0"/>
    <w:rsid w:val="00BE0165"/>
    <w:rsid w:val="00BE368B"/>
    <w:rsid w:val="00BE4FB5"/>
    <w:rsid w:val="00BF0354"/>
    <w:rsid w:val="00BF2B89"/>
    <w:rsid w:val="00BF7EB9"/>
    <w:rsid w:val="00C03EEC"/>
    <w:rsid w:val="00C10F24"/>
    <w:rsid w:val="00C24E59"/>
    <w:rsid w:val="00C30D7D"/>
    <w:rsid w:val="00C407A8"/>
    <w:rsid w:val="00C43D74"/>
    <w:rsid w:val="00C470A2"/>
    <w:rsid w:val="00C50BAE"/>
    <w:rsid w:val="00C55BF4"/>
    <w:rsid w:val="00C61048"/>
    <w:rsid w:val="00C850F9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CE7DF1"/>
    <w:rsid w:val="00CF7BE5"/>
    <w:rsid w:val="00D13823"/>
    <w:rsid w:val="00D13901"/>
    <w:rsid w:val="00D13BD1"/>
    <w:rsid w:val="00D239B7"/>
    <w:rsid w:val="00D308D8"/>
    <w:rsid w:val="00D330A7"/>
    <w:rsid w:val="00D3468F"/>
    <w:rsid w:val="00D45365"/>
    <w:rsid w:val="00D61222"/>
    <w:rsid w:val="00D6322C"/>
    <w:rsid w:val="00D65E04"/>
    <w:rsid w:val="00D94808"/>
    <w:rsid w:val="00DA6374"/>
    <w:rsid w:val="00DB3534"/>
    <w:rsid w:val="00DB3B77"/>
    <w:rsid w:val="00DC5CF9"/>
    <w:rsid w:val="00DC7BB1"/>
    <w:rsid w:val="00DD3447"/>
    <w:rsid w:val="00DD5810"/>
    <w:rsid w:val="00DD6816"/>
    <w:rsid w:val="00DD6D1E"/>
    <w:rsid w:val="00DE10AB"/>
    <w:rsid w:val="00DE2B44"/>
    <w:rsid w:val="00DE3213"/>
    <w:rsid w:val="00DF21AF"/>
    <w:rsid w:val="00DF6B90"/>
    <w:rsid w:val="00E016C0"/>
    <w:rsid w:val="00E051EF"/>
    <w:rsid w:val="00E211D2"/>
    <w:rsid w:val="00E21377"/>
    <w:rsid w:val="00E26625"/>
    <w:rsid w:val="00E329E8"/>
    <w:rsid w:val="00E342CA"/>
    <w:rsid w:val="00E368C3"/>
    <w:rsid w:val="00E50734"/>
    <w:rsid w:val="00E54CF5"/>
    <w:rsid w:val="00E57522"/>
    <w:rsid w:val="00E57793"/>
    <w:rsid w:val="00E60A33"/>
    <w:rsid w:val="00E61BCD"/>
    <w:rsid w:val="00E64C5B"/>
    <w:rsid w:val="00E65739"/>
    <w:rsid w:val="00E67C78"/>
    <w:rsid w:val="00E7291B"/>
    <w:rsid w:val="00E77518"/>
    <w:rsid w:val="00EA0865"/>
    <w:rsid w:val="00EA2ACF"/>
    <w:rsid w:val="00EA74B3"/>
    <w:rsid w:val="00EB6957"/>
    <w:rsid w:val="00EC00F0"/>
    <w:rsid w:val="00EE217B"/>
    <w:rsid w:val="00EF2558"/>
    <w:rsid w:val="00F029CC"/>
    <w:rsid w:val="00F02A61"/>
    <w:rsid w:val="00F0747B"/>
    <w:rsid w:val="00F15E00"/>
    <w:rsid w:val="00F16438"/>
    <w:rsid w:val="00F16D23"/>
    <w:rsid w:val="00F2421E"/>
    <w:rsid w:val="00F279E3"/>
    <w:rsid w:val="00F3121A"/>
    <w:rsid w:val="00F35247"/>
    <w:rsid w:val="00F43427"/>
    <w:rsid w:val="00F508B7"/>
    <w:rsid w:val="00F51F9C"/>
    <w:rsid w:val="00F52A04"/>
    <w:rsid w:val="00F5694D"/>
    <w:rsid w:val="00F579A0"/>
    <w:rsid w:val="00F607DD"/>
    <w:rsid w:val="00F672A4"/>
    <w:rsid w:val="00F67FF5"/>
    <w:rsid w:val="00F8345D"/>
    <w:rsid w:val="00F8541C"/>
    <w:rsid w:val="00F87375"/>
    <w:rsid w:val="00F920AB"/>
    <w:rsid w:val="00F9515A"/>
    <w:rsid w:val="00FA1E51"/>
    <w:rsid w:val="00FB19BE"/>
    <w:rsid w:val="00FB20D6"/>
    <w:rsid w:val="00FB74D4"/>
    <w:rsid w:val="00FC2BD6"/>
    <w:rsid w:val="00FC7365"/>
    <w:rsid w:val="00FC75AC"/>
    <w:rsid w:val="00FD0600"/>
    <w:rsid w:val="00FD6CCC"/>
    <w:rsid w:val="00FE5374"/>
    <w:rsid w:val="00FE5DC3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29437DF4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link w:val="TextkrperZchn"/>
    <w:uiPriority w:val="1"/>
    <w:qFormat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666A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Default">
    <w:name w:val="Default"/>
    <w:rsid w:val="008E116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3EEC"/>
    <w:rPr>
      <w:rFonts w:ascii="Century Gothic" w:hAnsi="Century Gothic"/>
      <w:sz w:val="22"/>
    </w:rPr>
  </w:style>
  <w:style w:type="paragraph" w:customStyle="1" w:styleId="TableParagraph">
    <w:name w:val="Table Paragraph"/>
    <w:basedOn w:val="Standard"/>
    <w:uiPriority w:val="1"/>
    <w:qFormat/>
    <w:rsid w:val="00C03EEC"/>
    <w:pPr>
      <w:autoSpaceDE w:val="0"/>
      <w:autoSpaceDN w:val="0"/>
      <w:adjustRightInd w:val="0"/>
      <w:spacing w:before="0"/>
      <w:jc w:val="left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1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6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2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83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7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8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7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8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3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40B4300-425E-4ACC-B527-E6B4511B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2</Pages>
  <Words>316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103</cp:revision>
  <cp:lastPrinted>2024-08-08T14:48:00Z</cp:lastPrinted>
  <dcterms:created xsi:type="dcterms:W3CDTF">2024-06-10T14:02:00Z</dcterms:created>
  <dcterms:modified xsi:type="dcterms:W3CDTF">2024-09-16T12:57:00Z</dcterms:modified>
</cp:coreProperties>
</file>