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tblBorders>
        <w:shd w:val="clear" w:color="auto" w:fill="C5F1C5"/>
        <w:tblLook w:val="04A0" w:firstRow="1" w:lastRow="0" w:firstColumn="1" w:lastColumn="0" w:noHBand="0" w:noVBand="1"/>
      </w:tblPr>
      <w:tblGrid>
        <w:gridCol w:w="8648"/>
        <w:gridCol w:w="424"/>
      </w:tblGrid>
      <w:tr w:rsidR="00AF76A2" w:rsidRPr="000503CF" w:rsidTr="00114EA5">
        <w:trPr>
          <w:cantSplit/>
          <w:trHeight w:val="830"/>
        </w:trPr>
        <w:tc>
          <w:tcPr>
            <w:tcW w:w="8648" w:type="dxa"/>
            <w:tcBorders>
              <w:right w:val="nil"/>
            </w:tcBorders>
            <w:shd w:val="clear" w:color="auto" w:fill="C5F1C5"/>
            <w:tcMar>
              <w:top w:w="113" w:type="dxa"/>
              <w:bottom w:w="113" w:type="dxa"/>
            </w:tcMar>
            <w:vAlign w:val="center"/>
          </w:tcPr>
          <w:p w:rsidR="00AF76A2" w:rsidRPr="00114EA5" w:rsidRDefault="00A62C9B" w:rsidP="00A62C9B">
            <w:pPr>
              <w:pStyle w:val="berschrift1"/>
              <w:numPr>
                <w:ilvl w:val="0"/>
                <w:numId w:val="0"/>
              </w:numPr>
              <w:rPr>
                <w:rFonts w:ascii="Century Gothic" w:hAnsi="Century Gothic"/>
                <w:color w:val="228B22"/>
                <w:sz w:val="28"/>
              </w:rPr>
            </w:pPr>
            <w:proofErr w:type="spellStart"/>
            <w:r>
              <w:rPr>
                <w:rFonts w:ascii="Century Gothic" w:hAnsi="Century Gothic"/>
                <w:color w:val="228B22"/>
                <w:sz w:val="28"/>
              </w:rPr>
              <w:t>Angabepflicht</w:t>
            </w:r>
            <w:proofErr w:type="spellEnd"/>
            <w:r>
              <w:rPr>
                <w:rFonts w:ascii="Century Gothic" w:hAnsi="Century Gothic"/>
                <w:color w:val="228B22"/>
                <w:sz w:val="28"/>
              </w:rPr>
              <w:t xml:space="preserve"> </w:t>
            </w:r>
            <w:r w:rsidR="00AF4845">
              <w:rPr>
                <w:rFonts w:ascii="Century Gothic" w:hAnsi="Century Gothic"/>
                <w:color w:val="228B22"/>
                <w:sz w:val="28"/>
              </w:rPr>
              <w:t>E1-</w:t>
            </w:r>
            <w:r w:rsidR="002C146F">
              <w:rPr>
                <w:rFonts w:ascii="Century Gothic" w:hAnsi="Century Gothic"/>
                <w:color w:val="228B22"/>
                <w:sz w:val="28"/>
              </w:rPr>
              <w:t>9</w:t>
            </w:r>
            <w:r w:rsidR="00AF4845">
              <w:rPr>
                <w:rFonts w:ascii="Century Gothic" w:hAnsi="Century Gothic"/>
                <w:color w:val="228B22"/>
                <w:sz w:val="28"/>
              </w:rPr>
              <w:t xml:space="preserve"> – </w:t>
            </w:r>
            <w:r w:rsidR="002C146F">
              <w:rPr>
                <w:rFonts w:ascii="Century Gothic" w:hAnsi="Century Gothic"/>
                <w:color w:val="228B22"/>
                <w:sz w:val="28"/>
              </w:rPr>
              <w:t>Erwartete finanzielle Auswirkungen wesentlicher physischer Risiken und Übergangsrisiken sowie potenzielle klimabezogene Chancen</w:t>
            </w:r>
          </w:p>
        </w:tc>
        <w:tc>
          <w:tcPr>
            <w:tcW w:w="424" w:type="dxa"/>
            <w:tcBorders>
              <w:top w:val="nil"/>
              <w:left w:val="nil"/>
              <w:bottom w:val="nil"/>
            </w:tcBorders>
            <w:shd w:val="clear" w:color="auto" w:fill="C5F1C5"/>
            <w:textDirection w:val="btLr"/>
            <w:vAlign w:val="center"/>
          </w:tcPr>
          <w:p w:rsidR="00AF76A2" w:rsidRPr="0031054A" w:rsidRDefault="00A62C9B" w:rsidP="00AF76A2">
            <w:pPr>
              <w:pStyle w:val="berschrift1"/>
              <w:numPr>
                <w:ilvl w:val="0"/>
                <w:numId w:val="0"/>
              </w:numPr>
              <w:ind w:left="113" w:right="113"/>
              <w:jc w:val="center"/>
              <w:rPr>
                <w:rFonts w:ascii="Century Gothic" w:hAnsi="Century Gothic"/>
                <w:b w:val="0"/>
                <w:sz w:val="12"/>
                <w:szCs w:val="12"/>
              </w:rPr>
            </w:pPr>
            <w:r w:rsidRPr="0031054A">
              <w:rPr>
                <w:rFonts w:ascii="Century Gothic" w:hAnsi="Century Gothic"/>
                <w:b w:val="0"/>
                <w:color w:val="FF0000"/>
                <w:sz w:val="12"/>
                <w:szCs w:val="12"/>
              </w:rPr>
              <w:t>0</w:t>
            </w:r>
            <w:r w:rsidR="00F43B30">
              <w:rPr>
                <w:rFonts w:ascii="Century Gothic" w:hAnsi="Century Gothic"/>
                <w:b w:val="0"/>
                <w:color w:val="FF0000"/>
                <w:sz w:val="12"/>
                <w:szCs w:val="12"/>
              </w:rPr>
              <w:t>8</w:t>
            </w:r>
            <w:r w:rsidRPr="0031054A">
              <w:rPr>
                <w:rFonts w:ascii="Century Gothic" w:hAnsi="Century Gothic"/>
                <w:b w:val="0"/>
                <w:color w:val="FF0000"/>
                <w:sz w:val="12"/>
                <w:szCs w:val="12"/>
              </w:rPr>
              <w:t>/2024</w:t>
            </w:r>
          </w:p>
        </w:tc>
      </w:tr>
    </w:tbl>
    <w:p w:rsidR="00666AFB" w:rsidRDefault="00666AFB" w:rsidP="005740F4">
      <w:pPr>
        <w:spacing w:before="0"/>
      </w:pPr>
    </w:p>
    <w:tbl>
      <w:tblPr>
        <w:tblStyle w:val="Gitternetztabelle4Akzent6"/>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7"/>
        <w:gridCol w:w="6233"/>
        <w:gridCol w:w="420"/>
        <w:gridCol w:w="714"/>
        <w:gridCol w:w="708"/>
      </w:tblGrid>
      <w:tr w:rsidR="005740F4" w:rsidTr="000954DF">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87" w:type="dxa"/>
            <w:tcBorders>
              <w:top w:val="nil"/>
              <w:left w:val="nil"/>
              <w:bottom w:val="nil"/>
            </w:tcBorders>
            <w:shd w:val="clear" w:color="auto" w:fill="C5F1C5"/>
          </w:tcPr>
          <w:p w:rsidR="005740F4" w:rsidRPr="00D85AA9" w:rsidRDefault="005740F4" w:rsidP="0031054A">
            <w:pPr>
              <w:spacing w:before="0"/>
              <w:contextualSpacing/>
              <w:rPr>
                <w:color w:val="000000" w:themeColor="text1"/>
                <w:sz w:val="20"/>
                <w:szCs w:val="20"/>
              </w:rPr>
            </w:pPr>
            <w:bookmarkStart w:id="0" w:name="_Hlk168988876"/>
            <w:r w:rsidRPr="00D85AA9">
              <w:rPr>
                <w:color w:val="000000" w:themeColor="text1"/>
                <w:sz w:val="20"/>
                <w:szCs w:val="20"/>
              </w:rPr>
              <w:t>E1-9</w:t>
            </w:r>
          </w:p>
        </w:tc>
        <w:tc>
          <w:tcPr>
            <w:tcW w:w="6653" w:type="dxa"/>
            <w:gridSpan w:val="2"/>
            <w:tcBorders>
              <w:top w:val="nil"/>
              <w:bottom w:val="nil"/>
            </w:tcBorders>
            <w:shd w:val="clear" w:color="auto" w:fill="C5F1C5"/>
          </w:tcPr>
          <w:p w:rsidR="005740F4" w:rsidRPr="00D85AA9" w:rsidRDefault="005740F4" w:rsidP="0031054A">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D85AA9">
              <w:rPr>
                <w:color w:val="000000" w:themeColor="text1"/>
                <w:sz w:val="20"/>
                <w:szCs w:val="20"/>
              </w:rPr>
              <w:t>Erwartete finanzielle Auswirkungen wesentlicher physischer Risiken und Übergangsrisiken sowie potenzielle klimabezogene Chancen</w:t>
            </w:r>
          </w:p>
        </w:tc>
        <w:tc>
          <w:tcPr>
            <w:tcW w:w="714" w:type="dxa"/>
            <w:tcBorders>
              <w:top w:val="nil"/>
              <w:bottom w:val="nil"/>
            </w:tcBorders>
            <w:shd w:val="clear" w:color="auto" w:fill="auto"/>
          </w:tcPr>
          <w:p w:rsidR="005740F4" w:rsidRPr="003C0F68" w:rsidRDefault="005740F4" w:rsidP="0031054A">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08" w:type="dxa"/>
            <w:tcBorders>
              <w:top w:val="nil"/>
              <w:bottom w:val="nil"/>
              <w:right w:val="nil"/>
            </w:tcBorders>
            <w:shd w:val="clear" w:color="auto" w:fill="A6A6A6" w:themeFill="background1" w:themeFillShade="A6"/>
            <w:vAlign w:val="center"/>
          </w:tcPr>
          <w:p w:rsidR="005740F4" w:rsidRPr="003C0F68" w:rsidRDefault="009D0677" w:rsidP="0031054A">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16"/>
              </w:rPr>
            </w:pPr>
            <w:r>
              <w:rPr>
                <w:sz w:val="24"/>
              </w:rPr>
              <w:t>28</w:t>
            </w:r>
          </w:p>
        </w:tc>
      </w:tr>
      <w:tr w:rsidR="005740F4" w:rsidRPr="0031054A" w:rsidTr="000954DF">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062" w:type="dxa"/>
            <w:gridSpan w:val="5"/>
            <w:tcBorders>
              <w:top w:val="nil"/>
              <w:bottom w:val="nil"/>
            </w:tcBorders>
            <w:shd w:val="clear" w:color="auto" w:fill="auto"/>
            <w:vAlign w:val="center"/>
          </w:tcPr>
          <w:p w:rsidR="005740F4" w:rsidRPr="0031054A" w:rsidRDefault="005740F4" w:rsidP="0031054A">
            <w:pPr>
              <w:spacing w:before="0"/>
              <w:contextualSpacing/>
              <w:jc w:val="left"/>
              <w:rPr>
                <w:color w:val="000000" w:themeColor="text1"/>
                <w:sz w:val="2"/>
                <w:szCs w:val="2"/>
              </w:rPr>
            </w:pPr>
          </w:p>
        </w:tc>
      </w:tr>
      <w:bookmarkEnd w:id="0"/>
      <w:tr w:rsidR="005740F4" w:rsidRPr="00122B7B" w:rsidTr="000954DF">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trHeight w:val="225"/>
        </w:trPr>
        <w:tc>
          <w:tcPr>
            <w:cnfStyle w:val="001000000000" w:firstRow="0" w:lastRow="0" w:firstColumn="1" w:lastColumn="0" w:oddVBand="0" w:evenVBand="0" w:oddHBand="0" w:evenHBand="0" w:firstRowFirstColumn="0" w:firstRowLastColumn="0" w:lastRowFirstColumn="0" w:lastRowLastColumn="0"/>
            <w:tcW w:w="9062" w:type="dxa"/>
            <w:gridSpan w:val="5"/>
            <w:tcBorders>
              <w:top w:val="nil"/>
              <w:bottom w:val="nil"/>
            </w:tcBorders>
            <w:shd w:val="clear" w:color="auto" w:fill="D9D9D9" w:themeFill="background1" w:themeFillShade="D9"/>
            <w:vAlign w:val="center"/>
          </w:tcPr>
          <w:p w:rsidR="005740F4" w:rsidRPr="00122B7B" w:rsidRDefault="005740F4" w:rsidP="0031054A">
            <w:pPr>
              <w:spacing w:before="0"/>
              <w:contextualSpacing/>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p>
        </w:tc>
      </w:tr>
      <w:tr w:rsidR="005740F4" w:rsidRPr="0031054A" w:rsidTr="000954DF">
        <w:tblPrEx>
          <w:tblBorders>
            <w:top w:val="none" w:sz="0" w:space="0" w:color="auto"/>
            <w:left w:val="none" w:sz="0" w:space="0" w:color="auto"/>
            <w:bottom w:val="none" w:sz="0" w:space="0" w:color="auto"/>
            <w:right w:val="none" w:sz="0" w:space="0" w:color="auto"/>
            <w:insideH w:val="single" w:sz="4" w:space="0" w:color="FABF8F" w:themeColor="accent6" w:themeTint="99"/>
            <w:insideV w:val="single" w:sz="4" w:space="0" w:color="FABF8F" w:themeColor="accent6" w:themeTint="99"/>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62" w:type="dxa"/>
            <w:gridSpan w:val="5"/>
            <w:tcBorders>
              <w:top w:val="nil"/>
              <w:bottom w:val="nil"/>
            </w:tcBorders>
            <w:shd w:val="clear" w:color="auto" w:fill="auto"/>
            <w:vAlign w:val="center"/>
          </w:tcPr>
          <w:p w:rsidR="005740F4" w:rsidRPr="0031054A" w:rsidRDefault="005740F4" w:rsidP="00CB3FB9">
            <w:pPr>
              <w:spacing w:before="0"/>
              <w:jc w:val="left"/>
              <w:rPr>
                <w:color w:val="000000" w:themeColor="text1"/>
                <w:sz w:val="2"/>
                <w:szCs w:val="2"/>
              </w:rPr>
            </w:pPr>
          </w:p>
        </w:tc>
      </w:tr>
      <w:tr w:rsidR="005740F4" w:rsidRPr="005740F4"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tblPrEx>
        <w:trPr>
          <w:trHeight w:val="735"/>
          <w:tblHeader/>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5740F4" w:rsidRDefault="0047207E" w:rsidP="0001785E">
            <w:pPr>
              <w:spacing w:before="0"/>
              <w:contextualSpacing/>
              <w:jc w:val="center"/>
              <w:rPr>
                <w:color w:val="FFFFFF" w:themeColor="background1"/>
                <w:sz w:val="20"/>
                <w:szCs w:val="20"/>
              </w:rPr>
            </w:pPr>
            <w:r w:rsidRPr="005740F4">
              <w:rPr>
                <w:color w:val="FFFFFF" w:themeColor="background1"/>
                <w:sz w:val="20"/>
                <w:szCs w:val="20"/>
              </w:rPr>
              <w:t>Quelle ESRS E1</w:t>
            </w:r>
          </w:p>
        </w:tc>
        <w:tc>
          <w:tcPr>
            <w:tcW w:w="6233"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5740F4" w:rsidRDefault="00D94808" w:rsidP="0001785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5740F4">
              <w:rPr>
                <w:b/>
                <w:color w:val="FFFFFF" w:themeColor="background1"/>
                <w:sz w:val="20"/>
                <w:szCs w:val="20"/>
              </w:rPr>
              <w:t>Parameter und Ziele</w:t>
            </w:r>
          </w:p>
        </w:tc>
        <w:tc>
          <w:tcPr>
            <w:tcW w:w="1842"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5740F4" w:rsidRDefault="0047207E" w:rsidP="0001785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5740F4">
              <w:rPr>
                <w:b/>
                <w:color w:val="FFFFFF" w:themeColor="background1"/>
                <w:sz w:val="16"/>
                <w:szCs w:val="16"/>
              </w:rPr>
              <w:t>Bemerkungen, ggf. Verweis auf Datenpunkte</w:t>
            </w:r>
          </w:p>
        </w:tc>
      </w:tr>
      <w:tr w:rsidR="0047207E" w:rsidRPr="000E0C5F"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shd w:val="clear" w:color="auto" w:fill="C5F1C5"/>
          </w:tcPr>
          <w:p w:rsidR="0047207E" w:rsidRPr="0015165A" w:rsidRDefault="0047207E" w:rsidP="0001785E">
            <w:pPr>
              <w:spacing w:before="0"/>
              <w:contextualSpacing/>
              <w:jc w:val="center"/>
              <w:rPr>
                <w:sz w:val="16"/>
                <w:szCs w:val="16"/>
              </w:rPr>
            </w:pPr>
            <w:r w:rsidRPr="0015165A">
              <w:rPr>
                <w:sz w:val="16"/>
                <w:szCs w:val="16"/>
              </w:rPr>
              <w:t xml:space="preserve">Tz. </w:t>
            </w:r>
            <w:r w:rsidR="002C146F">
              <w:rPr>
                <w:sz w:val="16"/>
                <w:szCs w:val="16"/>
              </w:rPr>
              <w:t>64</w:t>
            </w:r>
          </w:p>
        </w:tc>
        <w:tc>
          <w:tcPr>
            <w:tcW w:w="6233" w:type="dxa"/>
            <w:tcBorders>
              <w:top w:val="single" w:sz="4" w:space="0" w:color="auto"/>
              <w:left w:val="single" w:sz="4" w:space="0" w:color="auto"/>
              <w:bottom w:val="single" w:sz="4" w:space="0" w:color="auto"/>
              <w:right w:val="single" w:sz="4" w:space="0" w:color="auto"/>
            </w:tcBorders>
            <w:shd w:val="clear" w:color="auto" w:fill="auto"/>
          </w:tcPr>
          <w:p w:rsidR="002C146F" w:rsidRPr="002C146F" w:rsidRDefault="002C146F" w:rsidP="0001785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C146F">
              <w:rPr>
                <w:rFonts w:ascii="Century Gothic" w:hAnsi="Century Gothic"/>
                <w:b/>
                <w:bCs/>
                <w:sz w:val="16"/>
                <w:szCs w:val="16"/>
              </w:rPr>
              <w:t>Das Unternehmen hat Folgendes anzugeben:</w:t>
            </w:r>
          </w:p>
          <w:p w:rsidR="002C146F" w:rsidRPr="002C146F" w:rsidRDefault="002C146F" w:rsidP="0001785E">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C146F">
              <w:rPr>
                <w:rFonts w:ascii="Century Gothic" w:hAnsi="Century Gothic"/>
                <w:b/>
                <w:bCs/>
                <w:sz w:val="16"/>
                <w:szCs w:val="16"/>
              </w:rPr>
              <w:t xml:space="preserve">seine erwarteten </w:t>
            </w:r>
            <w:r w:rsidRPr="009F016F">
              <w:rPr>
                <w:rFonts w:ascii="Century Gothic" w:hAnsi="Century Gothic"/>
                <w:b/>
                <w:bCs/>
                <w:sz w:val="16"/>
                <w:szCs w:val="16"/>
                <w:highlight w:val="yellow"/>
              </w:rPr>
              <w:t xml:space="preserve">finanziellen Auswirkungen wesentlicher </w:t>
            </w:r>
            <w:r w:rsidRPr="009F016F">
              <w:rPr>
                <w:rFonts w:ascii="Century Gothic" w:hAnsi="Century Gothic"/>
                <w:b/>
                <w:bCs/>
                <w:i/>
                <w:iCs/>
                <w:sz w:val="16"/>
                <w:szCs w:val="16"/>
                <w:highlight w:val="yellow"/>
              </w:rPr>
              <w:t>physischer Risiken</w:t>
            </w:r>
            <w:r w:rsidRPr="002C146F">
              <w:rPr>
                <w:rFonts w:ascii="Century Gothic" w:hAnsi="Century Gothic"/>
                <w:b/>
                <w:bCs/>
                <w:sz w:val="16"/>
                <w:szCs w:val="16"/>
              </w:rPr>
              <w:t>,</w:t>
            </w:r>
          </w:p>
          <w:p w:rsidR="002C146F" w:rsidRPr="002C146F" w:rsidRDefault="002C146F" w:rsidP="0001785E">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C146F">
              <w:rPr>
                <w:rFonts w:ascii="Century Gothic" w:hAnsi="Century Gothic"/>
                <w:b/>
                <w:bCs/>
                <w:sz w:val="16"/>
                <w:szCs w:val="16"/>
              </w:rPr>
              <w:t xml:space="preserve">seine erwarteten finanziellen Auswirkungen aufgrund von </w:t>
            </w:r>
            <w:r w:rsidRPr="009F016F">
              <w:rPr>
                <w:rFonts w:ascii="Century Gothic" w:hAnsi="Century Gothic"/>
                <w:b/>
                <w:bCs/>
                <w:i/>
                <w:iCs/>
                <w:sz w:val="16"/>
                <w:szCs w:val="16"/>
                <w:highlight w:val="yellow"/>
              </w:rPr>
              <w:t xml:space="preserve">Übergangsrisiken </w:t>
            </w:r>
            <w:r w:rsidRPr="009F016F">
              <w:rPr>
                <w:rFonts w:ascii="Century Gothic" w:hAnsi="Century Gothic"/>
                <w:b/>
                <w:bCs/>
                <w:sz w:val="16"/>
                <w:szCs w:val="16"/>
                <w:highlight w:val="yellow"/>
              </w:rPr>
              <w:t>und</w:t>
            </w:r>
          </w:p>
          <w:p w:rsidR="0047207E" w:rsidRPr="002C146F" w:rsidRDefault="002C146F" w:rsidP="0001785E">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C146F">
              <w:rPr>
                <w:rFonts w:ascii="Century Gothic" w:hAnsi="Century Gothic"/>
                <w:b/>
                <w:bCs/>
                <w:sz w:val="16"/>
                <w:szCs w:val="16"/>
              </w:rPr>
              <w:t xml:space="preserve">das </w:t>
            </w:r>
            <w:r w:rsidRPr="009F016F">
              <w:rPr>
                <w:rFonts w:ascii="Century Gothic" w:hAnsi="Century Gothic"/>
                <w:b/>
                <w:bCs/>
                <w:sz w:val="16"/>
                <w:szCs w:val="16"/>
                <w:highlight w:val="yellow"/>
              </w:rPr>
              <w:t>Potenzial,</w:t>
            </w:r>
            <w:r w:rsidRPr="002C146F">
              <w:rPr>
                <w:rFonts w:ascii="Century Gothic" w:hAnsi="Century Gothic"/>
                <w:b/>
                <w:bCs/>
                <w:sz w:val="16"/>
                <w:szCs w:val="16"/>
              </w:rPr>
              <w:t xml:space="preserve"> </w:t>
            </w:r>
            <w:r w:rsidRPr="009F016F">
              <w:rPr>
                <w:rFonts w:ascii="Century Gothic" w:hAnsi="Century Gothic"/>
                <w:b/>
                <w:bCs/>
                <w:sz w:val="16"/>
                <w:szCs w:val="16"/>
                <w:highlight w:val="yellow"/>
              </w:rPr>
              <w:t>von</w:t>
            </w:r>
            <w:r w:rsidRPr="002C146F">
              <w:rPr>
                <w:rFonts w:ascii="Century Gothic" w:hAnsi="Century Gothic"/>
                <w:b/>
                <w:bCs/>
                <w:sz w:val="16"/>
                <w:szCs w:val="16"/>
              </w:rPr>
              <w:t xml:space="preserve"> wesentlichen klimabezogenen </w:t>
            </w:r>
            <w:r w:rsidRPr="002C146F">
              <w:rPr>
                <w:rFonts w:ascii="Century Gothic" w:hAnsi="Century Gothic"/>
                <w:b/>
                <w:bCs/>
                <w:i/>
                <w:iCs/>
                <w:sz w:val="16"/>
                <w:szCs w:val="16"/>
              </w:rPr>
              <w:t xml:space="preserve">Chancen </w:t>
            </w:r>
            <w:r w:rsidRPr="009F016F">
              <w:rPr>
                <w:rFonts w:ascii="Century Gothic" w:hAnsi="Century Gothic"/>
                <w:b/>
                <w:bCs/>
                <w:sz w:val="16"/>
                <w:szCs w:val="16"/>
                <w:highlight w:val="yellow"/>
              </w:rPr>
              <w:t>zu profitieren.</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rsidR="0047207E" w:rsidRDefault="00427B9D" w:rsidP="00427B9D">
            <w:pPr>
              <w:spacing w:before="0"/>
              <w:ind w:left="227"/>
              <w:contextualSpacing/>
              <w:cnfStyle w:val="000000100000" w:firstRow="0" w:lastRow="0" w:firstColumn="0" w:lastColumn="0" w:oddVBand="0" w:evenVBand="0" w:oddHBand="1" w:evenHBand="0" w:firstRowFirstColumn="0" w:firstRowLastColumn="0" w:lastRowFirstColumn="0" w:lastRowLastColumn="0"/>
              <w:rPr>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-15558</wp:posOffset>
                      </wp:positionH>
                      <wp:positionV relativeFrom="paragraph">
                        <wp:posOffset>45720</wp:posOffset>
                      </wp:positionV>
                      <wp:extent cx="133350" cy="514350"/>
                      <wp:effectExtent l="0" t="0" r="19050" b="19050"/>
                      <wp:wrapNone/>
                      <wp:docPr id="7" name="Geschweifte Klammer rechts 7"/>
                      <wp:cNvGraphicFramePr/>
                      <a:graphic xmlns:a="http://schemas.openxmlformats.org/drawingml/2006/main">
                        <a:graphicData uri="http://schemas.microsoft.com/office/word/2010/wordprocessingShape">
                          <wps:wsp>
                            <wps:cNvSpPr/>
                            <wps:spPr>
                              <a:xfrm>
                                <a:off x="0" y="0"/>
                                <a:ext cx="133350" cy="5143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E521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7" o:spid="_x0000_s1026" type="#_x0000_t88" style="position:absolute;margin-left:-1.25pt;margin-top:3.6pt;width:10.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" adj="467" strokecolor="black [3213]"/>
                  </w:pict>
                </mc:Fallback>
              </mc:AlternateContent>
            </w:r>
          </w:p>
          <w:p w:rsidR="00427B9D" w:rsidRDefault="00427B9D" w:rsidP="00427B9D">
            <w:pPr>
              <w:spacing w:before="0"/>
              <w:ind w:left="227"/>
              <w:contextualSpacing/>
              <w:cnfStyle w:val="000000100000" w:firstRow="0" w:lastRow="0" w:firstColumn="0" w:lastColumn="0" w:oddVBand="0" w:evenVBand="0" w:oddHBand="1" w:evenHBand="0" w:firstRowFirstColumn="0" w:firstRowLastColumn="0" w:lastRowFirstColumn="0" w:lastRowLastColumn="0"/>
              <w:rPr>
                <w:sz w:val="20"/>
                <w:szCs w:val="20"/>
              </w:rPr>
            </w:pPr>
            <w:r>
              <w:rPr>
                <w:noProof/>
                <w:sz w:val="20"/>
              </w:rPr>
              <w:drawing>
                <wp:inline distT="0" distB="0" distL="0" distR="0" wp14:anchorId="5FC280F0" wp14:editId="43D969FA">
                  <wp:extent cx="318770" cy="318770"/>
                  <wp:effectExtent l="0" t="0" r="5080" b="5080"/>
                  <wp:docPr id="6" name="Grafik 6"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faceoutlin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2027" cy="322027"/>
                          </a:xfrm>
                          <a:prstGeom prst="rect">
                            <a:avLst/>
                          </a:prstGeom>
                        </pic:spPr>
                      </pic:pic>
                    </a:graphicData>
                  </a:graphic>
                </wp:inline>
              </w:drawing>
            </w:r>
            <w:r>
              <w:rPr>
                <w:sz w:val="20"/>
                <w:szCs w:val="20"/>
              </w:rPr>
              <w:br/>
            </w:r>
          </w:p>
          <w:p w:rsidR="00427B9D" w:rsidRPr="000E0C5F" w:rsidRDefault="00427B9D" w:rsidP="00427B9D">
            <w:pPr>
              <w:spacing w:before="0"/>
              <w:ind w:left="227"/>
              <w:contextualSpacing/>
              <w:cnfStyle w:val="000000100000" w:firstRow="0" w:lastRow="0" w:firstColumn="0" w:lastColumn="0" w:oddVBand="0" w:evenVBand="0" w:oddHBand="1" w:evenHBand="0" w:firstRowFirstColumn="0" w:firstRowLastColumn="0" w:lastRowFirstColumn="0" w:lastRowLastColumn="0"/>
              <w:rPr>
                <w:sz w:val="20"/>
                <w:szCs w:val="20"/>
              </w:rPr>
            </w:pPr>
            <w:r>
              <w:rPr>
                <w:noProof/>
                <w:sz w:val="20"/>
              </w:rPr>
              <mc:AlternateContent>
                <mc:Choice Requires="wps">
                  <w:drawing>
                    <wp:anchor distT="0" distB="0" distL="114300" distR="114300" simplePos="0" relativeHeight="251661312" behindDoc="0" locked="0" layoutInCell="1" allowOverlap="1" wp14:anchorId="3FC81198" wp14:editId="7957C30A">
                      <wp:simplePos x="0" y="0"/>
                      <wp:positionH relativeFrom="column">
                        <wp:posOffset>-34290</wp:posOffset>
                      </wp:positionH>
                      <wp:positionV relativeFrom="paragraph">
                        <wp:posOffset>635</wp:posOffset>
                      </wp:positionV>
                      <wp:extent cx="133350" cy="266700"/>
                      <wp:effectExtent l="0" t="0" r="19050" b="19050"/>
                      <wp:wrapNone/>
                      <wp:docPr id="9" name="Geschweifte Klammer rechts 9"/>
                      <wp:cNvGraphicFramePr/>
                      <a:graphic xmlns:a="http://schemas.openxmlformats.org/drawingml/2006/main">
                        <a:graphicData uri="http://schemas.microsoft.com/office/word/2010/wordprocessingShape">
                          <wps:wsp>
                            <wps:cNvSpPr/>
                            <wps:spPr>
                              <a:xfrm>
                                <a:off x="0" y="0"/>
                                <a:ext cx="133350" cy="2667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2618" id="Geschweifte Klammer rechts 9" o:spid="_x0000_s1026" type="#_x0000_t88" style="position:absolute;margin-left:-2.7pt;margin-top:.05pt;width:1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" adj="900" strokecolor="black [3213]"/>
                  </w:pict>
                </mc:Fallback>
              </mc:AlternateContent>
            </w:r>
            <w:r>
              <w:rPr>
                <w:noProof/>
                <w:sz w:val="20"/>
              </w:rPr>
              <w:drawing>
                <wp:inline distT="0" distB="0" distL="0" distR="0" wp14:anchorId="0C0D5B60" wp14:editId="77773814">
                  <wp:extent cx="319087" cy="319087"/>
                  <wp:effectExtent l="0" t="0" r="5080" b="5080"/>
                  <wp:docPr id="3" name="Grafik 3"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faceoutline.svg"/>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319" t="319" r="319" b="319"/>
                          <a:stretch/>
                        </pic:blipFill>
                        <pic:spPr>
                          <a:xfrm>
                            <a:off x="0" y="0"/>
                            <a:ext cx="321933" cy="321933"/>
                          </a:xfrm>
                          <a:prstGeom prst="rect">
                            <a:avLst/>
                          </a:prstGeom>
                        </pic:spPr>
                      </pic:pic>
                    </a:graphicData>
                  </a:graphic>
                </wp:inline>
              </w:drawing>
            </w:r>
          </w:p>
        </w:tc>
      </w:tr>
      <w:tr w:rsidR="0047207E" w:rsidRPr="000E0C5F"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shd w:val="clear" w:color="auto" w:fill="C5F1C5"/>
          </w:tcPr>
          <w:p w:rsidR="0047207E" w:rsidRPr="0015165A" w:rsidRDefault="0047207E" w:rsidP="0001785E">
            <w:pPr>
              <w:spacing w:before="0"/>
              <w:contextualSpacing/>
              <w:jc w:val="center"/>
              <w:rPr>
                <w:sz w:val="16"/>
                <w:szCs w:val="16"/>
              </w:rPr>
            </w:pPr>
            <w:r w:rsidRPr="0015165A">
              <w:rPr>
                <w:sz w:val="16"/>
                <w:szCs w:val="16"/>
              </w:rPr>
              <w:t xml:space="preserve">Tz. </w:t>
            </w:r>
            <w:r w:rsidR="002C146F">
              <w:rPr>
                <w:sz w:val="16"/>
                <w:szCs w:val="16"/>
              </w:rPr>
              <w:t>65</w:t>
            </w:r>
          </w:p>
        </w:tc>
        <w:tc>
          <w:tcPr>
            <w:tcW w:w="6233" w:type="dxa"/>
            <w:tcBorders>
              <w:top w:val="single" w:sz="4" w:space="0" w:color="auto"/>
              <w:left w:val="single" w:sz="4" w:space="0" w:color="auto"/>
              <w:bottom w:val="single" w:sz="4" w:space="0" w:color="auto"/>
              <w:right w:val="single" w:sz="4" w:space="0" w:color="auto"/>
            </w:tcBorders>
            <w:shd w:val="clear" w:color="auto" w:fill="auto"/>
          </w:tcPr>
          <w:p w:rsidR="002C146F" w:rsidRPr="002C146F" w:rsidRDefault="002C146F" w:rsidP="0001785E">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C146F">
              <w:rPr>
                <w:rFonts w:ascii="Century Gothic" w:hAnsi="Century Gothic"/>
                <w:sz w:val="16"/>
                <w:szCs w:val="16"/>
              </w:rPr>
              <w:t xml:space="preserve">Die gemäß Absatz 64 erforderlichen Informationen ergänzen die Informationen zu den aktuellen </w:t>
            </w:r>
            <w:r w:rsidRPr="00427B9D">
              <w:rPr>
                <w:rFonts w:ascii="Century Gothic" w:hAnsi="Century Gothic"/>
                <w:b/>
                <w:bCs/>
                <w:sz w:val="16"/>
                <w:szCs w:val="16"/>
                <w:highlight w:val="yellow"/>
              </w:rPr>
              <w:t>finanziellen Auswirkungen</w:t>
            </w:r>
            <w:r w:rsidRPr="002C146F">
              <w:rPr>
                <w:rFonts w:ascii="Century Gothic" w:hAnsi="Century Gothic"/>
                <w:sz w:val="16"/>
                <w:szCs w:val="16"/>
              </w:rPr>
              <w:t>, die nach ESRS 2 SBM-3 Absatz 48 Buchstabe d vorzulegen sind. Ziel dieser Angabepflicht ist es,</w:t>
            </w:r>
          </w:p>
          <w:p w:rsidR="002C146F" w:rsidRPr="002C146F" w:rsidRDefault="002C146F" w:rsidP="0001785E">
            <w:pPr>
              <w:pStyle w:val="Default"/>
              <w:numPr>
                <w:ilvl w:val="0"/>
                <w:numId w:val="14"/>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C146F">
              <w:rPr>
                <w:rFonts w:ascii="Century Gothic" w:hAnsi="Century Gothic"/>
                <w:sz w:val="16"/>
                <w:szCs w:val="16"/>
              </w:rPr>
              <w:t xml:space="preserve">hinsichtlich </w:t>
            </w:r>
            <w:r w:rsidRPr="002C146F">
              <w:rPr>
                <w:rFonts w:ascii="Century Gothic" w:hAnsi="Century Gothic"/>
                <w:b/>
                <w:bCs/>
                <w:sz w:val="16"/>
                <w:szCs w:val="16"/>
              </w:rPr>
              <w:t xml:space="preserve">erwarteter finanzieller Auswirkungen </w:t>
            </w:r>
            <w:r w:rsidRPr="002C146F">
              <w:rPr>
                <w:rFonts w:ascii="Century Gothic" w:hAnsi="Century Gothic"/>
                <w:sz w:val="16"/>
                <w:szCs w:val="16"/>
              </w:rPr>
              <w:t xml:space="preserve">aufgrund von wesentlichen </w:t>
            </w:r>
            <w:r w:rsidRPr="002C146F">
              <w:rPr>
                <w:rFonts w:ascii="Century Gothic" w:hAnsi="Century Gothic"/>
                <w:b/>
                <w:bCs/>
                <w:sz w:val="16"/>
                <w:szCs w:val="16"/>
              </w:rPr>
              <w:t xml:space="preserve">physischen Risiken </w:t>
            </w:r>
            <w:r w:rsidRPr="002C146F">
              <w:rPr>
                <w:rFonts w:ascii="Century Gothic" w:hAnsi="Century Gothic"/>
                <w:sz w:val="16"/>
                <w:szCs w:val="16"/>
              </w:rPr>
              <w:t xml:space="preserve">und </w:t>
            </w:r>
            <w:r w:rsidRPr="002C146F">
              <w:rPr>
                <w:rFonts w:ascii="Century Gothic" w:hAnsi="Century Gothic"/>
                <w:b/>
                <w:bCs/>
                <w:sz w:val="16"/>
                <w:szCs w:val="16"/>
              </w:rPr>
              <w:t xml:space="preserve">Übergangsrisiken </w:t>
            </w:r>
            <w:r w:rsidRPr="002C146F">
              <w:rPr>
                <w:rFonts w:ascii="Century Gothic" w:hAnsi="Century Gothic"/>
                <w:sz w:val="16"/>
                <w:szCs w:val="16"/>
              </w:rPr>
              <w:t xml:space="preserve">ein Verständnis dafür zu vermitteln, wie diese Risiken kurz-, mittel- und langfristig einen wesentlichen Einfluss auf die Finanzlage, die finanzielle Leistungsfähigkeit und die Cashflows des Unternehmens haben (oder ob ein solcher Einfluss wahrscheinlich ist). Die Ergebnisse der </w:t>
            </w:r>
            <w:r w:rsidRPr="002C146F">
              <w:rPr>
                <w:rFonts w:ascii="Century Gothic" w:hAnsi="Century Gothic"/>
                <w:b/>
                <w:bCs/>
                <w:sz w:val="16"/>
                <w:szCs w:val="16"/>
              </w:rPr>
              <w:t>Szenarioanalyse</w:t>
            </w:r>
            <w:r w:rsidRPr="002C146F">
              <w:rPr>
                <w:rFonts w:ascii="Century Gothic" w:hAnsi="Century Gothic"/>
                <w:sz w:val="16"/>
                <w:szCs w:val="16"/>
              </w:rPr>
              <w:t xml:space="preserve">, die zur Durchführung der </w:t>
            </w:r>
            <w:proofErr w:type="spellStart"/>
            <w:r w:rsidRPr="002C146F">
              <w:rPr>
                <w:rFonts w:ascii="Century Gothic" w:hAnsi="Century Gothic"/>
                <w:sz w:val="16"/>
                <w:szCs w:val="16"/>
              </w:rPr>
              <w:t>Resilienzanalyse</w:t>
            </w:r>
            <w:proofErr w:type="spellEnd"/>
            <w:r w:rsidRPr="002C146F">
              <w:rPr>
                <w:rFonts w:ascii="Century Gothic" w:hAnsi="Century Gothic"/>
                <w:sz w:val="16"/>
                <w:szCs w:val="16"/>
              </w:rPr>
              <w:t xml:space="preserve"> gemäß den Abschnitten AR 10 bis AR 13 verwendet werden, sollten in die Bewertung der erwarteten finanziellen Auswirkungen wesentlicher physischer Risiken und Übergangsrisiken einfließen,</w:t>
            </w:r>
          </w:p>
          <w:p w:rsidR="0047207E" w:rsidRPr="002C146F" w:rsidRDefault="002C146F" w:rsidP="0001785E">
            <w:pPr>
              <w:pStyle w:val="Default"/>
              <w:numPr>
                <w:ilvl w:val="0"/>
                <w:numId w:val="14"/>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C146F">
              <w:rPr>
                <w:rFonts w:ascii="Century Gothic" w:hAnsi="Century Gothic"/>
                <w:sz w:val="16"/>
                <w:szCs w:val="16"/>
              </w:rPr>
              <w:t xml:space="preserve">hinsichtlich des Potenzials, wesentliche klimabezogene </w:t>
            </w:r>
            <w:r w:rsidRPr="002C146F">
              <w:rPr>
                <w:rFonts w:ascii="Century Gothic" w:hAnsi="Century Gothic"/>
                <w:b/>
                <w:bCs/>
                <w:sz w:val="16"/>
                <w:szCs w:val="16"/>
              </w:rPr>
              <w:t xml:space="preserve">Chancen </w:t>
            </w:r>
            <w:r w:rsidRPr="002C146F">
              <w:rPr>
                <w:rFonts w:ascii="Century Gothic" w:hAnsi="Century Gothic"/>
                <w:sz w:val="16"/>
                <w:szCs w:val="16"/>
              </w:rPr>
              <w:t>zu nutzen, ein Verständnis dafür zu vermitteln, wie das Unternehmen finanziell von wesentlichen klimabezogenen Chancen profitieren kann. Diese Angabe ergänzt die wichtigsten Leistungsindikatoren, die gemäß der Delegierten Verordnung (EU) 2021/2178 der Kommission anzugeben sind.</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rsidR="0047207E" w:rsidRPr="000E0C5F" w:rsidRDefault="0047207E" w:rsidP="0001785E">
            <w:pPr>
              <w:spacing w:before="0"/>
              <w:contextualSpacing/>
              <w:cnfStyle w:val="000000000000" w:firstRow="0" w:lastRow="0" w:firstColumn="0" w:lastColumn="0" w:oddVBand="0" w:evenVBand="0" w:oddHBand="0" w:evenHBand="0" w:firstRowFirstColumn="0" w:firstRowLastColumn="0" w:lastRowFirstColumn="0" w:lastRowLastColumn="0"/>
              <w:rPr>
                <w:sz w:val="20"/>
                <w:szCs w:val="20"/>
              </w:rPr>
            </w:pPr>
          </w:p>
        </w:tc>
      </w:tr>
      <w:tr w:rsidR="0047207E" w:rsidRPr="000E0C5F"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7" w:type="dxa"/>
            <w:tcBorders>
              <w:top w:val="single" w:sz="4" w:space="0" w:color="auto"/>
              <w:left w:val="single" w:sz="4" w:space="0" w:color="auto"/>
              <w:bottom w:val="single" w:sz="4" w:space="0" w:color="auto"/>
              <w:right w:val="single" w:sz="4" w:space="0" w:color="auto"/>
            </w:tcBorders>
            <w:shd w:val="clear" w:color="auto" w:fill="C5F1C5"/>
          </w:tcPr>
          <w:p w:rsidR="0047207E" w:rsidRPr="0015165A" w:rsidRDefault="0047207E" w:rsidP="0001785E">
            <w:pPr>
              <w:spacing w:before="0"/>
              <w:contextualSpacing/>
              <w:jc w:val="center"/>
              <w:rPr>
                <w:sz w:val="16"/>
                <w:szCs w:val="16"/>
              </w:rPr>
            </w:pPr>
            <w:r w:rsidRPr="0015165A">
              <w:rPr>
                <w:sz w:val="16"/>
                <w:szCs w:val="16"/>
              </w:rPr>
              <w:t xml:space="preserve">Tz. </w:t>
            </w:r>
            <w:r w:rsidR="002C146F">
              <w:rPr>
                <w:sz w:val="16"/>
                <w:szCs w:val="16"/>
              </w:rPr>
              <w:t>66</w:t>
            </w:r>
          </w:p>
        </w:tc>
        <w:tc>
          <w:tcPr>
            <w:tcW w:w="6233" w:type="dxa"/>
            <w:tcBorders>
              <w:top w:val="single" w:sz="4" w:space="0" w:color="auto"/>
              <w:left w:val="single" w:sz="4" w:space="0" w:color="auto"/>
              <w:bottom w:val="single" w:sz="4" w:space="0" w:color="auto"/>
              <w:right w:val="single" w:sz="4" w:space="0" w:color="auto"/>
            </w:tcBorders>
            <w:shd w:val="clear" w:color="auto" w:fill="auto"/>
          </w:tcPr>
          <w:p w:rsidR="002C146F" w:rsidRPr="002C146F" w:rsidRDefault="002C146F" w:rsidP="0001785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C146F">
              <w:rPr>
                <w:rFonts w:ascii="Century Gothic" w:hAnsi="Century Gothic"/>
                <w:sz w:val="16"/>
                <w:szCs w:val="16"/>
              </w:rPr>
              <w:t xml:space="preserve">Die Angabe </w:t>
            </w:r>
            <w:r w:rsidRPr="00427B9D">
              <w:rPr>
                <w:rFonts w:ascii="Century Gothic" w:hAnsi="Century Gothic"/>
                <w:b/>
                <w:bCs/>
                <w:sz w:val="16"/>
                <w:szCs w:val="16"/>
                <w:highlight w:val="yellow"/>
              </w:rPr>
              <w:t>erwarteter finanzieller Auswirkungen</w:t>
            </w:r>
            <w:r w:rsidRPr="002C146F">
              <w:rPr>
                <w:rFonts w:ascii="Century Gothic" w:hAnsi="Century Gothic"/>
                <w:b/>
                <w:bCs/>
                <w:sz w:val="16"/>
                <w:szCs w:val="16"/>
              </w:rPr>
              <w:t xml:space="preserve"> </w:t>
            </w:r>
            <w:r w:rsidRPr="002C146F">
              <w:rPr>
                <w:rFonts w:ascii="Century Gothic" w:hAnsi="Century Gothic"/>
                <w:sz w:val="16"/>
                <w:szCs w:val="16"/>
              </w:rPr>
              <w:t xml:space="preserve">wesentlicher </w:t>
            </w:r>
            <w:r w:rsidRPr="002C146F">
              <w:rPr>
                <w:rFonts w:ascii="Century Gothic" w:hAnsi="Century Gothic"/>
                <w:b/>
                <w:bCs/>
                <w:sz w:val="16"/>
                <w:szCs w:val="16"/>
              </w:rPr>
              <w:t xml:space="preserve">physischer Risiken </w:t>
            </w:r>
            <w:r w:rsidRPr="002C146F">
              <w:rPr>
                <w:rFonts w:ascii="Century Gothic" w:hAnsi="Century Gothic"/>
                <w:sz w:val="16"/>
                <w:szCs w:val="16"/>
              </w:rPr>
              <w:t>gemäß Absatz 64 Buchstabe a umfasst Folgendes:</w:t>
            </w:r>
            <w:r w:rsidR="00692FB1">
              <w:rPr>
                <w:rStyle w:val="Funotenzeichen"/>
                <w:rFonts w:ascii="Century Gothic" w:hAnsi="Century Gothic"/>
                <w:sz w:val="16"/>
              </w:rPr>
              <w:footnoteReference w:id="1"/>
            </w:r>
          </w:p>
          <w:p w:rsidR="002C146F" w:rsidRPr="002C146F" w:rsidRDefault="002C146F" w:rsidP="0001785E">
            <w:pPr>
              <w:pStyle w:val="Default"/>
              <w:numPr>
                <w:ilvl w:val="0"/>
                <w:numId w:val="15"/>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C146F">
              <w:rPr>
                <w:rFonts w:ascii="Century Gothic" w:hAnsi="Century Gothic"/>
                <w:sz w:val="16"/>
                <w:szCs w:val="16"/>
              </w:rPr>
              <w:t xml:space="preserve">den Geldbetrag und den Anteil (Prozentsatz) der Vermögenswerte mit einem kurz-, mittel- und langfristigen wesentlichen physischen Risiko, bevor </w:t>
            </w:r>
            <w:r w:rsidRPr="002C146F">
              <w:rPr>
                <w:rFonts w:ascii="Century Gothic" w:hAnsi="Century Gothic"/>
                <w:b/>
                <w:bCs/>
                <w:sz w:val="16"/>
                <w:szCs w:val="16"/>
              </w:rPr>
              <w:t xml:space="preserve">Maßnahmen zur Anpassung an den Klimawandel </w:t>
            </w:r>
            <w:r w:rsidRPr="002C146F">
              <w:rPr>
                <w:rFonts w:ascii="Century Gothic" w:hAnsi="Century Gothic"/>
                <w:sz w:val="16"/>
                <w:szCs w:val="16"/>
              </w:rPr>
              <w:t>in Betracht gezogen werden, die Geldbeträge dieser Vermögenswerte sind nach akutem und chronischem physischem Risiko aufzuschlüsseln</w:t>
            </w:r>
            <w:r w:rsidR="00692FB1">
              <w:rPr>
                <w:rStyle w:val="Funotenzeichen"/>
                <w:rFonts w:ascii="Century Gothic" w:hAnsi="Century Gothic"/>
                <w:sz w:val="16"/>
              </w:rPr>
              <w:footnoteReference w:id="2"/>
            </w:r>
          </w:p>
          <w:p w:rsidR="00E67C78" w:rsidRPr="001E0C6C" w:rsidRDefault="002C146F" w:rsidP="0001785E">
            <w:pPr>
              <w:pStyle w:val="Default"/>
              <w:numPr>
                <w:ilvl w:val="0"/>
                <w:numId w:val="15"/>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C146F">
              <w:rPr>
                <w:rFonts w:ascii="Century Gothic" w:hAnsi="Century Gothic"/>
                <w:sz w:val="16"/>
                <w:szCs w:val="16"/>
              </w:rPr>
              <w:t xml:space="preserve">den Anteil der Vermögenswerte mit einem wesentlichen physischen Risiko, auf die sich die </w:t>
            </w:r>
            <w:r w:rsidRPr="002C146F">
              <w:rPr>
                <w:rFonts w:ascii="Century Gothic" w:hAnsi="Century Gothic"/>
                <w:b/>
                <w:bCs/>
                <w:sz w:val="16"/>
                <w:szCs w:val="16"/>
              </w:rPr>
              <w:t xml:space="preserve">Maßnahmen zur Anpassung an den Klimawandel </w:t>
            </w:r>
            <w:r w:rsidRPr="002C146F">
              <w:rPr>
                <w:rFonts w:ascii="Century Gothic" w:hAnsi="Century Gothic"/>
                <w:sz w:val="16"/>
                <w:szCs w:val="16"/>
              </w:rPr>
              <w:t>beziehen,</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rsidR="0047207E" w:rsidRPr="000E0C5F" w:rsidRDefault="0047207E" w:rsidP="0001785E">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p>
        </w:tc>
      </w:tr>
    </w:tbl>
    <w:p w:rsidR="005379FF" w:rsidRDefault="005379FF" w:rsidP="005379FF">
      <w:pPr>
        <w:pStyle w:val="Default"/>
        <w:rPr>
          <w:rFonts w:ascii="Century Gothic" w:hAnsi="Century Gothic"/>
          <w:sz w:val="12"/>
          <w:szCs w:val="12"/>
        </w:rPr>
      </w:pPr>
    </w:p>
    <w:p w:rsidR="0001785E" w:rsidRDefault="0001785E">
      <w:r>
        <w:rPr>
          <w:b/>
          <w:bCs/>
        </w:rPr>
        <w:br w:type="page"/>
      </w:r>
      <w:bookmarkStart w:id="1" w:name="_GoBack"/>
      <w:bookmarkEnd w:id="1"/>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8"/>
        <w:gridCol w:w="6239"/>
        <w:gridCol w:w="1845"/>
      </w:tblGrid>
      <w:tr w:rsidR="00865770" w:rsidRPr="00122B7B" w:rsidTr="000954D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65770" w:rsidRPr="00122B7B" w:rsidRDefault="00865770" w:rsidP="00CB3FB9">
            <w:pPr>
              <w:spacing w:before="40" w:after="40"/>
              <w:jc w:val="left"/>
              <w:rPr>
                <w:color w:val="000000" w:themeColor="text1"/>
                <w:sz w:val="20"/>
                <w:szCs w:val="20"/>
              </w:rPr>
            </w:pPr>
            <w:r w:rsidRPr="00122B7B">
              <w:rPr>
                <w:color w:val="000000" w:themeColor="text1"/>
                <w:sz w:val="20"/>
                <w:szCs w:val="20"/>
              </w:rPr>
              <w:lastRenderedPageBreak/>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r w:rsidR="00C74532">
              <w:rPr>
                <w:color w:val="000000" w:themeColor="text1"/>
                <w:sz w:val="20"/>
                <w:szCs w:val="20"/>
              </w:rPr>
              <w:t>;</w:t>
            </w:r>
            <w:r w:rsidR="00F82B24">
              <w:rPr>
                <w:color w:val="000000" w:themeColor="text1"/>
                <w:sz w:val="20"/>
                <w:szCs w:val="20"/>
              </w:rPr>
              <w:t xml:space="preserve"> Forts.</w:t>
            </w:r>
          </w:p>
        </w:tc>
      </w:tr>
      <w:tr w:rsidR="00865770" w:rsidRPr="00956125" w:rsidTr="0009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vAlign w:val="center"/>
          </w:tcPr>
          <w:p w:rsidR="00865770" w:rsidRPr="00956125" w:rsidRDefault="00865770" w:rsidP="00CB3FB9">
            <w:pPr>
              <w:spacing w:before="0"/>
              <w:jc w:val="left"/>
              <w:rPr>
                <w:color w:val="000000" w:themeColor="text1"/>
                <w:sz w:val="2"/>
                <w:szCs w:val="2"/>
              </w:rPr>
            </w:pPr>
          </w:p>
        </w:tc>
      </w:tr>
      <w:tr w:rsidR="00865770" w:rsidRPr="00865770" w:rsidTr="000954DF">
        <w:trPr>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228B22"/>
          </w:tcPr>
          <w:p w:rsidR="002C146F" w:rsidRPr="00865770" w:rsidRDefault="002C146F" w:rsidP="00E01E0B">
            <w:pPr>
              <w:spacing w:before="0"/>
              <w:contextualSpacing/>
              <w:jc w:val="center"/>
              <w:rPr>
                <w:color w:val="FFFFFF" w:themeColor="background1"/>
                <w:sz w:val="20"/>
                <w:szCs w:val="20"/>
              </w:rPr>
            </w:pPr>
            <w:r w:rsidRPr="00865770">
              <w:rPr>
                <w:color w:val="FFFFFF" w:themeColor="background1"/>
                <w:sz w:val="20"/>
                <w:szCs w:val="20"/>
              </w:rPr>
              <w:t>Quelle ESRS E1</w:t>
            </w:r>
          </w:p>
        </w:tc>
        <w:tc>
          <w:tcPr>
            <w:tcW w:w="6239" w:type="dxa"/>
            <w:tcBorders>
              <w:top w:val="single" w:sz="4" w:space="0" w:color="auto"/>
              <w:left w:val="single" w:sz="4" w:space="0" w:color="auto"/>
              <w:bottom w:val="single" w:sz="4" w:space="0" w:color="auto"/>
              <w:right w:val="single" w:sz="4" w:space="0" w:color="auto"/>
            </w:tcBorders>
            <w:shd w:val="clear" w:color="auto" w:fill="228B22"/>
          </w:tcPr>
          <w:p w:rsidR="002C146F" w:rsidRPr="00865770" w:rsidRDefault="002C146F" w:rsidP="00E01E0B">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865770">
              <w:rPr>
                <w:b/>
                <w:color w:val="FFFFFF" w:themeColor="background1"/>
                <w:sz w:val="20"/>
                <w:szCs w:val="20"/>
              </w:rPr>
              <w:t>Parameter und Ziele</w:t>
            </w:r>
          </w:p>
        </w:tc>
        <w:tc>
          <w:tcPr>
            <w:tcW w:w="1845" w:type="dxa"/>
            <w:tcBorders>
              <w:top w:val="single" w:sz="4" w:space="0" w:color="auto"/>
              <w:left w:val="single" w:sz="4" w:space="0" w:color="auto"/>
              <w:bottom w:val="single" w:sz="4" w:space="0" w:color="auto"/>
              <w:right w:val="single" w:sz="4" w:space="0" w:color="auto"/>
            </w:tcBorders>
            <w:shd w:val="clear" w:color="auto" w:fill="228B22"/>
          </w:tcPr>
          <w:p w:rsidR="002C146F" w:rsidRPr="00865770" w:rsidRDefault="002C146F" w:rsidP="00E01E0B">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865770">
              <w:rPr>
                <w:b/>
                <w:color w:val="FFFFFF" w:themeColor="background1"/>
                <w:sz w:val="16"/>
                <w:szCs w:val="16"/>
              </w:rPr>
              <w:t>Bemerkungen, ggf. Verweis auf Datenpunkte</w:t>
            </w:r>
          </w:p>
        </w:tc>
      </w:tr>
      <w:tr w:rsidR="001E0C6C" w:rsidRPr="000E0C5F" w:rsidTr="000954D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1E0C6C" w:rsidRPr="002C146F" w:rsidRDefault="001E0C6C" w:rsidP="00E01E0B">
            <w:pPr>
              <w:spacing w:before="0"/>
              <w:contextualSpacing/>
              <w:jc w:val="center"/>
              <w:rPr>
                <w:color w:val="000000" w:themeColor="text1"/>
                <w:sz w:val="16"/>
                <w:szCs w:val="16"/>
              </w:rPr>
            </w:pPr>
            <w:r>
              <w:rPr>
                <w:color w:val="000000" w:themeColor="text1"/>
                <w:sz w:val="16"/>
                <w:szCs w:val="16"/>
              </w:rPr>
              <w:t>Tz. 66</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1E0C6C" w:rsidRDefault="001E0C6C" w:rsidP="00E01E0B">
            <w:pPr>
              <w:pStyle w:val="Default"/>
              <w:numPr>
                <w:ilvl w:val="0"/>
                <w:numId w:val="15"/>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C146F">
              <w:rPr>
                <w:rFonts w:ascii="Century Gothic" w:hAnsi="Century Gothic"/>
                <w:sz w:val="16"/>
                <w:szCs w:val="16"/>
              </w:rPr>
              <w:t>den Ort, an dem sich erhebliche Vermögenswerte mit einem wesentlichen physischen Risiko befinden</w:t>
            </w:r>
            <w:r w:rsidR="00950EA7">
              <w:rPr>
                <w:rStyle w:val="Funotenzeichen"/>
                <w:rFonts w:ascii="Century Gothic" w:hAnsi="Century Gothic"/>
                <w:sz w:val="16"/>
              </w:rPr>
              <w:footnoteReference w:id="3"/>
            </w:r>
            <w:r w:rsidR="00950EA7">
              <w:rPr>
                <w:rFonts w:ascii="Century Gothic" w:hAnsi="Century Gothic"/>
                <w:sz w:val="16"/>
                <w:szCs w:val="16"/>
              </w:rPr>
              <w:t xml:space="preserve"> </w:t>
            </w:r>
            <w:r w:rsidRPr="002C146F">
              <w:rPr>
                <w:rFonts w:ascii="Century Gothic" w:hAnsi="Century Gothic"/>
                <w:sz w:val="16"/>
                <w:szCs w:val="16"/>
              </w:rPr>
              <w:t>und</w:t>
            </w:r>
          </w:p>
          <w:p w:rsidR="001E0C6C" w:rsidRPr="00325A9C" w:rsidRDefault="001E0C6C" w:rsidP="00E01E0B">
            <w:pPr>
              <w:pStyle w:val="Default"/>
              <w:numPr>
                <w:ilvl w:val="0"/>
                <w:numId w:val="15"/>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den</w:t>
            </w:r>
            <w:r w:rsidRPr="002C146F">
              <w:rPr>
                <w:rFonts w:ascii="Century Gothic" w:hAnsi="Century Gothic"/>
                <w:sz w:val="16"/>
                <w:szCs w:val="16"/>
              </w:rPr>
              <w:t xml:space="preserve"> Geldbetrag und den Anteil (Prozentsatz) der Nettoeinnahmen aus seinen Geschäftstätigkeiten mit einem kurz-, mittel- und langfristigen wesentlichen physischen Risiko.</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E0C6C" w:rsidRPr="000E0C5F" w:rsidRDefault="001E0C6C" w:rsidP="00E01E0B">
            <w:pPr>
              <w:spacing w:before="0"/>
              <w:contextualSpacing/>
              <w:cnfStyle w:val="000000100000" w:firstRow="0" w:lastRow="0" w:firstColumn="0" w:lastColumn="0" w:oddVBand="0" w:evenVBand="0" w:oddHBand="1" w:evenHBand="0" w:firstRowFirstColumn="0" w:firstRowLastColumn="0" w:lastRowFirstColumn="0" w:lastRowLastColumn="0"/>
              <w:rPr>
                <w:sz w:val="20"/>
              </w:rPr>
            </w:pPr>
          </w:p>
        </w:tc>
      </w:tr>
      <w:tr w:rsidR="00E67C78" w:rsidRPr="000E0C5F" w:rsidTr="000954DF">
        <w:trPr>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E67C78" w:rsidRPr="002C146F" w:rsidRDefault="00E67C78" w:rsidP="00E01E0B">
            <w:pPr>
              <w:spacing w:before="0"/>
              <w:contextualSpacing/>
              <w:jc w:val="center"/>
              <w:rPr>
                <w:color w:val="000000" w:themeColor="text1"/>
                <w:sz w:val="16"/>
                <w:szCs w:val="16"/>
              </w:rPr>
            </w:pPr>
            <w:r w:rsidRPr="002C146F">
              <w:rPr>
                <w:color w:val="000000" w:themeColor="text1"/>
                <w:sz w:val="16"/>
                <w:szCs w:val="16"/>
              </w:rPr>
              <w:t xml:space="preserve">Tz. </w:t>
            </w:r>
            <w:r w:rsidR="002C146F">
              <w:rPr>
                <w:color w:val="000000" w:themeColor="text1"/>
                <w:sz w:val="16"/>
                <w:szCs w:val="16"/>
              </w:rPr>
              <w:t>67</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2C146F" w:rsidRPr="00325A9C" w:rsidRDefault="002C146F" w:rsidP="00E01E0B">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25A9C">
              <w:rPr>
                <w:rFonts w:ascii="Century Gothic" w:hAnsi="Century Gothic"/>
                <w:sz w:val="16"/>
                <w:szCs w:val="16"/>
              </w:rPr>
              <w:t xml:space="preserve">Die Angabe </w:t>
            </w:r>
            <w:r w:rsidRPr="00427B9D">
              <w:rPr>
                <w:rFonts w:ascii="Century Gothic" w:hAnsi="Century Gothic"/>
                <w:b/>
                <w:bCs/>
                <w:sz w:val="16"/>
                <w:szCs w:val="16"/>
                <w:highlight w:val="yellow"/>
              </w:rPr>
              <w:t>erwarteter finanzieller Auswirkungen</w:t>
            </w:r>
            <w:r w:rsidRPr="00325A9C">
              <w:rPr>
                <w:rFonts w:ascii="Century Gothic" w:hAnsi="Century Gothic"/>
                <w:bCs/>
                <w:sz w:val="16"/>
                <w:szCs w:val="16"/>
              </w:rPr>
              <w:t xml:space="preserve"> </w:t>
            </w:r>
            <w:r w:rsidRPr="00325A9C">
              <w:rPr>
                <w:rFonts w:ascii="Century Gothic" w:hAnsi="Century Gothic"/>
                <w:sz w:val="16"/>
                <w:szCs w:val="16"/>
              </w:rPr>
              <w:t>aufgrund von wesentlichen Übergangsrisiken gemäß Absatz 64 Buchstabe b umfasst Folgendes:</w:t>
            </w:r>
          </w:p>
          <w:p w:rsidR="002C146F" w:rsidRPr="00325A9C" w:rsidRDefault="002C146F" w:rsidP="00E01E0B">
            <w:pPr>
              <w:pStyle w:val="Default"/>
              <w:numPr>
                <w:ilvl w:val="0"/>
                <w:numId w:val="16"/>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25A9C">
              <w:rPr>
                <w:rFonts w:ascii="Century Gothic" w:hAnsi="Century Gothic"/>
                <w:sz w:val="16"/>
                <w:szCs w:val="16"/>
              </w:rPr>
              <w:t xml:space="preserve">den Geldbetrag und den Anteil (Prozentsatz) der Vermögenswerte mit einem kurz-, mittel- und langfristigen wesentlichen Übergangsrisiko, bevor </w:t>
            </w:r>
            <w:r w:rsidRPr="00325A9C">
              <w:rPr>
                <w:rFonts w:ascii="Century Gothic" w:hAnsi="Century Gothic"/>
                <w:b/>
                <w:bCs/>
                <w:color w:val="000000" w:themeColor="text1"/>
                <w:sz w:val="16"/>
                <w:szCs w:val="16"/>
              </w:rPr>
              <w:t>Klimaschutzmaßnahmen</w:t>
            </w:r>
            <w:r w:rsidRPr="00325A9C">
              <w:rPr>
                <w:rFonts w:ascii="Century Gothic" w:hAnsi="Century Gothic"/>
                <w:bCs/>
                <w:sz w:val="16"/>
                <w:szCs w:val="16"/>
              </w:rPr>
              <w:t xml:space="preserve"> </w:t>
            </w:r>
            <w:r w:rsidRPr="00325A9C">
              <w:rPr>
                <w:rFonts w:ascii="Century Gothic" w:hAnsi="Century Gothic"/>
                <w:sz w:val="16"/>
                <w:szCs w:val="16"/>
              </w:rPr>
              <w:t>in Betracht gezogen werden,</w:t>
            </w:r>
          </w:p>
          <w:p w:rsidR="002C146F" w:rsidRPr="00325A9C" w:rsidRDefault="002C146F" w:rsidP="00E01E0B">
            <w:pPr>
              <w:pStyle w:val="Default"/>
              <w:numPr>
                <w:ilvl w:val="0"/>
                <w:numId w:val="16"/>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25A9C">
              <w:rPr>
                <w:rFonts w:ascii="Century Gothic" w:hAnsi="Century Gothic"/>
                <w:sz w:val="16"/>
                <w:szCs w:val="16"/>
              </w:rPr>
              <w:t xml:space="preserve">den Anteil der Vermögenswerte mit einem wesentlichen Übergangsrisiko, auf die sich die </w:t>
            </w:r>
            <w:r w:rsidRPr="00325A9C">
              <w:rPr>
                <w:rFonts w:ascii="Century Gothic" w:hAnsi="Century Gothic"/>
                <w:b/>
                <w:bCs/>
                <w:sz w:val="16"/>
                <w:szCs w:val="16"/>
              </w:rPr>
              <w:t>Klimaschutzmaßnahmen</w:t>
            </w:r>
            <w:r w:rsidRPr="00325A9C">
              <w:rPr>
                <w:rFonts w:ascii="Century Gothic" w:hAnsi="Century Gothic"/>
                <w:bCs/>
                <w:sz w:val="16"/>
                <w:szCs w:val="16"/>
              </w:rPr>
              <w:t xml:space="preserve"> </w:t>
            </w:r>
            <w:r w:rsidRPr="00325A9C">
              <w:rPr>
                <w:rFonts w:ascii="Century Gothic" w:hAnsi="Century Gothic"/>
                <w:sz w:val="16"/>
                <w:szCs w:val="16"/>
              </w:rPr>
              <w:t>beziehen,</w:t>
            </w:r>
          </w:p>
          <w:p w:rsidR="002C146F" w:rsidRPr="00325A9C" w:rsidRDefault="002C146F" w:rsidP="00E01E0B">
            <w:pPr>
              <w:pStyle w:val="Default"/>
              <w:numPr>
                <w:ilvl w:val="0"/>
                <w:numId w:val="16"/>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25A9C">
              <w:rPr>
                <w:rFonts w:ascii="Century Gothic" w:hAnsi="Century Gothic"/>
                <w:sz w:val="16"/>
                <w:szCs w:val="16"/>
              </w:rPr>
              <w:t>eine Aufschlüsselung des Buchwerts der Immobilien des Unternehmens nach Energieeffizienzklassen</w:t>
            </w:r>
            <w:r w:rsidR="00950EA7">
              <w:rPr>
                <w:rStyle w:val="Funotenzeichen"/>
                <w:rFonts w:ascii="Century Gothic" w:hAnsi="Century Gothic"/>
                <w:sz w:val="16"/>
              </w:rPr>
              <w:footnoteReference w:id="4"/>
            </w:r>
            <w:r w:rsidRPr="00325A9C">
              <w:rPr>
                <w:rFonts w:ascii="Century Gothic" w:hAnsi="Century Gothic"/>
                <w:sz w:val="16"/>
                <w:szCs w:val="16"/>
              </w:rPr>
              <w:t>,</w:t>
            </w:r>
          </w:p>
          <w:p w:rsidR="002C146F" w:rsidRPr="00325A9C" w:rsidRDefault="002C146F" w:rsidP="00E01E0B">
            <w:pPr>
              <w:pStyle w:val="Default"/>
              <w:numPr>
                <w:ilvl w:val="0"/>
                <w:numId w:val="16"/>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25A9C">
              <w:rPr>
                <w:rFonts w:ascii="Century Gothic" w:hAnsi="Century Gothic"/>
                <w:sz w:val="16"/>
                <w:szCs w:val="16"/>
              </w:rPr>
              <w:t>Verbindlichkeiten, die möglicherweise im Abschluss kurz-, mittel- und langfristig erfasst werden müssen, und</w:t>
            </w:r>
          </w:p>
          <w:p w:rsidR="00E67C78" w:rsidRPr="00325A9C" w:rsidRDefault="002C146F" w:rsidP="00E01E0B">
            <w:pPr>
              <w:pStyle w:val="Default"/>
              <w:numPr>
                <w:ilvl w:val="0"/>
                <w:numId w:val="16"/>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Cs/>
                <w:sz w:val="16"/>
                <w:szCs w:val="16"/>
              </w:rPr>
            </w:pPr>
            <w:r w:rsidRPr="00325A9C">
              <w:rPr>
                <w:rFonts w:ascii="Century Gothic" w:hAnsi="Century Gothic"/>
                <w:sz w:val="16"/>
                <w:szCs w:val="16"/>
              </w:rPr>
              <w:t>den Geldbetrag und den Anteil (Prozentsatz) der Nettoeinnahmen aus seinen Geschäftstätigkeiten mit einem kurz-, mittel- und langfristigen wesentlichen Übergangsrisiko, gegebenenfalls einschließlich der Nettoeinnahmen von Kunden des Unternehmens, die im Kohle-, Öl- und Gassektor tätig sind.</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67C78" w:rsidRPr="000E0C5F" w:rsidRDefault="00E67C78" w:rsidP="00E01E0B">
            <w:pPr>
              <w:spacing w:before="0"/>
              <w:contextualSpacing/>
              <w:cnfStyle w:val="000000000000" w:firstRow="0" w:lastRow="0" w:firstColumn="0" w:lastColumn="0" w:oddVBand="0" w:evenVBand="0" w:oddHBand="0" w:evenHBand="0" w:firstRowFirstColumn="0" w:firstRowLastColumn="0" w:lastRowFirstColumn="0" w:lastRowLastColumn="0"/>
              <w:rPr>
                <w:sz w:val="20"/>
              </w:rPr>
            </w:pPr>
          </w:p>
        </w:tc>
      </w:tr>
      <w:tr w:rsidR="003D15FE" w:rsidTr="000954D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3D15FE" w:rsidRPr="0015165A" w:rsidRDefault="003D15FE" w:rsidP="00E01E0B">
            <w:pPr>
              <w:spacing w:before="0"/>
              <w:contextualSpacing/>
              <w:jc w:val="center"/>
              <w:rPr>
                <w:sz w:val="16"/>
                <w:szCs w:val="16"/>
              </w:rPr>
            </w:pPr>
            <w:r w:rsidRPr="0015165A">
              <w:rPr>
                <w:sz w:val="16"/>
                <w:szCs w:val="16"/>
              </w:rPr>
              <w:t xml:space="preserve">Tz. </w:t>
            </w:r>
            <w:r w:rsidR="00E67C78">
              <w:rPr>
                <w:sz w:val="16"/>
                <w:szCs w:val="16"/>
              </w:rPr>
              <w:t>6</w:t>
            </w:r>
            <w:r w:rsidR="00387D29">
              <w:rPr>
                <w:sz w:val="16"/>
                <w:szCs w:val="16"/>
              </w:rPr>
              <w:t>8</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387D29" w:rsidRPr="00387D29" w:rsidRDefault="00387D29" w:rsidP="00E01E0B">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87D29">
              <w:rPr>
                <w:rFonts w:ascii="Century Gothic" w:hAnsi="Century Gothic"/>
                <w:sz w:val="16"/>
                <w:szCs w:val="16"/>
              </w:rPr>
              <w:t xml:space="preserve">Das Unternehmen legt die </w:t>
            </w:r>
            <w:r w:rsidRPr="00427B9D">
              <w:rPr>
                <w:rFonts w:ascii="Century Gothic" w:hAnsi="Century Gothic"/>
                <w:sz w:val="16"/>
                <w:szCs w:val="16"/>
                <w:highlight w:val="yellow"/>
              </w:rPr>
              <w:t>Abgleiche</w:t>
            </w:r>
            <w:r w:rsidRPr="00387D29">
              <w:rPr>
                <w:rFonts w:ascii="Century Gothic" w:hAnsi="Century Gothic"/>
                <w:sz w:val="16"/>
                <w:szCs w:val="16"/>
              </w:rPr>
              <w:t xml:space="preserve"> der folgenden Beträge mit den entsprechenden Posten oder den </w:t>
            </w:r>
            <w:r w:rsidRPr="00427B9D">
              <w:rPr>
                <w:rFonts w:ascii="Century Gothic" w:hAnsi="Century Gothic"/>
                <w:sz w:val="16"/>
                <w:szCs w:val="16"/>
                <w:highlight w:val="yellow"/>
              </w:rPr>
              <w:t>Erläuterungen im Abschluss</w:t>
            </w:r>
            <w:r w:rsidRPr="00387D29">
              <w:rPr>
                <w:rFonts w:ascii="Century Gothic" w:hAnsi="Century Gothic"/>
                <w:sz w:val="16"/>
                <w:szCs w:val="16"/>
              </w:rPr>
              <w:t xml:space="preserve"> offen:</w:t>
            </w:r>
          </w:p>
          <w:p w:rsidR="00387D29" w:rsidRPr="00387D29" w:rsidRDefault="00387D29" w:rsidP="00E01E0B">
            <w:pPr>
              <w:pStyle w:val="Default"/>
              <w:numPr>
                <w:ilvl w:val="0"/>
                <w:numId w:val="17"/>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87D29">
              <w:rPr>
                <w:rFonts w:ascii="Century Gothic" w:hAnsi="Century Gothic"/>
                <w:sz w:val="16"/>
                <w:szCs w:val="16"/>
              </w:rPr>
              <w:t>erhebliche Beträge der Vermögenswerte und Nettoeinnahmen mit einem wesentlichen physischen Risiko (gemäß Absatz 66),</w:t>
            </w:r>
          </w:p>
          <w:p w:rsidR="003D15FE" w:rsidRPr="00387D29" w:rsidRDefault="00387D29" w:rsidP="00E01E0B">
            <w:pPr>
              <w:pStyle w:val="Default"/>
              <w:numPr>
                <w:ilvl w:val="0"/>
                <w:numId w:val="17"/>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387D29">
              <w:rPr>
                <w:rFonts w:ascii="Century Gothic" w:hAnsi="Century Gothic"/>
                <w:sz w:val="16"/>
                <w:szCs w:val="16"/>
              </w:rPr>
              <w:t>erhebliche Beträge der Vermögenswerte, Schulden und Nettoeinnahmen mit einem wesentlichen Übergangsrisiko (gemäß Absatz 67).</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3D15FE" w:rsidRPr="00D12D82" w:rsidRDefault="00427B9D" w:rsidP="00E01E0B">
            <w:pPr>
              <w:spacing w:before="0"/>
              <w:contextualSpacing/>
              <w:cnfStyle w:val="000000100000" w:firstRow="0" w:lastRow="0" w:firstColumn="0" w:lastColumn="0" w:oddVBand="0" w:evenVBand="0" w:oddHBand="1" w:evenHBand="0" w:firstRowFirstColumn="0" w:firstRowLastColumn="0" w:lastRowFirstColumn="0" w:lastRowLastColumn="0"/>
              <w:rPr>
                <w:sz w:val="16"/>
              </w:rPr>
            </w:pPr>
            <w:r>
              <w:rPr>
                <w:noProof/>
                <w:sz w:val="20"/>
              </w:rPr>
              <mc:AlternateContent>
                <mc:Choice Requires="wps">
                  <w:drawing>
                    <wp:anchor distT="0" distB="0" distL="114300" distR="114300" simplePos="0" relativeHeight="251663360" behindDoc="0" locked="0" layoutInCell="1" allowOverlap="1" wp14:anchorId="55C47BB7" wp14:editId="6DCAFD09">
                      <wp:simplePos x="0" y="0"/>
                      <wp:positionH relativeFrom="column">
                        <wp:posOffset>84773</wp:posOffset>
                      </wp:positionH>
                      <wp:positionV relativeFrom="paragraph">
                        <wp:posOffset>91758</wp:posOffset>
                      </wp:positionV>
                      <wp:extent cx="990600" cy="414020"/>
                      <wp:effectExtent l="133350" t="0" r="0" b="5080"/>
                      <wp:wrapNone/>
                      <wp:docPr id="1" name="Sprechblase: rechteckig 1"/>
                      <wp:cNvGraphicFramePr/>
                      <a:graphic xmlns:a="http://schemas.openxmlformats.org/drawingml/2006/main">
                        <a:graphicData uri="http://schemas.microsoft.com/office/word/2010/wordprocessingShape">
                          <wps:wsp>
                            <wps:cNvSpPr/>
                            <wps:spPr>
                              <a:xfrm>
                                <a:off x="0" y="0"/>
                                <a:ext cx="990600" cy="414020"/>
                              </a:xfrm>
                              <a:prstGeom prst="wedgeRectCallout">
                                <a:avLst>
                                  <a:gd name="adj1" fmla="val -62158"/>
                                  <a:gd name="adj2" fmla="val 24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B9D" w:rsidRPr="00427B9D" w:rsidRDefault="00427B9D" w:rsidP="00427B9D">
                                  <w:pPr>
                                    <w:spacing w:before="0"/>
                                    <w:jc w:val="center"/>
                                    <w:rPr>
                                      <w:b/>
                                      <w:color w:val="000000" w:themeColor="text1"/>
                                      <w:sz w:val="15"/>
                                      <w:szCs w:val="15"/>
                                    </w:rPr>
                                  </w:pPr>
                                  <w:r w:rsidRPr="00427B9D">
                                    <w:rPr>
                                      <w:b/>
                                      <w:color w:val="000000" w:themeColor="text1"/>
                                      <w:sz w:val="15"/>
                                      <w:szCs w:val="15"/>
                                    </w:rPr>
                                    <w:t xml:space="preserve">Brücke </w:t>
                                  </w:r>
                                  <w:r>
                                    <w:rPr>
                                      <w:b/>
                                      <w:color w:val="000000" w:themeColor="text1"/>
                                      <w:sz w:val="15"/>
                                      <w:szCs w:val="15"/>
                                    </w:rPr>
                                    <w:t xml:space="preserve">zu </w:t>
                                  </w:r>
                                  <w:r>
                                    <w:rPr>
                                      <w:b/>
                                      <w:color w:val="000000" w:themeColor="text1"/>
                                      <w:sz w:val="15"/>
                                      <w:szCs w:val="15"/>
                                    </w:rPr>
                                    <w:br/>
                                    <w:t>Jahresabschluss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47B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1" o:spid="_x0000_s1026" type="#_x0000_t61" style="position:absolute;left:0;text-align:left;margin-left:6.7pt;margin-top:7.25pt;width:78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" adj="-2626,10852" fillcolor="#d8d8d8 [2732]" stroked="f" strokeweight="2pt">
                      <v:textbox>
                        <w:txbxContent>
                          <w:p w:rsidR="00427B9D" w:rsidRPr="00427B9D" w:rsidRDefault="00427B9D" w:rsidP="00427B9D">
                            <w:pPr>
                              <w:spacing w:before="0"/>
                              <w:jc w:val="center"/>
                              <w:rPr>
                                <w:b/>
                                <w:color w:val="000000" w:themeColor="text1"/>
                                <w:sz w:val="15"/>
                                <w:szCs w:val="15"/>
                              </w:rPr>
                            </w:pPr>
                            <w:r w:rsidRPr="00427B9D">
                              <w:rPr>
                                <w:b/>
                                <w:color w:val="000000" w:themeColor="text1"/>
                                <w:sz w:val="15"/>
                                <w:szCs w:val="15"/>
                              </w:rPr>
                              <w:t xml:space="preserve">Brücke </w:t>
                            </w:r>
                            <w:r>
                              <w:rPr>
                                <w:b/>
                                <w:color w:val="000000" w:themeColor="text1"/>
                                <w:sz w:val="15"/>
                                <w:szCs w:val="15"/>
                              </w:rPr>
                              <w:t xml:space="preserve">zu </w:t>
                            </w:r>
                            <w:r>
                              <w:rPr>
                                <w:b/>
                                <w:color w:val="000000" w:themeColor="text1"/>
                                <w:sz w:val="15"/>
                                <w:szCs w:val="15"/>
                              </w:rPr>
                              <w:br/>
                              <w:t>Jahresabschluss</w:t>
                            </w:r>
                          </w:p>
                        </w:txbxContent>
                      </v:textbox>
                    </v:shape>
                  </w:pict>
                </mc:Fallback>
              </mc:AlternateContent>
            </w:r>
          </w:p>
        </w:tc>
      </w:tr>
      <w:tr w:rsidR="003D15FE" w:rsidTr="000954DF">
        <w:trPr>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3D15FE" w:rsidRPr="0015165A" w:rsidRDefault="003D15FE" w:rsidP="00E01E0B">
            <w:pPr>
              <w:spacing w:before="0"/>
              <w:contextualSpacing/>
              <w:jc w:val="center"/>
              <w:rPr>
                <w:sz w:val="16"/>
                <w:szCs w:val="16"/>
              </w:rPr>
            </w:pPr>
            <w:r w:rsidRPr="0015165A">
              <w:rPr>
                <w:sz w:val="16"/>
                <w:szCs w:val="16"/>
              </w:rPr>
              <w:t xml:space="preserve">Tz. </w:t>
            </w:r>
            <w:r w:rsidR="00387D29">
              <w:rPr>
                <w:sz w:val="16"/>
                <w:szCs w:val="16"/>
              </w:rPr>
              <w:t>69</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387D29" w:rsidRPr="00387D29" w:rsidRDefault="00387D29" w:rsidP="00E01E0B">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87D29">
              <w:rPr>
                <w:rFonts w:ascii="Century Gothic" w:hAnsi="Century Gothic"/>
                <w:sz w:val="16"/>
                <w:szCs w:val="16"/>
              </w:rPr>
              <w:t xml:space="preserve">Bei der Angabe des Potenzials zur Nutzung klimabezogener </w:t>
            </w:r>
            <w:r w:rsidRPr="00387D29">
              <w:rPr>
                <w:rFonts w:ascii="Century Gothic" w:hAnsi="Century Gothic"/>
                <w:b/>
                <w:bCs/>
                <w:sz w:val="16"/>
                <w:szCs w:val="16"/>
              </w:rPr>
              <w:t xml:space="preserve">Chancen </w:t>
            </w:r>
            <w:r w:rsidRPr="00387D29">
              <w:rPr>
                <w:rFonts w:ascii="Century Gothic" w:hAnsi="Century Gothic"/>
                <w:sz w:val="16"/>
                <w:szCs w:val="16"/>
              </w:rPr>
              <w:t>gemäß Absatz 64 Buchstabe c berücksichtigt das Unternehmen</w:t>
            </w:r>
            <w:r w:rsidR="00950EA7">
              <w:rPr>
                <w:rStyle w:val="Funotenzeichen"/>
                <w:rFonts w:ascii="Century Gothic" w:hAnsi="Century Gothic"/>
                <w:sz w:val="16"/>
              </w:rPr>
              <w:footnoteReference w:id="5"/>
            </w:r>
          </w:p>
          <w:p w:rsidR="00387D29" w:rsidRPr="00387D29" w:rsidRDefault="00387D29" w:rsidP="00E01E0B">
            <w:pPr>
              <w:pStyle w:val="Default"/>
              <w:numPr>
                <w:ilvl w:val="0"/>
                <w:numId w:val="18"/>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87D29">
              <w:rPr>
                <w:rFonts w:ascii="Century Gothic" w:hAnsi="Century Gothic"/>
                <w:sz w:val="16"/>
                <w:szCs w:val="16"/>
              </w:rPr>
              <w:t xml:space="preserve">seine erwarteten Kosteneinsparungen durch </w:t>
            </w:r>
            <w:r w:rsidRPr="00387D29">
              <w:rPr>
                <w:rFonts w:ascii="Century Gothic" w:hAnsi="Century Gothic"/>
                <w:b/>
                <w:bCs/>
                <w:sz w:val="16"/>
                <w:szCs w:val="16"/>
              </w:rPr>
              <w:t xml:space="preserve">Maßnahmen zum Klimaschutz </w:t>
            </w:r>
            <w:r w:rsidRPr="00387D29">
              <w:rPr>
                <w:rFonts w:ascii="Century Gothic" w:hAnsi="Century Gothic"/>
                <w:sz w:val="16"/>
                <w:szCs w:val="16"/>
              </w:rPr>
              <w:t>und zur Anpassung an den Klimawandel und</w:t>
            </w:r>
          </w:p>
          <w:p w:rsidR="003D15FE" w:rsidRPr="00387D29" w:rsidRDefault="00387D29" w:rsidP="00E01E0B">
            <w:pPr>
              <w:pStyle w:val="Default"/>
              <w:numPr>
                <w:ilvl w:val="0"/>
                <w:numId w:val="18"/>
              </w:numPr>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387D29">
              <w:rPr>
                <w:rFonts w:ascii="Century Gothic" w:hAnsi="Century Gothic"/>
                <w:sz w:val="16"/>
                <w:szCs w:val="16"/>
              </w:rPr>
              <w:t>die potenzielle Marktgröße oder erwartete Veränderungen der Nettoeinnahmen aus CO</w:t>
            </w:r>
            <w:r w:rsidRPr="00F6422C">
              <w:rPr>
                <w:rFonts w:ascii="Century Gothic" w:hAnsi="Century Gothic"/>
                <w:sz w:val="16"/>
                <w:szCs w:val="16"/>
                <w:vertAlign w:val="subscript"/>
              </w:rPr>
              <w:t>2</w:t>
            </w:r>
            <w:r w:rsidRPr="00387D29">
              <w:rPr>
                <w:rFonts w:ascii="Century Gothic" w:hAnsi="Century Gothic"/>
                <w:sz w:val="16"/>
                <w:szCs w:val="16"/>
              </w:rPr>
              <w:t>-armen Produkten und Dienstleistungen oder Anpassungslösungen, zu denen das Unternehmen Zugang hat oder haben könnte.</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3D15FE" w:rsidRPr="00D12D82" w:rsidRDefault="003D15FE" w:rsidP="00E01E0B">
            <w:pPr>
              <w:spacing w:before="0"/>
              <w:contextualSpacing/>
              <w:cnfStyle w:val="000000000000" w:firstRow="0" w:lastRow="0" w:firstColumn="0" w:lastColumn="0" w:oddVBand="0" w:evenVBand="0" w:oddHBand="0" w:evenHBand="0" w:firstRowFirstColumn="0" w:firstRowLastColumn="0" w:lastRowFirstColumn="0" w:lastRowLastColumn="0"/>
              <w:rPr>
                <w:sz w:val="16"/>
              </w:rPr>
            </w:pPr>
          </w:p>
        </w:tc>
      </w:tr>
      <w:tr w:rsidR="00726EF7" w:rsidTr="000954DF">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C5F1C5"/>
          </w:tcPr>
          <w:p w:rsidR="00726EF7" w:rsidRPr="0015165A" w:rsidRDefault="00726EF7" w:rsidP="00E01E0B">
            <w:pPr>
              <w:spacing w:before="0"/>
              <w:contextualSpacing/>
              <w:jc w:val="center"/>
              <w:rPr>
                <w:sz w:val="16"/>
                <w:szCs w:val="16"/>
              </w:rPr>
            </w:pPr>
            <w:r w:rsidRPr="0015165A">
              <w:rPr>
                <w:sz w:val="16"/>
                <w:szCs w:val="16"/>
              </w:rPr>
              <w:t xml:space="preserve">Tz. </w:t>
            </w:r>
            <w:r>
              <w:rPr>
                <w:sz w:val="16"/>
                <w:szCs w:val="16"/>
              </w:rPr>
              <w:t>70</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726EF7" w:rsidRPr="00726EF7" w:rsidRDefault="00726EF7" w:rsidP="00E01E0B">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726EF7">
              <w:rPr>
                <w:rFonts w:ascii="Century Gothic" w:hAnsi="Century Gothic"/>
                <w:sz w:val="16"/>
                <w:szCs w:val="16"/>
              </w:rPr>
              <w:t xml:space="preserve">Eine Quantifizierung der </w:t>
            </w:r>
            <w:r w:rsidRPr="00726EF7">
              <w:rPr>
                <w:rFonts w:ascii="Century Gothic" w:hAnsi="Century Gothic"/>
                <w:b/>
                <w:bCs/>
                <w:sz w:val="16"/>
                <w:szCs w:val="16"/>
              </w:rPr>
              <w:t>finanziellen Auswirkungen</w:t>
            </w:r>
            <w:r w:rsidRPr="00726EF7">
              <w:rPr>
                <w:rFonts w:ascii="Century Gothic" w:hAnsi="Century Gothic"/>
                <w:sz w:val="16"/>
                <w:szCs w:val="16"/>
              </w:rPr>
              <w:t xml:space="preserve">, die sich aus </w:t>
            </w:r>
            <w:r w:rsidRPr="00726EF7">
              <w:rPr>
                <w:rFonts w:ascii="Century Gothic" w:hAnsi="Century Gothic"/>
                <w:b/>
                <w:bCs/>
                <w:sz w:val="16"/>
                <w:szCs w:val="16"/>
              </w:rPr>
              <w:t xml:space="preserve">Chancen </w:t>
            </w:r>
            <w:r w:rsidRPr="00726EF7">
              <w:rPr>
                <w:rFonts w:ascii="Century Gothic" w:hAnsi="Century Gothic"/>
                <w:sz w:val="16"/>
                <w:szCs w:val="16"/>
              </w:rPr>
              <w:t xml:space="preserve">ergeben, ist nicht erforderlich, wenn eine solche Angabe nicht den qualitativen Merkmalen nützlicher Informationen gemäß Anlage B </w:t>
            </w:r>
            <w:r w:rsidRPr="00726EF7">
              <w:rPr>
                <w:rFonts w:ascii="Century Gothic" w:hAnsi="Century Gothic"/>
                <w:i/>
                <w:iCs/>
                <w:sz w:val="16"/>
                <w:szCs w:val="16"/>
              </w:rPr>
              <w:t xml:space="preserve">Qualitative Merkmale von Informationen </w:t>
            </w:r>
            <w:r w:rsidRPr="00726EF7">
              <w:rPr>
                <w:rFonts w:ascii="Century Gothic" w:hAnsi="Century Gothic"/>
                <w:sz w:val="16"/>
                <w:szCs w:val="16"/>
              </w:rPr>
              <w:t>des ESRS 1 entspricht.</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726EF7" w:rsidRPr="00D12D82" w:rsidRDefault="00726EF7" w:rsidP="00E01E0B">
            <w:pPr>
              <w:spacing w:before="0"/>
              <w:contextualSpacing/>
              <w:cnfStyle w:val="000000100000" w:firstRow="0" w:lastRow="0" w:firstColumn="0" w:lastColumn="0" w:oddVBand="0" w:evenVBand="0" w:oddHBand="1" w:evenHBand="0" w:firstRowFirstColumn="0" w:firstRowLastColumn="0" w:lastRowFirstColumn="0" w:lastRowLastColumn="0"/>
              <w:rPr>
                <w:sz w:val="16"/>
              </w:rPr>
            </w:pPr>
          </w:p>
        </w:tc>
      </w:tr>
    </w:tbl>
    <w:p w:rsidR="002337DF" w:rsidRDefault="002337DF" w:rsidP="006B3907">
      <w:pPr>
        <w:pStyle w:val="Default"/>
        <w:rPr>
          <w:rFonts w:ascii="Century Gothic" w:hAnsi="Century Gothic"/>
          <w:sz w:val="12"/>
          <w:szCs w:val="12"/>
        </w:rPr>
      </w:pPr>
    </w:p>
    <w:tbl>
      <w:tblPr>
        <w:tblStyle w:val="Gitternetztabelle4Akzent6"/>
        <w:tblW w:w="9092" w:type="dxa"/>
        <w:tblInd w:w="-20" w:type="dxa"/>
        <w:tblBorders>
          <w:top w:val="none" w:sz="0" w:space="0" w:color="auto"/>
          <w:left w:val="none" w:sz="0" w:space="0" w:color="auto"/>
          <w:bottom w:val="none" w:sz="0" w:space="0" w:color="auto"/>
          <w:right w:val="none" w:sz="0" w:space="0" w:color="auto"/>
        </w:tblBorders>
        <w:tblLayout w:type="fixed"/>
        <w:tblCellMar>
          <w:top w:w="85" w:type="dxa"/>
          <w:bottom w:w="85" w:type="dxa"/>
        </w:tblCellMar>
        <w:tblLook w:val="04A0" w:firstRow="1" w:lastRow="0" w:firstColumn="1" w:lastColumn="0" w:noHBand="0" w:noVBand="1"/>
      </w:tblPr>
      <w:tblGrid>
        <w:gridCol w:w="20"/>
        <w:gridCol w:w="989"/>
        <w:gridCol w:w="6239"/>
        <w:gridCol w:w="1844"/>
      </w:tblGrid>
      <w:tr w:rsidR="002E153C" w:rsidRPr="00122B7B" w:rsidTr="00956125">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092" w:type="dxa"/>
            <w:gridSpan w:val="4"/>
            <w:tcBorders>
              <w:top w:val="nil"/>
              <w:left w:val="nil"/>
              <w:bottom w:val="nil"/>
              <w:right w:val="nil"/>
            </w:tcBorders>
            <w:shd w:val="clear" w:color="auto" w:fill="D9D9D9" w:themeFill="background1" w:themeFillShade="D9"/>
            <w:vAlign w:val="center"/>
          </w:tcPr>
          <w:p w:rsidR="002E153C" w:rsidRPr="00122B7B" w:rsidRDefault="002E153C" w:rsidP="00CB3FB9">
            <w:pPr>
              <w:spacing w:before="40" w:after="40"/>
              <w:jc w:val="left"/>
              <w:rPr>
                <w:color w:val="000000" w:themeColor="text1"/>
                <w:sz w:val="20"/>
                <w:szCs w:val="20"/>
              </w:rPr>
            </w:pPr>
            <w:r w:rsidRPr="00122B7B">
              <w:rPr>
                <w:color w:val="000000" w:themeColor="text1"/>
                <w:sz w:val="20"/>
                <w:szCs w:val="20"/>
              </w:rPr>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2E153C" w:rsidRPr="000C46EA" w:rsidTr="00956125">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92" w:type="dxa"/>
            <w:gridSpan w:val="4"/>
            <w:tcBorders>
              <w:top w:val="nil"/>
              <w:left w:val="nil"/>
              <w:bottom w:val="nil"/>
              <w:right w:val="nil"/>
            </w:tcBorders>
            <w:shd w:val="clear" w:color="auto" w:fill="auto"/>
            <w:vAlign w:val="center"/>
          </w:tcPr>
          <w:p w:rsidR="002E153C" w:rsidRPr="000C46EA" w:rsidRDefault="002E153C" w:rsidP="00CB3FB9">
            <w:pPr>
              <w:spacing w:before="0"/>
              <w:jc w:val="left"/>
              <w:rPr>
                <w:color w:val="000000" w:themeColor="text1"/>
                <w:sz w:val="2"/>
                <w:szCs w:val="2"/>
              </w:rPr>
            </w:pPr>
          </w:p>
        </w:tc>
      </w:tr>
      <w:tr w:rsidR="00A11D7F" w:rsidRPr="00A11D7F"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228B22"/>
        </w:tblPrEx>
        <w:trPr>
          <w:gridBefore w:val="1"/>
          <w:wBefore w:w="20" w:type="dxa"/>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nil"/>
              <w:left w:val="single" w:sz="4" w:space="0" w:color="auto"/>
              <w:bottom w:val="single" w:sz="4" w:space="0" w:color="auto"/>
              <w:right w:val="single" w:sz="4" w:space="0" w:color="auto"/>
            </w:tcBorders>
            <w:shd w:val="clear" w:color="auto" w:fill="228B22"/>
            <w:vAlign w:val="center"/>
          </w:tcPr>
          <w:p w:rsidR="00E60A33" w:rsidRPr="00A11D7F" w:rsidRDefault="00E60A33" w:rsidP="00956125">
            <w:pPr>
              <w:spacing w:before="0"/>
              <w:contextualSpacing/>
              <w:jc w:val="center"/>
              <w:rPr>
                <w:color w:val="FFFFFF" w:themeColor="background1"/>
                <w:sz w:val="20"/>
                <w:szCs w:val="20"/>
              </w:rPr>
            </w:pPr>
            <w:r w:rsidRPr="00A11D7F">
              <w:rPr>
                <w:color w:val="FFFFFF" w:themeColor="background1"/>
                <w:sz w:val="20"/>
                <w:szCs w:val="20"/>
              </w:rPr>
              <w:t>Quelle ESRS E1</w:t>
            </w:r>
          </w:p>
        </w:tc>
        <w:tc>
          <w:tcPr>
            <w:tcW w:w="6239" w:type="dxa"/>
            <w:tcBorders>
              <w:top w:val="nil"/>
              <w:left w:val="single" w:sz="4" w:space="0" w:color="auto"/>
              <w:bottom w:val="single" w:sz="4" w:space="0" w:color="auto"/>
              <w:right w:val="single" w:sz="4" w:space="0" w:color="auto"/>
            </w:tcBorders>
            <w:shd w:val="clear" w:color="auto" w:fill="228B22"/>
            <w:vAlign w:val="center"/>
          </w:tcPr>
          <w:p w:rsidR="00E60A33" w:rsidRPr="00A11D7F" w:rsidRDefault="00E60A33" w:rsidP="00956125">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A11D7F">
              <w:rPr>
                <w:b/>
                <w:color w:val="FFFFFF" w:themeColor="background1"/>
                <w:sz w:val="20"/>
                <w:szCs w:val="20"/>
              </w:rPr>
              <w:t>Parameter und Ziele</w:t>
            </w:r>
          </w:p>
        </w:tc>
        <w:tc>
          <w:tcPr>
            <w:tcW w:w="1844" w:type="dxa"/>
            <w:tcBorders>
              <w:top w:val="nil"/>
              <w:left w:val="single" w:sz="4" w:space="0" w:color="auto"/>
              <w:bottom w:val="single" w:sz="4" w:space="0" w:color="auto"/>
              <w:right w:val="single" w:sz="4" w:space="0" w:color="auto"/>
            </w:tcBorders>
            <w:shd w:val="clear" w:color="auto" w:fill="228B22"/>
            <w:vAlign w:val="center"/>
          </w:tcPr>
          <w:p w:rsidR="00E60A33" w:rsidRPr="00A11D7F" w:rsidRDefault="00E60A33" w:rsidP="00956125">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A11D7F">
              <w:rPr>
                <w:b/>
                <w:color w:val="FFFFFF" w:themeColor="background1"/>
                <w:sz w:val="16"/>
                <w:szCs w:val="16"/>
              </w:rPr>
              <w:t>Bemerkungen, ggf. Verweis auf Datenpunkte</w:t>
            </w:r>
          </w:p>
        </w:tc>
      </w:tr>
      <w:tr w:rsidR="00FC13A8" w:rsidRPr="00403766" w:rsidTr="000954DF">
        <w:tblPrEx>
          <w:shd w:val="clear" w:color="auto" w:fill="228B22"/>
        </w:tblPrEx>
        <w:trPr>
          <w:gridBefore w:val="1"/>
          <w:cnfStyle w:val="000000100000" w:firstRow="0" w:lastRow="0" w:firstColumn="0" w:lastColumn="0" w:oddVBand="0" w:evenVBand="0" w:oddHBand="1" w:evenHBand="0" w:firstRowFirstColumn="0" w:firstRowLastColumn="0" w:lastRowFirstColumn="0" w:lastRowLastColumn="0"/>
          <w:wBefore w:w="20" w:type="dxa"/>
          <w:trHeight w:val="469"/>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13A8" w:rsidRPr="00086C16" w:rsidRDefault="00FC13A8" w:rsidP="00956125">
            <w:pPr>
              <w:spacing w:before="0"/>
              <w:contextualSpacing/>
              <w:jc w:val="left"/>
              <w:rPr>
                <w:color w:val="000000" w:themeColor="text1"/>
                <w:sz w:val="16"/>
                <w:szCs w:val="16"/>
              </w:rPr>
            </w:pP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FC13A8" w:rsidRPr="00086C16" w:rsidRDefault="00FC13A8" w:rsidP="00956125">
            <w:pPr>
              <w:pStyle w:val="Default"/>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i/>
                <w:iCs/>
                <w:sz w:val="16"/>
                <w:szCs w:val="16"/>
              </w:rPr>
            </w:pPr>
            <w:r w:rsidRPr="00086C16">
              <w:rPr>
                <w:rFonts w:ascii="Century Gothic" w:hAnsi="Century Gothic"/>
                <w:i/>
                <w:iCs/>
                <w:sz w:val="16"/>
                <w:szCs w:val="16"/>
              </w:rPr>
              <w:t>Erwartete finanzielle Auswirkungen wesentlicher physischer Risiken und Übergangsrisiken</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C13A8" w:rsidRPr="00403766" w:rsidRDefault="00FC13A8" w:rsidP="00956125">
            <w:pPr>
              <w:spacing w:before="0"/>
              <w:contextualSpacing/>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990776" w:rsidRPr="00403766" w:rsidTr="000954DF">
        <w:tblPrEx>
          <w:shd w:val="clear" w:color="auto" w:fill="228B22"/>
        </w:tblPrEx>
        <w:trPr>
          <w:gridBefore w:val="1"/>
          <w:wBefore w:w="20" w:type="dxa"/>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086C16" w:rsidRDefault="00990776" w:rsidP="00956125">
            <w:pPr>
              <w:spacing w:before="0"/>
              <w:contextualSpacing/>
              <w:jc w:val="center"/>
              <w:rPr>
                <w:color w:val="000000" w:themeColor="text1"/>
                <w:sz w:val="16"/>
                <w:szCs w:val="16"/>
              </w:rPr>
            </w:pPr>
            <w:r w:rsidRPr="00086C16">
              <w:rPr>
                <w:color w:val="000000" w:themeColor="text1"/>
                <w:sz w:val="16"/>
                <w:szCs w:val="16"/>
              </w:rPr>
              <w:t xml:space="preserve">AR </w:t>
            </w:r>
            <w:r w:rsidR="00421DF8" w:rsidRPr="00086C16">
              <w:rPr>
                <w:color w:val="000000" w:themeColor="text1"/>
                <w:sz w:val="16"/>
                <w:szCs w:val="16"/>
              </w:rPr>
              <w:t>67</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086C16" w:rsidRPr="00086C16" w:rsidRDefault="00086C16" w:rsidP="00956125">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i/>
                <w:sz w:val="16"/>
                <w:szCs w:val="16"/>
              </w:rPr>
            </w:pPr>
            <w:r w:rsidRPr="00086C16">
              <w:rPr>
                <w:rFonts w:ascii="Century Gothic" w:hAnsi="Century Gothic"/>
                <w:sz w:val="16"/>
                <w:szCs w:val="16"/>
              </w:rPr>
              <w:t>Wesentliche klimabedingte physische Risiken und Übergangsrisiken können die Finanzlage des Unternehmens (z. B. eigene Vermögenswerte, finanziell kontrollierte geleaste Vermögenswerte und Verbindlichkeiten), die Wertentwicklung (z. B. potenzielle künftige Zunahmen/Rückgänge der Nettoeinnahmen und -kosten aufgrund von Geschäftsunterbrechungen oder höheren Lieferpreisen, die möglicherweise dazu führen, dass Gewinnspannen einbrechen) sowie seine Cashflows beeinträchtigen. Aufgrund der geringen Wahrscheinlichkeit, des hohen Schweregrads und des langfristigen Zeithorizonts einiger klimabedingter physischer Risiken und der Unsicherheit, die sich aus dem Übergang zu einer nachhaltigen Wirtschaft ergibt, wird es wesentliche erwartete finanzielle Auswirkungen geben, die nicht unter die Anforderungen der anwendbaren Rechnungslegungsstandards fallen.</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90776" w:rsidRPr="00403766" w:rsidRDefault="00990776" w:rsidP="00956125">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90776" w:rsidRPr="008E116B" w:rsidTr="000954DF">
        <w:trPr>
          <w:gridBefore w:val="1"/>
          <w:cnfStyle w:val="000000100000" w:firstRow="0" w:lastRow="0" w:firstColumn="0" w:lastColumn="0" w:oddVBand="0" w:evenVBand="0" w:oddHBand="1" w:evenHBand="0" w:firstRowFirstColumn="0" w:firstRowLastColumn="0" w:lastRowFirstColumn="0" w:lastRowLastColumn="0"/>
          <w:wBefore w:w="20" w:type="dxa"/>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956125">
            <w:pPr>
              <w:spacing w:before="0"/>
              <w:contextualSpacing/>
              <w:jc w:val="center"/>
              <w:rPr>
                <w:sz w:val="16"/>
                <w:szCs w:val="16"/>
              </w:rPr>
            </w:pPr>
            <w:r w:rsidRPr="0015165A">
              <w:rPr>
                <w:sz w:val="16"/>
                <w:szCs w:val="16"/>
              </w:rPr>
              <w:t xml:space="preserve">AR </w:t>
            </w:r>
            <w:r w:rsidR="00086C16">
              <w:rPr>
                <w:sz w:val="16"/>
                <w:szCs w:val="16"/>
              </w:rPr>
              <w:t>68</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086C16" w:rsidRPr="00086C16" w:rsidRDefault="00086C16" w:rsidP="00956125">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i/>
                <w:sz w:val="16"/>
                <w:szCs w:val="16"/>
              </w:rPr>
            </w:pPr>
            <w:r w:rsidRPr="00086C16">
              <w:rPr>
                <w:rFonts w:ascii="Century Gothic" w:hAnsi="Century Gothic"/>
                <w:sz w:val="16"/>
                <w:szCs w:val="16"/>
              </w:rPr>
              <w:t xml:space="preserve">Derzeit gibt es keine allgemein anerkannte Methode, um zu bewerten oder zu messen, wie sich wesentliche </w:t>
            </w:r>
            <w:r w:rsidRPr="00086C16">
              <w:rPr>
                <w:rFonts w:ascii="Century Gothic" w:hAnsi="Century Gothic"/>
                <w:b/>
                <w:bCs/>
                <w:sz w:val="16"/>
                <w:szCs w:val="16"/>
              </w:rPr>
              <w:t xml:space="preserve">physische Risiken </w:t>
            </w:r>
            <w:r w:rsidRPr="00086C16">
              <w:rPr>
                <w:rFonts w:ascii="Century Gothic" w:hAnsi="Century Gothic"/>
                <w:sz w:val="16"/>
                <w:szCs w:val="16"/>
              </w:rPr>
              <w:t xml:space="preserve">und </w:t>
            </w:r>
            <w:r w:rsidRPr="00086C16">
              <w:rPr>
                <w:rFonts w:ascii="Century Gothic" w:hAnsi="Century Gothic"/>
                <w:b/>
                <w:bCs/>
                <w:sz w:val="16"/>
                <w:szCs w:val="16"/>
              </w:rPr>
              <w:t xml:space="preserve">Übergangsrisiken </w:t>
            </w:r>
            <w:r w:rsidRPr="00086C16">
              <w:rPr>
                <w:rFonts w:ascii="Century Gothic" w:hAnsi="Century Gothic"/>
                <w:sz w:val="16"/>
                <w:szCs w:val="16"/>
              </w:rPr>
              <w:t xml:space="preserve">in der Zukunft auf die Finanzlage, die finanzielle Leistungsfähigkeit und die Cashflows des Unternehmens auswirken können. Deshalb muss das Unternehmen bei der Angabe der finanziellen Auswirkungen (gemäß den Absätzen 64, 66 und 67) auf interne Methoden zurückgreifen und in einem erheblichen Ausmaß selbst ermessen, welche Daten und Annahmen erforderlich sind, um </w:t>
            </w:r>
            <w:r w:rsidRPr="00086C16">
              <w:rPr>
                <w:rFonts w:ascii="Century Gothic" w:hAnsi="Century Gothic"/>
                <w:b/>
                <w:bCs/>
                <w:sz w:val="16"/>
                <w:szCs w:val="16"/>
              </w:rPr>
              <w:t xml:space="preserve">erwartete finanzielle Auswirkungen </w:t>
            </w:r>
            <w:r w:rsidRPr="00086C16">
              <w:rPr>
                <w:rFonts w:ascii="Century Gothic" w:hAnsi="Century Gothic"/>
                <w:sz w:val="16"/>
                <w:szCs w:val="16"/>
              </w:rPr>
              <w:t>zu quantifizieren.</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956125">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C13A8" w:rsidRPr="008E116B" w:rsidTr="000954DF">
        <w:trPr>
          <w:gridBefore w:val="1"/>
          <w:wBefore w:w="20" w:type="dxa"/>
          <w:trHeight w:val="427"/>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13A8" w:rsidRPr="00C03EEC" w:rsidRDefault="00FC13A8" w:rsidP="00956125">
            <w:pPr>
              <w:spacing w:before="0"/>
              <w:contextualSpacing/>
              <w:jc w:val="left"/>
              <w:rPr>
                <w:sz w:val="16"/>
                <w:szCs w:val="16"/>
              </w:rPr>
            </w:pP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FC13A8" w:rsidRPr="00086C16" w:rsidRDefault="00FC13A8" w:rsidP="00956125">
            <w:pPr>
              <w:pStyle w:val="Default"/>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427B9D">
              <w:rPr>
                <w:rFonts w:ascii="Century Gothic" w:hAnsi="Century Gothic"/>
                <w:i/>
                <w:sz w:val="16"/>
                <w:szCs w:val="16"/>
                <w:highlight w:val="yellow"/>
              </w:rPr>
              <w:t>Leitlinien für die Berechnung – Erwartete finanzielle Auswirkungen wesentlicher physischer Risiken</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C13A8" w:rsidRPr="008E116B" w:rsidRDefault="00427B9D" w:rsidP="00956125">
            <w:pPr>
              <w:spacing w:before="0"/>
              <w:contextualSpacing/>
              <w:jc w:val="left"/>
              <w:cnfStyle w:val="000000000000" w:firstRow="0" w:lastRow="0" w:firstColumn="0" w:lastColumn="0" w:oddVBand="0" w:evenVBand="0" w:oddHBand="0" w:evenHBand="0" w:firstRowFirstColumn="0" w:firstRowLastColumn="0" w:lastRowFirstColumn="0" w:lastRowLastColumn="0"/>
              <w:rPr>
                <w:sz w:val="20"/>
              </w:rPr>
            </w:pPr>
            <w:r>
              <w:rPr>
                <w:noProof/>
                <w:sz w:val="20"/>
              </w:rPr>
              <mc:AlternateContent>
                <mc:Choice Requires="wps">
                  <w:drawing>
                    <wp:anchor distT="0" distB="0" distL="114300" distR="114300" simplePos="0" relativeHeight="251665408" behindDoc="0" locked="0" layoutInCell="1" allowOverlap="1" wp14:anchorId="51C28BC3" wp14:editId="2F78A144">
                      <wp:simplePos x="0" y="0"/>
                      <wp:positionH relativeFrom="column">
                        <wp:posOffset>147955</wp:posOffset>
                      </wp:positionH>
                      <wp:positionV relativeFrom="paragraph">
                        <wp:posOffset>-48895</wp:posOffset>
                      </wp:positionV>
                      <wp:extent cx="928370" cy="266700"/>
                      <wp:effectExtent l="133350" t="0" r="5080" b="0"/>
                      <wp:wrapNone/>
                      <wp:docPr id="10" name="Sprechblase: rechteckig 10"/>
                      <wp:cNvGraphicFramePr/>
                      <a:graphic xmlns:a="http://schemas.openxmlformats.org/drawingml/2006/main">
                        <a:graphicData uri="http://schemas.microsoft.com/office/word/2010/wordprocessingShape">
                          <wps:wsp>
                            <wps:cNvSpPr/>
                            <wps:spPr>
                              <a:xfrm>
                                <a:off x="0" y="0"/>
                                <a:ext cx="928370" cy="266700"/>
                              </a:xfrm>
                              <a:prstGeom prst="wedgeRectCallout">
                                <a:avLst>
                                  <a:gd name="adj1" fmla="val -62883"/>
                                  <a:gd name="adj2" fmla="val 6748"/>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7B9D" w:rsidRPr="00427B9D" w:rsidRDefault="00427B9D" w:rsidP="00427B9D">
                                  <w:pPr>
                                    <w:spacing w:before="0"/>
                                    <w:jc w:val="center"/>
                                    <w:rPr>
                                      <w:b/>
                                      <w:color w:val="000000" w:themeColor="text1"/>
                                      <w:sz w:val="15"/>
                                      <w:szCs w:val="15"/>
                                    </w:rPr>
                                  </w:pPr>
                                  <w:r>
                                    <w:rPr>
                                      <w:b/>
                                      <w:color w:val="000000" w:themeColor="text1"/>
                                      <w:sz w:val="15"/>
                                      <w:szCs w:val="15"/>
                                    </w:rPr>
                                    <w:t>Anleitung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28BC3" id="Sprechblase: rechteckig 10" o:spid="_x0000_s1027" type="#_x0000_t61" style="position:absolute;margin-left:11.65pt;margin-top:-3.85pt;width:73.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" adj="-2783,12258" fillcolor="#d8d8d8 [2732]" stroked="f" strokeweight="2pt">
                      <v:textbox>
                        <w:txbxContent>
                          <w:p w:rsidR="00427B9D" w:rsidRPr="00427B9D" w:rsidRDefault="00427B9D" w:rsidP="00427B9D">
                            <w:pPr>
                              <w:spacing w:before="0"/>
                              <w:jc w:val="center"/>
                              <w:rPr>
                                <w:b/>
                                <w:color w:val="000000" w:themeColor="text1"/>
                                <w:sz w:val="15"/>
                                <w:szCs w:val="15"/>
                              </w:rPr>
                            </w:pPr>
                            <w:r>
                              <w:rPr>
                                <w:b/>
                                <w:color w:val="000000" w:themeColor="text1"/>
                                <w:sz w:val="15"/>
                                <w:szCs w:val="15"/>
                              </w:rPr>
                              <w:t>Anleitung</w:t>
                            </w:r>
                          </w:p>
                        </w:txbxContent>
                      </v:textbox>
                    </v:shape>
                  </w:pict>
                </mc:Fallback>
              </mc:AlternateContent>
            </w:r>
          </w:p>
        </w:tc>
      </w:tr>
      <w:tr w:rsidR="00990776" w:rsidRPr="008E116B" w:rsidTr="000954DF">
        <w:trPr>
          <w:gridBefore w:val="1"/>
          <w:cnfStyle w:val="000000100000" w:firstRow="0" w:lastRow="0" w:firstColumn="0" w:lastColumn="0" w:oddVBand="0" w:evenVBand="0" w:oddHBand="1" w:evenHBand="0" w:firstRowFirstColumn="0" w:firstRowLastColumn="0" w:lastRowFirstColumn="0" w:lastRowLastColumn="0"/>
          <w:wBefore w:w="20" w:type="dxa"/>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C03EEC" w:rsidRDefault="00990776" w:rsidP="00956125">
            <w:pPr>
              <w:spacing w:before="0"/>
              <w:contextualSpacing/>
              <w:jc w:val="center"/>
              <w:rPr>
                <w:sz w:val="16"/>
                <w:szCs w:val="16"/>
              </w:rPr>
            </w:pPr>
            <w:r w:rsidRPr="00C03EEC">
              <w:rPr>
                <w:sz w:val="16"/>
                <w:szCs w:val="16"/>
              </w:rPr>
              <w:t xml:space="preserve">AR </w:t>
            </w:r>
            <w:r w:rsidR="00086C16">
              <w:rPr>
                <w:sz w:val="16"/>
                <w:szCs w:val="16"/>
              </w:rPr>
              <w:t>69</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086C16" w:rsidRPr="00086C16" w:rsidRDefault="00086C16" w:rsidP="00956125">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86C16">
              <w:rPr>
                <w:rFonts w:ascii="Century Gothic" w:hAnsi="Century Gothic"/>
                <w:sz w:val="16"/>
                <w:szCs w:val="16"/>
              </w:rPr>
              <w:t>Bei der Angabe der nach Absatz 64 Buchstabe a und Absatz 66 erforderlichen Informationen erläutert das Unternehmen, ob und wie</w:t>
            </w:r>
          </w:p>
          <w:p w:rsidR="00086C16" w:rsidRPr="00086C16" w:rsidRDefault="00086C16" w:rsidP="00956125">
            <w:pPr>
              <w:pStyle w:val="Default"/>
              <w:numPr>
                <w:ilvl w:val="0"/>
                <w:numId w:val="1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86C16">
              <w:rPr>
                <w:rFonts w:ascii="Century Gothic" w:hAnsi="Century Gothic"/>
                <w:sz w:val="16"/>
                <w:szCs w:val="16"/>
              </w:rPr>
              <w:t xml:space="preserve">es die </w:t>
            </w:r>
            <w:r w:rsidRPr="00086C16">
              <w:rPr>
                <w:rFonts w:ascii="Century Gothic" w:hAnsi="Century Gothic"/>
                <w:b/>
                <w:bCs/>
                <w:sz w:val="16"/>
                <w:szCs w:val="16"/>
              </w:rPr>
              <w:t xml:space="preserve">erwarteten finanziellen Auswirkungen </w:t>
            </w:r>
            <w:r w:rsidRPr="00086C16">
              <w:rPr>
                <w:rFonts w:ascii="Century Gothic" w:hAnsi="Century Gothic"/>
                <w:sz w:val="16"/>
                <w:szCs w:val="16"/>
              </w:rPr>
              <w:t>auf Vermögenswerte und Geschäftstätigkeiten bewertet hat, bei denen ein wesentliches physisches Risiko besteht, einschließlich des Anwendungsbereichs, der Zeithorizonte, der Berechnungsmethode, der kritischen Annahmen und Parameter sowie der Grenzen der Bewertung, und</w:t>
            </w:r>
          </w:p>
          <w:p w:rsidR="00862F74" w:rsidRPr="00086C16" w:rsidRDefault="00086C16" w:rsidP="00956125">
            <w:pPr>
              <w:pStyle w:val="Default"/>
              <w:numPr>
                <w:ilvl w:val="0"/>
                <w:numId w:val="19"/>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086C16">
              <w:rPr>
                <w:rFonts w:ascii="Century Gothic" w:hAnsi="Century Gothic"/>
                <w:sz w:val="16"/>
                <w:szCs w:val="16"/>
              </w:rPr>
              <w:t xml:space="preserve">sich die Bewertung von Vermögenswerten und Geschäftstätigkeiten, bei denen davon ausgegangen wird, dass ein wesentliches </w:t>
            </w:r>
            <w:r w:rsidRPr="00086C16">
              <w:rPr>
                <w:rFonts w:ascii="Century Gothic" w:hAnsi="Century Gothic"/>
                <w:b/>
                <w:bCs/>
                <w:sz w:val="16"/>
                <w:szCs w:val="16"/>
              </w:rPr>
              <w:t xml:space="preserve">physisches Risiko </w:t>
            </w:r>
            <w:r w:rsidRPr="00086C16">
              <w:rPr>
                <w:rFonts w:ascii="Century Gothic" w:hAnsi="Century Gothic"/>
                <w:sz w:val="16"/>
                <w:szCs w:val="16"/>
              </w:rPr>
              <w:t>besteht, auf das Verfahren zur Ermittlung des wesentlichen physischen Risikos gemäß Absatz 20 Buchstabe b und Abschnitt AR 11 und zur Festlegung von Klimaszenarien gemäß Absatz 19 und den Abschnitten AR 13 und AR 14 stützt oder Teil dieses Verfahrens ist. Insbesondere erläutert das Unternehmen, wie es kurz-, mittel- und langfristige Zeithorizonte definiert hat und dargelegt hat, wie diese Definitionen mit der erwarteten Lebensdauer seiner Vermögenswerte, seinen strategischen Planungshorizonten und Kapitalallokationsplänen zusammenhängen.</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956125">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A11D7F" w:rsidRPr="008E116B" w:rsidTr="000954DF">
        <w:trPr>
          <w:gridBefore w:val="1"/>
          <w:wBefore w:w="20" w:type="dxa"/>
          <w:trHeight w:val="657"/>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1D7F" w:rsidRPr="00C03EEC" w:rsidRDefault="00A11D7F" w:rsidP="00956125">
            <w:pPr>
              <w:spacing w:before="0"/>
              <w:contextualSpacing/>
              <w:jc w:val="center"/>
              <w:rPr>
                <w:sz w:val="16"/>
                <w:szCs w:val="16"/>
              </w:rPr>
            </w:pPr>
            <w:r>
              <w:rPr>
                <w:sz w:val="16"/>
                <w:szCs w:val="16"/>
              </w:rPr>
              <w:t>A 70</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A11D7F" w:rsidRPr="00086C16" w:rsidRDefault="00A11D7F" w:rsidP="00956125">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65311">
              <w:rPr>
                <w:rFonts w:ascii="Century Gothic" w:hAnsi="Century Gothic"/>
                <w:sz w:val="16"/>
                <w:szCs w:val="16"/>
              </w:rPr>
              <w:t>Bei der Zusammenstellung der nach Absatz 66 Buchstabe a erforderlichen Informationen über wesentliche physische Risiken für Vermögenswerte geht das Unternehmen wie folgt vor:</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A11D7F" w:rsidRPr="008E116B" w:rsidRDefault="00A11D7F" w:rsidP="00956125">
            <w:pPr>
              <w:spacing w:before="0"/>
              <w:contextualSpacing/>
              <w:jc w:val="center"/>
              <w:cnfStyle w:val="000000000000" w:firstRow="0" w:lastRow="0" w:firstColumn="0" w:lastColumn="0" w:oddVBand="0" w:evenVBand="0" w:oddHBand="0" w:evenHBand="0" w:firstRowFirstColumn="0" w:firstRowLastColumn="0" w:lastRowFirstColumn="0" w:lastRowLastColumn="0"/>
              <w:rPr>
                <w:sz w:val="20"/>
              </w:rPr>
            </w:pPr>
          </w:p>
        </w:tc>
      </w:tr>
    </w:tbl>
    <w:p w:rsidR="002139EB" w:rsidRDefault="002139EB" w:rsidP="00402C0A">
      <w:pPr>
        <w:jc w:val="left"/>
        <w:rPr>
          <w:sz w:val="16"/>
          <w:szCs w:val="28"/>
        </w:rPr>
      </w:pPr>
    </w:p>
    <w:p w:rsidR="002139EB" w:rsidRDefault="002139EB" w:rsidP="002139EB">
      <w:pPr>
        <w:pStyle w:val="Standardeinzug"/>
      </w:pPr>
      <w:r>
        <w:br w:type="page"/>
      </w:r>
    </w:p>
    <w:tbl>
      <w:tblPr>
        <w:tblStyle w:val="Gitternetztabelle4Akzent6"/>
        <w:tblW w:w="9072" w:type="dxa"/>
        <w:tblBorders>
          <w:top w:val="none" w:sz="0" w:space="0" w:color="auto"/>
          <w:left w:val="none" w:sz="0" w:space="0" w:color="auto"/>
          <w:bottom w:val="none" w:sz="0" w:space="0" w:color="auto"/>
          <w:right w:val="none" w:sz="0" w:space="0" w:color="auto"/>
        </w:tblBorders>
        <w:tblLayout w:type="fixed"/>
        <w:tblCellMar>
          <w:top w:w="85" w:type="dxa"/>
          <w:bottom w:w="85" w:type="dxa"/>
        </w:tblCellMar>
        <w:tblLook w:val="04A0" w:firstRow="1" w:lastRow="0" w:firstColumn="1" w:lastColumn="0" w:noHBand="0" w:noVBand="1"/>
      </w:tblPr>
      <w:tblGrid>
        <w:gridCol w:w="989"/>
        <w:gridCol w:w="6239"/>
        <w:gridCol w:w="1844"/>
      </w:tblGrid>
      <w:tr w:rsidR="00A11D7F" w:rsidRPr="00122B7B" w:rsidTr="000954D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left w:val="nil"/>
              <w:bottom w:val="nil"/>
              <w:right w:val="nil"/>
            </w:tcBorders>
            <w:shd w:val="clear" w:color="auto" w:fill="D9D9D9" w:themeFill="background1" w:themeFillShade="D9"/>
            <w:vAlign w:val="center"/>
          </w:tcPr>
          <w:p w:rsidR="00A11D7F" w:rsidRPr="00122B7B" w:rsidRDefault="00A11D7F" w:rsidP="000C46EA">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C74532">
              <w:rPr>
                <w:color w:val="000000" w:themeColor="text1"/>
                <w:sz w:val="20"/>
                <w:szCs w:val="20"/>
              </w:rPr>
              <w:t>;</w:t>
            </w:r>
            <w:r>
              <w:rPr>
                <w:color w:val="000000" w:themeColor="text1"/>
                <w:sz w:val="20"/>
                <w:szCs w:val="20"/>
              </w:rPr>
              <w:t xml:space="preserve"> Forts.</w:t>
            </w:r>
          </w:p>
        </w:tc>
      </w:tr>
      <w:tr w:rsidR="00A11D7F" w:rsidRPr="000C46EA" w:rsidTr="0009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nil"/>
            </w:tcBorders>
            <w:shd w:val="clear" w:color="auto" w:fill="auto"/>
            <w:vAlign w:val="center"/>
          </w:tcPr>
          <w:p w:rsidR="00A11D7F" w:rsidRPr="000C46EA" w:rsidRDefault="00A11D7F" w:rsidP="000C46EA">
            <w:pPr>
              <w:spacing w:before="0"/>
              <w:contextualSpacing/>
              <w:jc w:val="left"/>
              <w:rPr>
                <w:color w:val="000000" w:themeColor="text1"/>
                <w:sz w:val="2"/>
                <w:szCs w:val="2"/>
              </w:rPr>
            </w:pPr>
          </w:p>
        </w:tc>
      </w:tr>
      <w:tr w:rsidR="00A11D7F" w:rsidRPr="00A11D7F"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228B22"/>
        </w:tblPrEx>
        <w:trPr>
          <w:trHeight w:val="69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A11D7F" w:rsidRPr="00A11D7F" w:rsidRDefault="00A11D7F" w:rsidP="000C46EA">
            <w:pPr>
              <w:spacing w:before="0"/>
              <w:contextualSpacing/>
              <w:jc w:val="center"/>
              <w:rPr>
                <w:color w:val="FFFFFF" w:themeColor="background1"/>
                <w:sz w:val="20"/>
                <w:szCs w:val="20"/>
              </w:rPr>
            </w:pPr>
            <w:r w:rsidRPr="00A11D7F">
              <w:rPr>
                <w:color w:val="FFFFFF" w:themeColor="background1"/>
                <w:sz w:val="20"/>
                <w:szCs w:val="20"/>
              </w:rPr>
              <w:t>Quelle ESRS E1</w:t>
            </w:r>
          </w:p>
        </w:tc>
        <w:tc>
          <w:tcPr>
            <w:tcW w:w="6239" w:type="dxa"/>
            <w:tcBorders>
              <w:top w:val="single" w:sz="4" w:space="0" w:color="auto"/>
              <w:left w:val="single" w:sz="4" w:space="0" w:color="auto"/>
              <w:bottom w:val="single" w:sz="4" w:space="0" w:color="auto"/>
              <w:right w:val="single" w:sz="4" w:space="0" w:color="auto"/>
            </w:tcBorders>
            <w:shd w:val="clear" w:color="auto" w:fill="228B22"/>
            <w:vAlign w:val="center"/>
          </w:tcPr>
          <w:p w:rsidR="00A11D7F" w:rsidRPr="00A11D7F" w:rsidRDefault="00A11D7F" w:rsidP="000C46EA">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A11D7F">
              <w:rPr>
                <w:b/>
                <w:color w:val="FFFFFF" w:themeColor="background1"/>
                <w:sz w:val="20"/>
                <w:szCs w:val="20"/>
              </w:rPr>
              <w:t>Parameter und Ziele</w:t>
            </w:r>
          </w:p>
        </w:tc>
        <w:tc>
          <w:tcPr>
            <w:tcW w:w="1844" w:type="dxa"/>
            <w:tcBorders>
              <w:top w:val="single" w:sz="4" w:space="0" w:color="auto"/>
              <w:left w:val="single" w:sz="4" w:space="0" w:color="auto"/>
              <w:bottom w:val="single" w:sz="4" w:space="0" w:color="auto"/>
              <w:right w:val="single" w:sz="4" w:space="0" w:color="auto"/>
            </w:tcBorders>
            <w:shd w:val="clear" w:color="auto" w:fill="228B22"/>
            <w:vAlign w:val="center"/>
          </w:tcPr>
          <w:p w:rsidR="00A11D7F" w:rsidRPr="00A11D7F" w:rsidRDefault="00A11D7F" w:rsidP="000C46EA">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A11D7F">
              <w:rPr>
                <w:b/>
                <w:color w:val="FFFFFF" w:themeColor="background1"/>
                <w:sz w:val="16"/>
                <w:szCs w:val="16"/>
              </w:rPr>
              <w:t>Bemerkungen, ggf. Verweis auf Datenpunkte</w:t>
            </w:r>
          </w:p>
        </w:tc>
      </w:tr>
      <w:tr w:rsidR="002139EB" w:rsidRPr="00403766" w:rsidTr="000954DF">
        <w:tblPrEx>
          <w:shd w:val="clear" w:color="auto" w:fill="228B22"/>
        </w:tblPrEx>
        <w:trPr>
          <w:cnfStyle w:val="000000100000" w:firstRow="0" w:lastRow="0" w:firstColumn="0" w:lastColumn="0" w:oddVBand="0" w:evenVBand="0" w:oddHBand="1"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39EB" w:rsidRPr="00086C16" w:rsidRDefault="002139EB" w:rsidP="000C46EA">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70</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63006F" w:rsidRPr="00265311" w:rsidRDefault="0063006F" w:rsidP="000C46EA">
            <w:pPr>
              <w:pStyle w:val="Default"/>
              <w:numPr>
                <w:ilvl w:val="0"/>
                <w:numId w:val="2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Es berechnet die Vermögenswerte, die einem wesentlichen physischen Risiko ausgesetzt sind, als Geldbetrag und als Anteil (Prozentsatz) an den Gesamtvermögenswerten zum Berichtsdatum (d. h., der Anteil ist eine Schätzung des Buchwerts von Vermögenswerten mit wesentlichem physischem Risiko geteilt durch den Gesamtbuchwert wie in der Bilanz angegeben). Die Schätzung der Vermögenswerte, die einem wesentlichen physischen Risiko ausgesetzt sind, wird ausgehend von den im Abschluss erfassten Vermögenswerten ermittelt. Die Schätzung der Geldbeträge und des Anteils der Vermögenswerte mit physischem Risiko kann in Form eines Einzelbetrags oder einer Spanne dargestellt werden.</w:t>
            </w:r>
          </w:p>
          <w:p w:rsidR="0063006F" w:rsidRPr="00265311" w:rsidRDefault="0063006F" w:rsidP="000C46EA">
            <w:pPr>
              <w:pStyle w:val="Default"/>
              <w:numPr>
                <w:ilvl w:val="0"/>
                <w:numId w:val="2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Bei der Ermittlung der Vermögenswerte mit wesentlichem physische</w:t>
            </w:r>
            <w:r w:rsidR="0015154F">
              <w:rPr>
                <w:rFonts w:ascii="Century Gothic" w:hAnsi="Century Gothic"/>
                <w:sz w:val="16"/>
                <w:szCs w:val="16"/>
              </w:rPr>
              <w:t>m</w:t>
            </w:r>
            <w:r w:rsidRPr="00265311">
              <w:rPr>
                <w:rFonts w:ascii="Century Gothic" w:hAnsi="Century Gothic"/>
                <w:sz w:val="16"/>
                <w:szCs w:val="16"/>
              </w:rPr>
              <w:t xml:space="preserve"> Risiko berücksichtigt es alle Arten von Vermögenswerten, auch im Zusammenhang mit Finanzierungsleasing und Nutzungsrechten.</w:t>
            </w:r>
          </w:p>
          <w:p w:rsidR="0063006F" w:rsidRPr="00265311" w:rsidRDefault="0063006F" w:rsidP="000C46EA">
            <w:pPr>
              <w:pStyle w:val="Default"/>
              <w:numPr>
                <w:ilvl w:val="0"/>
                <w:numId w:val="2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Um diese Informationen einzuordnen,</w:t>
            </w:r>
          </w:p>
          <w:p w:rsidR="0063006F" w:rsidRPr="00265311" w:rsidRDefault="0063006F" w:rsidP="00F0545E">
            <w:pPr>
              <w:pStyle w:val="Default"/>
              <w:numPr>
                <w:ilvl w:val="0"/>
                <w:numId w:val="32"/>
              </w:numPr>
              <w:ind w:left="749"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gibt das Unternehmen den Ort, an dem sich erhebliche Vermögenswerte mit einem wesentlichen physischen Risiko befinden, an. Erhebliche Vermögenswerte, die sich im Gebiet der EU befinde</w:t>
            </w:r>
            <w:r w:rsidR="00A11D7F">
              <w:rPr>
                <w:rFonts w:ascii="Century Gothic" w:hAnsi="Century Gothic"/>
                <w:sz w:val="16"/>
                <w:szCs w:val="16"/>
              </w:rPr>
              <w:t>n</w:t>
            </w:r>
            <w:r w:rsidRPr="00F11E77">
              <w:rPr>
                <w:rFonts w:ascii="Century Gothic" w:hAnsi="Century Gothic"/>
                <w:sz w:val="16"/>
                <w:szCs w:val="16"/>
                <w:vertAlign w:val="superscript"/>
              </w:rPr>
              <w:t>52</w:t>
            </w:r>
            <w:r w:rsidRPr="00265311">
              <w:rPr>
                <w:rFonts w:ascii="Century Gothic" w:hAnsi="Century Gothic"/>
                <w:sz w:val="16"/>
                <w:szCs w:val="16"/>
              </w:rPr>
              <w:t>, werden nach NUTS-3-Codes (gemeinsame Klassifikation der Gebietseinheiten für die Statistik) gegliedert. Für erhebliche Vermögenswerte, die sich außerhalb der EU befinden, wird die Aufschlüsselung nach NUTS- Codes nur angewendet, wenn dies möglich ist,</w:t>
            </w:r>
          </w:p>
          <w:p w:rsidR="0063006F" w:rsidRPr="00265311" w:rsidRDefault="0063006F" w:rsidP="00F0545E">
            <w:pPr>
              <w:pStyle w:val="Default"/>
              <w:numPr>
                <w:ilvl w:val="0"/>
                <w:numId w:val="32"/>
              </w:numPr>
              <w:ind w:left="749"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schlüsselt das Unternehmen die Geldbeträge der risikobehafteten Vermögenswerte nach akutem und chronischem physischem Risiko auf</w:t>
            </w:r>
            <w:r w:rsidRPr="00F11E77">
              <w:rPr>
                <w:rFonts w:ascii="Century Gothic" w:hAnsi="Century Gothic"/>
                <w:sz w:val="16"/>
                <w:szCs w:val="16"/>
                <w:vertAlign w:val="superscript"/>
              </w:rPr>
              <w:t>53</w:t>
            </w:r>
          </w:p>
          <w:p w:rsidR="0063006F" w:rsidRPr="00265311" w:rsidRDefault="0063006F" w:rsidP="000C46EA">
            <w:pPr>
              <w:pStyle w:val="Default"/>
              <w:numPr>
                <w:ilvl w:val="0"/>
                <w:numId w:val="20"/>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Es berechnet den Anteil der Vermögenswerte mit wesentlichem physische</w:t>
            </w:r>
            <w:r w:rsidR="0015154F">
              <w:rPr>
                <w:rFonts w:ascii="Century Gothic" w:hAnsi="Century Gothic"/>
                <w:sz w:val="16"/>
                <w:szCs w:val="16"/>
              </w:rPr>
              <w:t>m</w:t>
            </w:r>
            <w:r w:rsidRPr="00265311">
              <w:rPr>
                <w:rFonts w:ascii="Century Gothic" w:hAnsi="Century Gothic"/>
                <w:sz w:val="16"/>
                <w:szCs w:val="16"/>
              </w:rPr>
              <w:t xml:space="preserve"> Risiko, der sich aus Absatz 66 Buchstabe a ergibt und der durch die Maßnahmen zur Anpassung an den Klimawandel auf der Grundlage der im Rahmen der Angabepflicht E1-3 angegebenen Informationen abgedeckt wird. Dadurch sollen die Nettorisiken einander angenähert werden.</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139EB" w:rsidRPr="00403766" w:rsidRDefault="002139EB" w:rsidP="000C46EA">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265311" w:rsidRPr="00403766" w:rsidTr="000954DF">
        <w:tblPrEx>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5311" w:rsidRPr="00086C16" w:rsidRDefault="00265311" w:rsidP="000C46EA">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71</w:t>
            </w:r>
          </w:p>
        </w:tc>
        <w:tc>
          <w:tcPr>
            <w:tcW w:w="6239" w:type="dxa"/>
            <w:tcBorders>
              <w:top w:val="single" w:sz="4" w:space="0" w:color="auto"/>
              <w:left w:val="single" w:sz="4" w:space="0" w:color="auto"/>
              <w:bottom w:val="single" w:sz="4" w:space="0" w:color="auto"/>
              <w:right w:val="single" w:sz="4" w:space="0" w:color="auto"/>
            </w:tcBorders>
            <w:shd w:val="clear" w:color="auto" w:fill="auto"/>
          </w:tcPr>
          <w:p w:rsidR="00265311" w:rsidRPr="00265311" w:rsidRDefault="00265311" w:rsidP="000C46EA">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Bei der Zusammenstellung der nach Absatz 64 Buchstabe a und Absatz 66 Buchstabe d erforderlichen Informationen kann das Unternehmen den Anteil der Nettoeinnahmen aus Geschäftstätigkeiten mit physischem Risiko bewerten und angeben. Diese Angabe</w:t>
            </w:r>
          </w:p>
          <w:p w:rsidR="00265311" w:rsidRPr="00265311" w:rsidRDefault="00265311" w:rsidP="000C46EA">
            <w:pPr>
              <w:pStyle w:val="Default"/>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basiert auf den Nettoeinnahmen im Einklang mit den Anforderungen der für Abschlüsse anzuwendenden Rechnungslegungsstandards, d. h. IFRS 15 oder lokale Rechnungslegungsanforderungen,</w:t>
            </w:r>
          </w:p>
          <w:p w:rsidR="00265311" w:rsidRPr="00FC13A8" w:rsidRDefault="00265311" w:rsidP="000C46EA">
            <w:pPr>
              <w:pStyle w:val="Default"/>
              <w:numPr>
                <w:ilvl w:val="0"/>
                <w:numId w:val="22"/>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265311">
              <w:rPr>
                <w:rFonts w:ascii="Century Gothic" w:hAnsi="Century Gothic"/>
                <w:sz w:val="16"/>
                <w:szCs w:val="16"/>
              </w:rPr>
              <w:t>kann eine Aufschlüsselung der Geschäftstätigkeiten des Unternehmens mit entsprechenden Einzelheiten zum jeweiligen Prozentsatz der Gesamtnettoeinnahmen, zu den Risikofaktoren (Gefahren, Exposition und Anfälligkeit) und, wenn möglich, zum Ausmaß der erwarteten finanziellen Auswirkungen in Bezug auf den Einbruch von Gewinnspannen über kurz-, mittel- und langfristige Zeithorizonte enthalten. Die Arten der Geschäftstätigkeiten können auch nach Geschäftssegmenten aufgeschlüsselt werden, wenn das Unternehmen den Beitrag der Gewinnspannen nach Geschäftssegmenten in seinem Segmentbericht im Rahmen des Abschlusses angegeben hat</w:t>
            </w:r>
            <w:r w:rsidR="00FC13A8">
              <w:rPr>
                <w:rFonts w:ascii="Century Gothic" w:hAnsi="Century Gothic"/>
                <w:sz w:val="16"/>
                <w:szCs w:val="16"/>
              </w:rPr>
              <w:t>.</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65311" w:rsidRPr="00403766" w:rsidRDefault="00265311" w:rsidP="000C46EA">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FE628E" w:rsidRDefault="00FE628E" w:rsidP="00F11E77">
      <w:pPr>
        <w:pStyle w:val="Default"/>
        <w:spacing w:before="120"/>
        <w:rPr>
          <w:rFonts w:ascii="Century Gothic" w:hAnsi="Century Gothic"/>
          <w:sz w:val="12"/>
          <w:szCs w:val="12"/>
          <w:vertAlign w:val="superscript"/>
        </w:rPr>
      </w:pPr>
    </w:p>
    <w:p w:rsidR="0033474B" w:rsidRDefault="0033474B" w:rsidP="00F11E77">
      <w:pPr>
        <w:pStyle w:val="Default"/>
        <w:spacing w:before="120"/>
        <w:rPr>
          <w:rFonts w:ascii="Century Gothic" w:hAnsi="Century Gothic"/>
          <w:sz w:val="12"/>
          <w:szCs w:val="12"/>
          <w:vertAlign w:val="superscript"/>
        </w:rPr>
      </w:pPr>
    </w:p>
    <w:p w:rsidR="00F11E77" w:rsidRPr="00F11E77" w:rsidRDefault="00F11E77" w:rsidP="00FE628E">
      <w:pPr>
        <w:pStyle w:val="Default"/>
        <w:spacing w:before="120"/>
        <w:ind w:left="142" w:hanging="142"/>
        <w:rPr>
          <w:rFonts w:ascii="Century Gothic" w:hAnsi="Century Gothic"/>
          <w:sz w:val="12"/>
          <w:szCs w:val="12"/>
        </w:rPr>
      </w:pPr>
      <w:r w:rsidRPr="0016550B">
        <w:rPr>
          <w:rFonts w:ascii="Century Gothic" w:hAnsi="Century Gothic"/>
          <w:sz w:val="12"/>
          <w:szCs w:val="12"/>
          <w:vertAlign w:val="superscript"/>
        </w:rPr>
        <w:t>52</w:t>
      </w:r>
      <w:r w:rsidR="0016550B">
        <w:rPr>
          <w:rFonts w:ascii="Century Gothic" w:hAnsi="Century Gothic"/>
          <w:sz w:val="12"/>
          <w:szCs w:val="12"/>
        </w:rPr>
        <w:t xml:space="preserve"> </w:t>
      </w:r>
      <w:r w:rsidRPr="00F11E77">
        <w:rPr>
          <w:rFonts w:ascii="Century Gothic" w:hAnsi="Century Gothic"/>
          <w:sz w:val="12"/>
          <w:szCs w:val="12"/>
        </w:rPr>
        <w:t>Diese Angabepflicht steht im Einklang mit den Anforderungen der Durchführungsverordnung (EU) 2022/2453 der Kommission, Meldebogen 5: Exposition gegenüber physischen Risiken).</w:t>
      </w:r>
    </w:p>
    <w:p w:rsidR="002337DF" w:rsidRDefault="002337DF" w:rsidP="00FE628E">
      <w:pPr>
        <w:pStyle w:val="Default"/>
        <w:ind w:left="142" w:hanging="142"/>
        <w:rPr>
          <w:rFonts w:ascii="Century Gothic" w:hAnsi="Century Gothic"/>
          <w:sz w:val="12"/>
          <w:szCs w:val="12"/>
        </w:rPr>
      </w:pPr>
    </w:p>
    <w:p w:rsidR="00501798" w:rsidRPr="00F11E77" w:rsidRDefault="00F11E77" w:rsidP="00FE628E">
      <w:pPr>
        <w:pStyle w:val="Default"/>
        <w:ind w:left="142" w:hanging="142"/>
        <w:rPr>
          <w:rFonts w:ascii="Century Gothic" w:hAnsi="Century Gothic"/>
          <w:sz w:val="12"/>
          <w:szCs w:val="12"/>
        </w:rPr>
      </w:pPr>
      <w:r w:rsidRPr="0016550B">
        <w:rPr>
          <w:rFonts w:ascii="Century Gothic" w:hAnsi="Century Gothic"/>
          <w:sz w:val="12"/>
          <w:szCs w:val="12"/>
          <w:vertAlign w:val="superscript"/>
        </w:rPr>
        <w:t>53</w:t>
      </w:r>
      <w:r w:rsidR="0016550B">
        <w:rPr>
          <w:rFonts w:ascii="Century Gothic" w:hAnsi="Century Gothic"/>
          <w:sz w:val="12"/>
          <w:szCs w:val="12"/>
        </w:rPr>
        <w:t xml:space="preserve"> </w:t>
      </w:r>
      <w:r w:rsidRPr="00F11E77">
        <w:rPr>
          <w:rFonts w:ascii="Century Gothic" w:hAnsi="Century Gothic"/>
          <w:sz w:val="12"/>
          <w:szCs w:val="12"/>
        </w:rPr>
        <w:t xml:space="preserve">Diese Angabepflicht steht im Einklang mit den Anforderungen der Durchführungsverordnung (EU) 2022/2453 der Kommission, Meldebogen 5: Exposition gegenüber physischen Risiken). </w:t>
      </w:r>
    </w:p>
    <w:tbl>
      <w:tblPr>
        <w:tblStyle w:val="Gitternetztabelle4Akzent6"/>
        <w:tblW w:w="9077" w:type="dxa"/>
        <w:tblBorders>
          <w:top w:val="none" w:sz="0" w:space="0" w:color="auto"/>
          <w:left w:val="none" w:sz="0" w:space="0" w:color="auto"/>
          <w:bottom w:val="none" w:sz="0" w:space="0" w:color="auto"/>
          <w:right w:val="none" w:sz="0" w:space="0" w:color="auto"/>
        </w:tblBorders>
        <w:tblLayout w:type="fixed"/>
        <w:tblCellMar>
          <w:top w:w="85" w:type="dxa"/>
          <w:bottom w:w="85" w:type="dxa"/>
        </w:tblCellMar>
        <w:tblLook w:val="04A0" w:firstRow="1" w:lastRow="0" w:firstColumn="1" w:lastColumn="0" w:noHBand="0" w:noVBand="1"/>
      </w:tblPr>
      <w:tblGrid>
        <w:gridCol w:w="994"/>
        <w:gridCol w:w="6240"/>
        <w:gridCol w:w="1843"/>
      </w:tblGrid>
      <w:tr w:rsidR="00267E82" w:rsidRPr="00122B7B" w:rsidTr="000954D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077" w:type="dxa"/>
            <w:gridSpan w:val="3"/>
            <w:tcBorders>
              <w:top w:val="nil"/>
              <w:left w:val="nil"/>
              <w:bottom w:val="nil"/>
              <w:right w:val="nil"/>
            </w:tcBorders>
            <w:shd w:val="clear" w:color="auto" w:fill="D9D9D9" w:themeFill="background1" w:themeFillShade="D9"/>
            <w:vAlign w:val="center"/>
          </w:tcPr>
          <w:p w:rsidR="00267E82" w:rsidRPr="00122B7B" w:rsidRDefault="00267E82" w:rsidP="00FE628E">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C74532">
              <w:rPr>
                <w:color w:val="000000" w:themeColor="text1"/>
                <w:sz w:val="20"/>
                <w:szCs w:val="20"/>
              </w:rPr>
              <w:t>;</w:t>
            </w:r>
            <w:r>
              <w:rPr>
                <w:color w:val="000000" w:themeColor="text1"/>
                <w:sz w:val="20"/>
                <w:szCs w:val="20"/>
              </w:rPr>
              <w:t xml:space="preserve"> Forts.</w:t>
            </w:r>
          </w:p>
        </w:tc>
      </w:tr>
      <w:tr w:rsidR="00267E82" w:rsidRPr="00FE628E" w:rsidTr="0009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7" w:type="dxa"/>
            <w:gridSpan w:val="3"/>
            <w:tcBorders>
              <w:top w:val="nil"/>
              <w:left w:val="nil"/>
              <w:bottom w:val="nil"/>
              <w:right w:val="nil"/>
            </w:tcBorders>
            <w:shd w:val="clear" w:color="auto" w:fill="auto"/>
            <w:vAlign w:val="center"/>
          </w:tcPr>
          <w:p w:rsidR="00267E82" w:rsidRPr="00FE628E" w:rsidRDefault="00267E82" w:rsidP="00FE628E">
            <w:pPr>
              <w:spacing w:before="0"/>
              <w:contextualSpacing/>
              <w:jc w:val="left"/>
              <w:rPr>
                <w:color w:val="000000" w:themeColor="text1"/>
                <w:sz w:val="2"/>
                <w:szCs w:val="2"/>
              </w:rPr>
            </w:pPr>
          </w:p>
        </w:tc>
      </w:tr>
      <w:tr w:rsidR="00267E82" w:rsidRPr="00267E82"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228B22"/>
        </w:tblPrEx>
        <w:trPr>
          <w:trHeight w:val="663"/>
          <w:tblHeader/>
        </w:trPr>
        <w:tc>
          <w:tcPr>
            <w:cnfStyle w:val="001000000000" w:firstRow="0" w:lastRow="0" w:firstColumn="1" w:lastColumn="0" w:oddVBand="0" w:evenVBand="0" w:oddHBand="0" w:evenHBand="0" w:firstRowFirstColumn="0" w:firstRowLastColumn="0" w:lastRowFirstColumn="0" w:lastRowLastColumn="0"/>
            <w:tcW w:w="994" w:type="dxa"/>
            <w:tcBorders>
              <w:top w:val="nil"/>
              <w:left w:val="single" w:sz="4" w:space="0" w:color="auto"/>
              <w:bottom w:val="single" w:sz="4" w:space="0" w:color="auto"/>
              <w:right w:val="single" w:sz="4" w:space="0" w:color="auto"/>
            </w:tcBorders>
            <w:shd w:val="clear" w:color="auto" w:fill="228B22"/>
            <w:vAlign w:val="center"/>
          </w:tcPr>
          <w:p w:rsidR="00501798" w:rsidRPr="00267E82" w:rsidRDefault="00501798" w:rsidP="00FE628E">
            <w:pPr>
              <w:spacing w:before="0"/>
              <w:contextualSpacing/>
              <w:jc w:val="center"/>
              <w:rPr>
                <w:color w:val="FFFFFF" w:themeColor="background1"/>
                <w:sz w:val="20"/>
                <w:szCs w:val="20"/>
              </w:rPr>
            </w:pPr>
            <w:r w:rsidRPr="00267E82">
              <w:rPr>
                <w:color w:val="FFFFFF" w:themeColor="background1"/>
                <w:sz w:val="20"/>
                <w:szCs w:val="20"/>
              </w:rPr>
              <w:t>Quelle ESRS E1</w:t>
            </w:r>
          </w:p>
        </w:tc>
        <w:tc>
          <w:tcPr>
            <w:tcW w:w="6240" w:type="dxa"/>
            <w:tcBorders>
              <w:top w:val="nil"/>
              <w:left w:val="single" w:sz="4" w:space="0" w:color="auto"/>
              <w:bottom w:val="single" w:sz="4" w:space="0" w:color="auto"/>
              <w:right w:val="single" w:sz="4" w:space="0" w:color="auto"/>
            </w:tcBorders>
            <w:shd w:val="clear" w:color="auto" w:fill="228B22"/>
            <w:vAlign w:val="center"/>
          </w:tcPr>
          <w:p w:rsidR="00501798" w:rsidRPr="00267E82" w:rsidRDefault="00501798" w:rsidP="00FE628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267E82">
              <w:rPr>
                <w:b/>
                <w:color w:val="FFFFFF" w:themeColor="background1"/>
                <w:sz w:val="20"/>
                <w:szCs w:val="20"/>
              </w:rPr>
              <w:t>Parameter und Ziele</w:t>
            </w:r>
          </w:p>
        </w:tc>
        <w:tc>
          <w:tcPr>
            <w:tcW w:w="1843" w:type="dxa"/>
            <w:tcBorders>
              <w:top w:val="nil"/>
              <w:left w:val="single" w:sz="4" w:space="0" w:color="auto"/>
              <w:bottom w:val="single" w:sz="4" w:space="0" w:color="auto"/>
              <w:right w:val="single" w:sz="4" w:space="0" w:color="auto"/>
            </w:tcBorders>
            <w:shd w:val="clear" w:color="auto" w:fill="228B22"/>
            <w:vAlign w:val="center"/>
          </w:tcPr>
          <w:p w:rsidR="00501798" w:rsidRPr="00267E82" w:rsidRDefault="00501798" w:rsidP="00FE628E">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267E82">
              <w:rPr>
                <w:b/>
                <w:color w:val="FFFFFF" w:themeColor="background1"/>
                <w:sz w:val="16"/>
                <w:szCs w:val="16"/>
              </w:rPr>
              <w:t>Bemerkungen, ggf. Verweis auf Datenpunkte</w:t>
            </w:r>
          </w:p>
        </w:tc>
      </w:tr>
      <w:tr w:rsidR="00FC13A8"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13A8" w:rsidRPr="00086C16" w:rsidRDefault="00FC13A8" w:rsidP="00FE628E">
            <w:pPr>
              <w:spacing w:before="0"/>
              <w:contextualSpacing/>
              <w:jc w:val="left"/>
              <w:rPr>
                <w:color w:val="000000" w:themeColor="text1"/>
                <w:sz w:val="16"/>
                <w:szCs w:val="16"/>
              </w:rPr>
            </w:pP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FC13A8" w:rsidRPr="00501798" w:rsidRDefault="00FC13A8" w:rsidP="00FE628E">
            <w:pPr>
              <w:pStyle w:val="Default"/>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427B9D">
              <w:rPr>
                <w:rFonts w:ascii="Century Gothic" w:hAnsi="Century Gothic"/>
                <w:i/>
                <w:sz w:val="16"/>
                <w:szCs w:val="16"/>
                <w:highlight w:val="yellow"/>
              </w:rPr>
              <w:t>Leitlinien für die Berechnung – Erwartete finanzielle Auswirkungen durch wesentliche Übergangsrisiken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C13A8" w:rsidRPr="00403766" w:rsidRDefault="00FC13A8" w:rsidP="00FE628E">
            <w:pPr>
              <w:spacing w:before="0"/>
              <w:contextualSpacing/>
              <w:jc w:val="left"/>
              <w:cnfStyle w:val="000000100000" w:firstRow="0" w:lastRow="0" w:firstColumn="0" w:lastColumn="0" w:oddVBand="0" w:evenVBand="0" w:oddHBand="1" w:evenHBand="0" w:firstRowFirstColumn="0" w:firstRowLastColumn="0" w:lastRowFirstColumn="0" w:lastRowLastColumn="0"/>
              <w:rPr>
                <w:sz w:val="16"/>
                <w:szCs w:val="16"/>
              </w:rPr>
            </w:pPr>
          </w:p>
        </w:tc>
      </w:tr>
      <w:tr w:rsidR="00501798"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1798" w:rsidRPr="00086C16" w:rsidRDefault="00501798" w:rsidP="00FE628E">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72</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501798" w:rsidRPr="00501798" w:rsidRDefault="00501798" w:rsidP="00FE628E">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01798">
              <w:rPr>
                <w:rFonts w:ascii="Century Gothic" w:hAnsi="Century Gothic"/>
                <w:sz w:val="16"/>
                <w:szCs w:val="16"/>
              </w:rPr>
              <w:t>Bei der Angabe der nach Absatz 64 Buchstabe b und Absatz 67 Buchstabe a erforderlichen Informationen erläutert das Unternehmen, ob und wie</w:t>
            </w:r>
          </w:p>
          <w:p w:rsidR="00501798" w:rsidRPr="00501798" w:rsidRDefault="00501798" w:rsidP="00FE628E">
            <w:pPr>
              <w:pStyle w:val="Default"/>
              <w:numPr>
                <w:ilvl w:val="0"/>
                <w:numId w:val="23"/>
              </w:numPr>
              <w:ind w:left="4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01798">
              <w:rPr>
                <w:rFonts w:ascii="Century Gothic" w:hAnsi="Century Gothic"/>
                <w:sz w:val="16"/>
                <w:szCs w:val="16"/>
              </w:rPr>
              <w:t>es die potenziellen Auswirkungen auf die künftige finanzielle Leistungsfähigkeit und die Finanzlage für Vermögenswerte und Geschäftstätigkeiten bewertet hat, bei denen ein wesentliches Übergangsrisiko besteht, einschließlich des Anwendungsbereichs, der Berechnungsmethode, der kritischen Annahmen und Parameter sowie der Grenzen der Bewertung, und</w:t>
            </w:r>
          </w:p>
          <w:p w:rsidR="00501798" w:rsidRPr="00501798" w:rsidRDefault="00501798" w:rsidP="00FE628E">
            <w:pPr>
              <w:pStyle w:val="Default"/>
              <w:numPr>
                <w:ilvl w:val="0"/>
                <w:numId w:val="23"/>
              </w:numPr>
              <w:ind w:left="457"/>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501798">
              <w:rPr>
                <w:rFonts w:ascii="Century Gothic" w:hAnsi="Century Gothic"/>
                <w:sz w:val="16"/>
                <w:szCs w:val="16"/>
              </w:rPr>
              <w:t xml:space="preserve">sich die Bewertung von Vermögenswerten und Geschäftstätigkeiten, bei denen davon ausgegangen wird, dass ein wesentliches </w:t>
            </w:r>
            <w:r w:rsidRPr="00501798">
              <w:rPr>
                <w:rFonts w:ascii="Century Gothic" w:hAnsi="Century Gothic"/>
                <w:b/>
                <w:bCs/>
                <w:sz w:val="16"/>
                <w:szCs w:val="16"/>
              </w:rPr>
              <w:t xml:space="preserve">Übergangsrisiko </w:t>
            </w:r>
            <w:r w:rsidRPr="00501798">
              <w:rPr>
                <w:rFonts w:ascii="Century Gothic" w:hAnsi="Century Gothic"/>
                <w:sz w:val="16"/>
                <w:szCs w:val="16"/>
              </w:rPr>
              <w:t xml:space="preserve">besteht, auf das Verfahren zur Ermittlung der wesentlichen Übergangsrisiken gemäß Absatz 20 Buchstabe c und Abschnitt AR 11 und zur Festlegung von </w:t>
            </w:r>
            <w:r w:rsidRPr="00501798">
              <w:rPr>
                <w:rFonts w:ascii="Century Gothic" w:hAnsi="Century Gothic"/>
                <w:b/>
                <w:bCs/>
                <w:sz w:val="16"/>
                <w:szCs w:val="16"/>
              </w:rPr>
              <w:t xml:space="preserve">Szenarien </w:t>
            </w:r>
            <w:r w:rsidRPr="00501798">
              <w:rPr>
                <w:rFonts w:ascii="Century Gothic" w:hAnsi="Century Gothic"/>
                <w:sz w:val="16"/>
                <w:szCs w:val="16"/>
              </w:rPr>
              <w:t>gemäß den Abschnitten AR 12 und AR 13 stützt oder Teil dieses Verfahrens ist. Insbesondere erläutert das Unternehmen, wie es kurz-, mittel- und langfristige Zeithorizonte definiert hat und dargelegt hat, wie diese Definitionen mit der erwarteten Lebensdauer seiner Vermögenswerte, seinen strategischen Planungshorizonten und Kapitalallokationsplänen zusammenhängen.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01798" w:rsidRPr="00403766" w:rsidRDefault="00501798" w:rsidP="00FE628E">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501798"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1798" w:rsidRPr="00086C16" w:rsidRDefault="00501798" w:rsidP="00FE628E">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73</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5E6243" w:rsidRPr="005E6243" w:rsidRDefault="005E6243" w:rsidP="00FE628E">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E6243">
              <w:rPr>
                <w:rFonts w:ascii="Century Gothic" w:hAnsi="Century Gothic"/>
                <w:sz w:val="16"/>
                <w:szCs w:val="16"/>
              </w:rPr>
              <w:t>Bei der Angabe der nach Absatz 67 Buchstaben a und b erforderlichen Informationen über wesentliche Übergangsrisiken für Vermögenswerte geht das Unternehmen wie folgt vor:</w:t>
            </w:r>
          </w:p>
          <w:p w:rsidR="005E6243" w:rsidRPr="005E6243" w:rsidRDefault="005E6243" w:rsidP="00FE628E">
            <w:pPr>
              <w:pStyle w:val="Default"/>
              <w:numPr>
                <w:ilvl w:val="0"/>
                <w:numId w:val="24"/>
              </w:numPr>
              <w:ind w:left="4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E6243">
              <w:rPr>
                <w:rFonts w:ascii="Century Gothic" w:hAnsi="Century Gothic"/>
                <w:sz w:val="16"/>
                <w:szCs w:val="16"/>
              </w:rPr>
              <w:t xml:space="preserve">Es muss zumindest eine Schätzung der Menge der potenziell verlorenen Vermögenswerte (in Geldbeträgen und als Anteil/Prozentsatz) ab dem Berichtsjahr bis 2030 und von 2030 bis 2050 einbeziehen. Unter verlorenen Vermögenswerten sind die wichtigsten aktiven oder fest vorgesehenen Vermögenswerte des Unternehmens zu verstehen, die während ihrer Einsatzdauer erhebliche Mengen an </w:t>
            </w:r>
            <w:r w:rsidRPr="005E6243">
              <w:rPr>
                <w:rFonts w:ascii="Century Gothic" w:hAnsi="Century Gothic"/>
                <w:b/>
                <w:bCs/>
                <w:sz w:val="16"/>
                <w:szCs w:val="16"/>
              </w:rPr>
              <w:t xml:space="preserve">eingeschlossenen Treibhausgasemissionen </w:t>
            </w:r>
            <w:r w:rsidRPr="005E6243">
              <w:rPr>
                <w:rFonts w:ascii="Century Gothic" w:hAnsi="Century Gothic"/>
                <w:sz w:val="16"/>
                <w:szCs w:val="16"/>
              </w:rPr>
              <w:t xml:space="preserve">aufweisen. Fest vorgesehen sind die wichtigsten Vermögenswerte, die das Unternehmen in den nächsten fünf Jahren höchstwahrscheinlich einsetzen wird. Der Betrag kann als Spanne von Vermögenswerten auf der Grundlage verschiedener Klima- und </w:t>
            </w:r>
            <w:r w:rsidRPr="005E6243">
              <w:rPr>
                <w:rFonts w:ascii="Century Gothic" w:hAnsi="Century Gothic"/>
                <w:b/>
                <w:bCs/>
                <w:sz w:val="16"/>
                <w:szCs w:val="16"/>
              </w:rPr>
              <w:t xml:space="preserve">Politikszenarien </w:t>
            </w:r>
            <w:r w:rsidRPr="005E6243">
              <w:rPr>
                <w:rFonts w:ascii="Century Gothic" w:hAnsi="Century Gothic"/>
                <w:sz w:val="16"/>
                <w:szCs w:val="16"/>
              </w:rPr>
              <w:t>ausgedrückt werden, einschließlich eines Szenarios, das auf das Ziel der Begrenzung der Erderwärmung auf 1,5 °C ausgerichtet ist.</w:t>
            </w:r>
          </w:p>
          <w:p w:rsidR="00501798" w:rsidRPr="00267E82" w:rsidRDefault="005E6243" w:rsidP="00FE628E">
            <w:pPr>
              <w:pStyle w:val="Default"/>
              <w:numPr>
                <w:ilvl w:val="0"/>
                <w:numId w:val="24"/>
              </w:numPr>
              <w:ind w:left="4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E6243">
              <w:rPr>
                <w:rFonts w:ascii="Century Gothic" w:hAnsi="Century Gothic"/>
                <w:sz w:val="16"/>
                <w:szCs w:val="16"/>
              </w:rPr>
              <w:t>Das Unternehmen gibt eine Aufschlüsselung des Buchwerts seiner Immobilien, einschließlich der Nutzungsrechte, nach Energieeffizienzklassen an. Die Energieeffizienz wird in Bezug auf die Spannen des Energieverbrauchs in kWh/m2 oder die Kennzeichnungsklasse des Ausweises über die Gesamtenergieeffizienz</w:t>
            </w:r>
            <w:r w:rsidRPr="00161D8D">
              <w:rPr>
                <w:rFonts w:ascii="Century Gothic" w:hAnsi="Century Gothic"/>
                <w:sz w:val="16"/>
                <w:szCs w:val="16"/>
                <w:vertAlign w:val="superscript"/>
              </w:rPr>
              <w:t>54</w:t>
            </w:r>
            <w:r w:rsidR="00FE628E">
              <w:rPr>
                <w:rFonts w:ascii="Century Gothic" w:hAnsi="Century Gothic"/>
                <w:sz w:val="16"/>
                <w:szCs w:val="16"/>
                <w:vertAlign w:val="superscript"/>
              </w:rPr>
              <w:t xml:space="preserve"> </w:t>
            </w:r>
            <w:r w:rsidRPr="005E6243">
              <w:rPr>
                <w:rFonts w:ascii="Century Gothic" w:hAnsi="Century Gothic"/>
                <w:sz w:val="16"/>
                <w:szCs w:val="16"/>
              </w:rPr>
              <w:t>dargestellt</w:t>
            </w:r>
            <w:r w:rsidRPr="00161D8D">
              <w:rPr>
                <w:rFonts w:ascii="Century Gothic" w:hAnsi="Century Gothic"/>
                <w:sz w:val="16"/>
                <w:szCs w:val="16"/>
                <w:vertAlign w:val="superscript"/>
              </w:rPr>
              <w:t>55</w:t>
            </w:r>
            <w:r w:rsidR="008A51AB">
              <w:rPr>
                <w:rFonts w:ascii="Century Gothic" w:hAnsi="Century Gothic"/>
                <w:sz w:val="16"/>
                <w:szCs w:val="16"/>
              </w:rPr>
              <w:t xml:space="preserve">. </w:t>
            </w:r>
            <w:r w:rsidRPr="005E6243">
              <w:rPr>
                <w:rFonts w:ascii="Century Gothic" w:hAnsi="Century Gothic"/>
                <w:sz w:val="16"/>
                <w:szCs w:val="16"/>
              </w:rPr>
              <w:t>Ist es dem Unternehmen nach bestem Bemühen nicht möglich, diese Informationen zu erhalten, so gibt es den Gesamtbuchwert der Immobilienvermögenswerte an, für die der Energieverbrauch auf internen Schätzungen beruht.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01798" w:rsidRPr="00403766" w:rsidRDefault="00501798" w:rsidP="00FE628E">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rsidR="00466C63" w:rsidRDefault="00466C63" w:rsidP="00466C63">
      <w:pPr>
        <w:pStyle w:val="Default"/>
        <w:rPr>
          <w:rFonts w:ascii="Century Gothic" w:hAnsi="Century Gothic"/>
          <w:sz w:val="12"/>
          <w:szCs w:val="12"/>
        </w:rPr>
      </w:pPr>
    </w:p>
    <w:p w:rsidR="0088517F" w:rsidRDefault="0088517F" w:rsidP="00466C63">
      <w:pPr>
        <w:pStyle w:val="Default"/>
        <w:rPr>
          <w:rFonts w:ascii="Century Gothic" w:hAnsi="Century Gothic"/>
          <w:sz w:val="12"/>
          <w:szCs w:val="12"/>
        </w:rPr>
      </w:pPr>
    </w:p>
    <w:p w:rsidR="0033474B" w:rsidRDefault="0033474B" w:rsidP="00466C63">
      <w:pPr>
        <w:pStyle w:val="Default"/>
        <w:rPr>
          <w:rFonts w:ascii="Century Gothic" w:hAnsi="Century Gothic"/>
          <w:sz w:val="12"/>
          <w:szCs w:val="12"/>
        </w:rPr>
      </w:pPr>
    </w:p>
    <w:p w:rsidR="00B13B26" w:rsidRDefault="00B13B26" w:rsidP="00466C63">
      <w:pPr>
        <w:pStyle w:val="Default"/>
        <w:rPr>
          <w:rFonts w:ascii="Century Gothic" w:hAnsi="Century Gothic"/>
          <w:sz w:val="12"/>
          <w:szCs w:val="12"/>
        </w:rPr>
      </w:pPr>
    </w:p>
    <w:p w:rsidR="0033474B" w:rsidRDefault="0033474B" w:rsidP="00466C63">
      <w:pPr>
        <w:pStyle w:val="Default"/>
        <w:rPr>
          <w:rFonts w:ascii="Century Gothic" w:hAnsi="Century Gothic"/>
          <w:sz w:val="12"/>
          <w:szCs w:val="12"/>
        </w:rPr>
      </w:pPr>
    </w:p>
    <w:p w:rsidR="0033474B" w:rsidRDefault="0033474B" w:rsidP="00466C63">
      <w:pPr>
        <w:pStyle w:val="Default"/>
        <w:rPr>
          <w:rFonts w:ascii="Century Gothic" w:hAnsi="Century Gothic"/>
          <w:sz w:val="12"/>
          <w:szCs w:val="12"/>
        </w:rPr>
      </w:pPr>
    </w:p>
    <w:p w:rsidR="0088517F" w:rsidRDefault="0088517F" w:rsidP="00466C63">
      <w:pPr>
        <w:pStyle w:val="Default"/>
        <w:rPr>
          <w:rFonts w:ascii="Century Gothic" w:hAnsi="Century Gothic"/>
          <w:sz w:val="12"/>
          <w:szCs w:val="12"/>
        </w:rPr>
      </w:pPr>
    </w:p>
    <w:p w:rsidR="0088517F" w:rsidRDefault="0088517F" w:rsidP="00466C63">
      <w:pPr>
        <w:pStyle w:val="Default"/>
        <w:rPr>
          <w:rFonts w:ascii="Century Gothic" w:hAnsi="Century Gothic"/>
          <w:sz w:val="12"/>
          <w:szCs w:val="12"/>
        </w:rPr>
      </w:pPr>
    </w:p>
    <w:p w:rsidR="00161D8D" w:rsidRDefault="00161D8D" w:rsidP="00FE628E">
      <w:pPr>
        <w:pStyle w:val="Default"/>
        <w:ind w:left="142" w:hanging="142"/>
        <w:rPr>
          <w:rFonts w:ascii="Century Gothic" w:hAnsi="Century Gothic"/>
          <w:sz w:val="12"/>
          <w:szCs w:val="12"/>
        </w:rPr>
      </w:pPr>
      <w:r w:rsidRPr="00FE628E">
        <w:rPr>
          <w:rFonts w:ascii="Century Gothic" w:hAnsi="Century Gothic"/>
          <w:sz w:val="12"/>
          <w:szCs w:val="12"/>
          <w:vertAlign w:val="superscript"/>
        </w:rPr>
        <w:t>54</w:t>
      </w:r>
      <w:r w:rsidR="00FE628E">
        <w:rPr>
          <w:rFonts w:ascii="Century Gothic" w:hAnsi="Century Gothic"/>
          <w:sz w:val="12"/>
          <w:szCs w:val="12"/>
        </w:rPr>
        <w:t xml:space="preserve"> </w:t>
      </w:r>
      <w:r w:rsidRPr="00161D8D">
        <w:rPr>
          <w:rFonts w:ascii="Century Gothic" w:hAnsi="Century Gothic"/>
          <w:sz w:val="12"/>
          <w:szCs w:val="12"/>
        </w:rPr>
        <w:t>Richtlinie 2010/31/EU des Europäischen Parlaments und des Rates vom 19. Mai 2010 über die Gesamtenergieeffizienz von Gebäuden (</w:t>
      </w:r>
      <w:proofErr w:type="spellStart"/>
      <w:r w:rsidRPr="00161D8D">
        <w:rPr>
          <w:rFonts w:ascii="Century Gothic" w:hAnsi="Century Gothic"/>
          <w:sz w:val="12"/>
          <w:szCs w:val="12"/>
        </w:rPr>
        <w:t>ABl.</w:t>
      </w:r>
      <w:proofErr w:type="spellEnd"/>
      <w:r w:rsidRPr="00161D8D">
        <w:rPr>
          <w:rFonts w:ascii="Century Gothic" w:hAnsi="Century Gothic"/>
          <w:sz w:val="12"/>
          <w:szCs w:val="12"/>
        </w:rPr>
        <w:t xml:space="preserve"> L 153 vom 18.6.2010, S. 13).</w:t>
      </w:r>
    </w:p>
    <w:p w:rsidR="00466C63" w:rsidRPr="00161D8D" w:rsidRDefault="00466C63" w:rsidP="00466C63">
      <w:pPr>
        <w:pStyle w:val="Default"/>
        <w:rPr>
          <w:rFonts w:ascii="Century Gothic" w:hAnsi="Century Gothic"/>
          <w:sz w:val="12"/>
          <w:szCs w:val="12"/>
        </w:rPr>
      </w:pPr>
    </w:p>
    <w:p w:rsidR="00161D8D" w:rsidRPr="00161D8D" w:rsidRDefault="00161D8D" w:rsidP="00FE628E">
      <w:pPr>
        <w:pStyle w:val="Default"/>
        <w:ind w:left="142" w:hanging="142"/>
        <w:rPr>
          <w:rFonts w:ascii="Century Gothic" w:hAnsi="Century Gothic"/>
          <w:sz w:val="12"/>
          <w:szCs w:val="12"/>
        </w:rPr>
      </w:pPr>
      <w:r w:rsidRPr="00FE628E">
        <w:rPr>
          <w:rFonts w:ascii="Century Gothic" w:hAnsi="Century Gothic"/>
          <w:sz w:val="12"/>
          <w:szCs w:val="12"/>
          <w:vertAlign w:val="superscript"/>
        </w:rPr>
        <w:t>55</w:t>
      </w:r>
      <w:r w:rsidR="00FE628E">
        <w:rPr>
          <w:rFonts w:ascii="Century Gothic" w:hAnsi="Century Gothic"/>
          <w:sz w:val="12"/>
          <w:szCs w:val="12"/>
        </w:rPr>
        <w:t xml:space="preserve"> </w:t>
      </w:r>
      <w:r w:rsidRPr="00161D8D">
        <w:rPr>
          <w:rFonts w:ascii="Century Gothic" w:hAnsi="Century Gothic"/>
          <w:sz w:val="12"/>
          <w:szCs w:val="12"/>
        </w:rPr>
        <w:t xml:space="preserve">Diese Angabepflicht steht im Einklang mit den Anforderungen der Durchführungsverordnung (EU) 2022/2453 der Kommission, Meldebogen 2: Immobilien, Energieeffizienz der Sicherheiten). </w:t>
      </w:r>
    </w:p>
    <w:tbl>
      <w:tblPr>
        <w:tblStyle w:val="Gitternetztabelle4Akzent6"/>
        <w:tblW w:w="9072" w:type="dxa"/>
        <w:tblBorders>
          <w:top w:val="none" w:sz="0" w:space="0" w:color="auto"/>
          <w:left w:val="none" w:sz="0" w:space="0" w:color="auto"/>
          <w:bottom w:val="none" w:sz="0" w:space="0" w:color="auto"/>
          <w:right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3"/>
      </w:tblGrid>
      <w:tr w:rsidR="00B80E74" w:rsidRPr="00122B7B" w:rsidTr="000954D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left w:val="nil"/>
              <w:bottom w:val="nil"/>
              <w:right w:val="nil"/>
            </w:tcBorders>
            <w:shd w:val="clear" w:color="auto" w:fill="D9D9D9" w:themeFill="background1" w:themeFillShade="D9"/>
            <w:vAlign w:val="center"/>
          </w:tcPr>
          <w:p w:rsidR="00B80E74" w:rsidRPr="00122B7B" w:rsidRDefault="00B80E74" w:rsidP="00E96B4A">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C74532">
              <w:rPr>
                <w:color w:val="000000" w:themeColor="text1"/>
                <w:sz w:val="20"/>
                <w:szCs w:val="20"/>
              </w:rPr>
              <w:t>;</w:t>
            </w:r>
            <w:r>
              <w:rPr>
                <w:color w:val="000000" w:themeColor="text1"/>
                <w:sz w:val="20"/>
                <w:szCs w:val="20"/>
              </w:rPr>
              <w:t xml:space="preserve"> Forts.</w:t>
            </w:r>
          </w:p>
        </w:tc>
      </w:tr>
      <w:tr w:rsidR="00B80E74" w:rsidRPr="00E96B4A" w:rsidTr="0009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left w:val="nil"/>
              <w:bottom w:val="nil"/>
              <w:right w:val="nil"/>
            </w:tcBorders>
            <w:shd w:val="clear" w:color="auto" w:fill="auto"/>
            <w:vAlign w:val="center"/>
          </w:tcPr>
          <w:p w:rsidR="00B80E74" w:rsidRPr="00E96B4A" w:rsidRDefault="00B80E74" w:rsidP="00E96B4A">
            <w:pPr>
              <w:spacing w:before="0"/>
              <w:contextualSpacing/>
              <w:jc w:val="left"/>
              <w:rPr>
                <w:color w:val="000000" w:themeColor="text1"/>
                <w:sz w:val="2"/>
                <w:szCs w:val="2"/>
              </w:rPr>
            </w:pPr>
          </w:p>
        </w:tc>
      </w:tr>
      <w:tr w:rsidR="00B80E74" w:rsidRPr="00B80E74"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5E6243" w:rsidRPr="00B80E74" w:rsidRDefault="005E6243" w:rsidP="008034C7">
            <w:pPr>
              <w:spacing w:before="60" w:after="60"/>
              <w:jc w:val="center"/>
              <w:rPr>
                <w:color w:val="FFFFFF" w:themeColor="background1"/>
                <w:sz w:val="20"/>
                <w:szCs w:val="20"/>
              </w:rPr>
            </w:pPr>
            <w:r w:rsidRPr="00B80E74">
              <w:rPr>
                <w:color w:val="FFFFFF" w:themeColor="background1"/>
                <w:sz w:val="20"/>
                <w:szCs w:val="20"/>
              </w:rPr>
              <w:t>Quelle ESRS E1</w:t>
            </w:r>
          </w:p>
        </w:tc>
        <w:tc>
          <w:tcPr>
            <w:tcW w:w="6240" w:type="dxa"/>
            <w:tcBorders>
              <w:top w:val="single" w:sz="4" w:space="0" w:color="auto"/>
              <w:left w:val="single" w:sz="4" w:space="0" w:color="auto"/>
              <w:bottom w:val="single" w:sz="4" w:space="0" w:color="auto"/>
              <w:right w:val="single" w:sz="4" w:space="0" w:color="auto"/>
            </w:tcBorders>
            <w:shd w:val="clear" w:color="auto" w:fill="228B22"/>
            <w:vAlign w:val="center"/>
          </w:tcPr>
          <w:p w:rsidR="005E6243" w:rsidRPr="00B80E74" w:rsidRDefault="005E6243" w:rsidP="008034C7">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80E74">
              <w:rPr>
                <w:b/>
                <w:color w:val="FFFFFF" w:themeColor="background1"/>
                <w:sz w:val="20"/>
                <w:szCs w:val="20"/>
              </w:rPr>
              <w:t>Parameter und Ziele</w:t>
            </w:r>
          </w:p>
        </w:tc>
        <w:tc>
          <w:tcPr>
            <w:tcW w:w="1843" w:type="dxa"/>
            <w:tcBorders>
              <w:top w:val="single" w:sz="4" w:space="0" w:color="auto"/>
              <w:left w:val="single" w:sz="4" w:space="0" w:color="auto"/>
              <w:bottom w:val="single" w:sz="4" w:space="0" w:color="auto"/>
              <w:right w:val="single" w:sz="4" w:space="0" w:color="auto"/>
            </w:tcBorders>
            <w:shd w:val="clear" w:color="auto" w:fill="228B22"/>
            <w:vAlign w:val="center"/>
          </w:tcPr>
          <w:p w:rsidR="005E6243" w:rsidRPr="00B80E74" w:rsidRDefault="005E6243" w:rsidP="008034C7">
            <w:pPr>
              <w:spacing w:before="60" w:after="60"/>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B80E74">
              <w:rPr>
                <w:b/>
                <w:color w:val="FFFFFF" w:themeColor="background1"/>
                <w:sz w:val="16"/>
                <w:szCs w:val="16"/>
              </w:rPr>
              <w:t>Bemerkungen, ggf. Verweis auf Datenpunkte</w:t>
            </w:r>
          </w:p>
        </w:tc>
      </w:tr>
      <w:tr w:rsidR="00267E82"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7E82" w:rsidRPr="00086C16" w:rsidRDefault="00267E82" w:rsidP="008034C7">
            <w:pPr>
              <w:spacing w:before="60" w:after="60"/>
              <w:jc w:val="center"/>
              <w:rPr>
                <w:color w:val="000000" w:themeColor="text1"/>
                <w:sz w:val="16"/>
                <w:szCs w:val="16"/>
              </w:rPr>
            </w:pPr>
            <w:r>
              <w:rPr>
                <w:color w:val="000000" w:themeColor="text1"/>
                <w:sz w:val="16"/>
                <w:szCs w:val="16"/>
              </w:rPr>
              <w:t>A</w:t>
            </w:r>
            <w:r w:rsidR="00C828CB">
              <w:rPr>
                <w:color w:val="000000" w:themeColor="text1"/>
                <w:sz w:val="16"/>
                <w:szCs w:val="16"/>
              </w:rPr>
              <w:t>R</w:t>
            </w:r>
            <w:r>
              <w:rPr>
                <w:color w:val="000000" w:themeColor="text1"/>
                <w:sz w:val="16"/>
                <w:szCs w:val="16"/>
              </w:rPr>
              <w:t xml:space="preserve"> 73</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267E82" w:rsidRPr="006F0CA6" w:rsidRDefault="00267E82" w:rsidP="00B13B26">
            <w:pPr>
              <w:pStyle w:val="Default"/>
              <w:numPr>
                <w:ilvl w:val="0"/>
                <w:numId w:val="35"/>
              </w:numPr>
              <w:spacing w:before="60" w:after="60"/>
              <w:ind w:left="466"/>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5E6243">
              <w:rPr>
                <w:rFonts w:ascii="Century Gothic" w:hAnsi="Century Gothic"/>
                <w:sz w:val="16"/>
                <w:szCs w:val="16"/>
              </w:rPr>
              <w:t xml:space="preserve">Es berechnet den Anteil (Prozentsatz) der gesamten Vermögenswerte (einschließlich der Vermögenswerte im Zusammenhang mit Finanzierungsleasing/Nutzungsrechten) mit einem wesentlichen Übergangsrisiko, auf die sich die </w:t>
            </w:r>
            <w:r w:rsidRPr="005E6243">
              <w:rPr>
                <w:rFonts w:ascii="Century Gothic" w:hAnsi="Century Gothic"/>
                <w:b/>
                <w:bCs/>
                <w:sz w:val="16"/>
                <w:szCs w:val="16"/>
              </w:rPr>
              <w:t xml:space="preserve">Klimaschutzmaßnahmen </w:t>
            </w:r>
            <w:r w:rsidRPr="005E6243">
              <w:rPr>
                <w:rFonts w:ascii="Century Gothic" w:hAnsi="Century Gothic"/>
                <w:sz w:val="16"/>
                <w:szCs w:val="16"/>
              </w:rPr>
              <w:t>beziehen, auf der Grundlage der im Rahmen der Angabepflicht E1-3 angegebenen Informationen. Der Gesamtbetrag der Vermögenswerte entspricht dem Bilanzbuchwert zum Berichtsdatum.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7E82" w:rsidRPr="00403766" w:rsidRDefault="00267E82" w:rsidP="008034C7">
            <w:pPr>
              <w:spacing w:before="60" w:after="6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5E6243"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6243" w:rsidRPr="00086C16" w:rsidRDefault="005E6243" w:rsidP="008034C7">
            <w:pPr>
              <w:spacing w:before="60" w:after="60"/>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74</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5E6243" w:rsidRPr="006F0CA6" w:rsidRDefault="005E6243" w:rsidP="00FC13A8">
            <w:pPr>
              <w:pStyle w:val="Default"/>
              <w:spacing w:before="60" w:after="6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 xml:space="preserve">Bei der Angabe der nach Absatz 67 Buchstabe d erforderlichen Informationen über potenzielle Verbindlichkeiten aus wesentlichen </w:t>
            </w:r>
            <w:r w:rsidRPr="006F0CA6">
              <w:rPr>
                <w:rFonts w:ascii="Century Gothic" w:hAnsi="Century Gothic"/>
                <w:b/>
                <w:bCs/>
                <w:sz w:val="16"/>
                <w:szCs w:val="16"/>
              </w:rPr>
              <w:t>Übergangsrisiken</w:t>
            </w:r>
          </w:p>
          <w:p w:rsidR="005E6243" w:rsidRPr="006F0CA6" w:rsidRDefault="005E6243" w:rsidP="00B13B26">
            <w:pPr>
              <w:pStyle w:val="Default"/>
              <w:numPr>
                <w:ilvl w:val="0"/>
                <w:numId w:val="25"/>
              </w:numPr>
              <w:spacing w:before="60" w:after="60"/>
              <w:ind w:left="466"/>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 xml:space="preserve">können Unternehmen, die </w:t>
            </w:r>
            <w:r w:rsidRPr="006F0CA6">
              <w:rPr>
                <w:rFonts w:ascii="Century Gothic" w:hAnsi="Century Gothic"/>
                <w:b/>
                <w:bCs/>
                <w:sz w:val="16"/>
                <w:szCs w:val="16"/>
              </w:rPr>
              <w:t xml:space="preserve">Anlagen </w:t>
            </w:r>
            <w:r w:rsidRPr="006F0CA6">
              <w:rPr>
                <w:rFonts w:ascii="Century Gothic" w:hAnsi="Century Gothic"/>
                <w:sz w:val="16"/>
                <w:szCs w:val="16"/>
              </w:rPr>
              <w:t>betreiben, die unter ein Emissionshandelssystem fallen, eine Reihe potenzieller künftiger Verbindlichkeiten aus diesen Systemen einbeziehen,</w:t>
            </w:r>
          </w:p>
          <w:p w:rsidR="005E6243" w:rsidRPr="006F0CA6" w:rsidRDefault="005E6243" w:rsidP="00B13B26">
            <w:pPr>
              <w:pStyle w:val="Default"/>
              <w:numPr>
                <w:ilvl w:val="0"/>
                <w:numId w:val="25"/>
              </w:numPr>
              <w:spacing w:before="60" w:after="60"/>
              <w:ind w:left="466"/>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können Unternehmen, die dem EU-EHS unterliegen, die potenziellen künftigen Verbindlichkeiten im Zusammenhang mit ihren Allokationsplänen für den Zeitraum vor und bis 2030 angeben. Die Schätzung der potenziellen Verbindlichkeiten kann auf Folgendem beruhen:</w:t>
            </w:r>
          </w:p>
          <w:p w:rsidR="005E6243" w:rsidRPr="006F0CA6" w:rsidRDefault="005E6243" w:rsidP="00B13B26">
            <w:pPr>
              <w:pStyle w:val="Default"/>
              <w:numPr>
                <w:ilvl w:val="0"/>
                <w:numId w:val="30"/>
              </w:numPr>
              <w:spacing w:before="60" w:after="60"/>
              <w:ind w:left="749" w:hanging="219"/>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der Anzahl der Zertifikate, über die das Unternehmen zu Beginn des Berichtszeitraums verfügt,</w:t>
            </w:r>
          </w:p>
          <w:p w:rsidR="005E6243" w:rsidRDefault="005E6243" w:rsidP="00B13B26">
            <w:pPr>
              <w:pStyle w:val="Default"/>
              <w:numPr>
                <w:ilvl w:val="0"/>
                <w:numId w:val="30"/>
              </w:numPr>
              <w:spacing w:before="60" w:after="60"/>
              <w:ind w:left="749" w:hanging="219"/>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der Anzahl der Zertifikate, die jährlich, d. h. vor und bis 2030, auf dem Markt erworben werden sollen,</w:t>
            </w:r>
          </w:p>
          <w:p w:rsidR="005E6243" w:rsidRPr="0088517F" w:rsidRDefault="00466C63" w:rsidP="00B13B26">
            <w:pPr>
              <w:pStyle w:val="Default"/>
              <w:numPr>
                <w:ilvl w:val="0"/>
                <w:numId w:val="30"/>
              </w:numPr>
              <w:spacing w:before="60" w:after="60"/>
              <w:ind w:left="749" w:hanging="219"/>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88517F">
              <w:rPr>
                <w:rFonts w:ascii="Century Gothic" w:hAnsi="Century Gothic"/>
                <w:sz w:val="16"/>
                <w:szCs w:val="16"/>
              </w:rPr>
              <w:t>der</w:t>
            </w:r>
            <w:r w:rsidR="005E6243" w:rsidRPr="0088517F">
              <w:rPr>
                <w:rFonts w:ascii="Century Gothic" w:hAnsi="Century Gothic"/>
                <w:sz w:val="16"/>
                <w:szCs w:val="16"/>
              </w:rPr>
              <w:t xml:space="preserve"> Lücke zwischen den geschätzten künftigen Emissionen in verschiedenen Übergangsszenarien und der kostenlosen Zuteilung von Zertifikaten, die für den Zeitraum bis 2030 bekannt sind, und</w:t>
            </w:r>
          </w:p>
          <w:p w:rsidR="005E6243" w:rsidRPr="006F0CA6" w:rsidRDefault="005E6243" w:rsidP="00B13B26">
            <w:pPr>
              <w:pStyle w:val="Default"/>
              <w:numPr>
                <w:ilvl w:val="0"/>
                <w:numId w:val="30"/>
              </w:numPr>
              <w:spacing w:before="60" w:after="60"/>
              <w:ind w:left="749" w:hanging="219"/>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der geschätzten jährlichen Kosten pro Tonne CO</w:t>
            </w:r>
            <w:r w:rsidRPr="00681B38">
              <w:rPr>
                <w:rFonts w:ascii="Century Gothic" w:hAnsi="Century Gothic"/>
                <w:sz w:val="16"/>
                <w:szCs w:val="16"/>
                <w:vertAlign w:val="subscript"/>
              </w:rPr>
              <w:t>2</w:t>
            </w:r>
            <w:r w:rsidRPr="006F0CA6">
              <w:rPr>
                <w:rFonts w:ascii="Century Gothic" w:hAnsi="Century Gothic"/>
                <w:sz w:val="16"/>
                <w:szCs w:val="16"/>
              </w:rPr>
              <w:t>, für die ein Zertifikat erworben werden muss,</w:t>
            </w:r>
          </w:p>
          <w:p w:rsidR="005E6243" w:rsidRPr="006F0CA6" w:rsidRDefault="005E6243" w:rsidP="00B13B26">
            <w:pPr>
              <w:pStyle w:val="Default"/>
              <w:numPr>
                <w:ilvl w:val="0"/>
                <w:numId w:val="25"/>
              </w:numPr>
              <w:spacing w:before="60" w:after="60"/>
              <w:ind w:left="466"/>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kann das Unternehmen bei der Bewertung seiner potenziellen künftigen Verbindlichkeiten die Anzahl der Scope-1-Treibhausgaszertifikate innerhalb regulierter Emissionshandelssysteme und die kumulierte Anzahl der zu Beginn des Berichtszeitraums gespeicherten Emissionszertifikate (aus früheren Zertifikaten) berücksichtigen und angeben,</w:t>
            </w:r>
          </w:p>
          <w:p w:rsidR="006F0CA6" w:rsidRPr="00576C80" w:rsidRDefault="005E6243" w:rsidP="00B13B26">
            <w:pPr>
              <w:pStyle w:val="Default"/>
              <w:numPr>
                <w:ilvl w:val="0"/>
                <w:numId w:val="25"/>
              </w:numPr>
              <w:spacing w:before="60" w:after="60"/>
              <w:ind w:left="466"/>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 xml:space="preserve">können Unternehmen, die die Mengen der </w:t>
            </w:r>
            <w:r w:rsidRPr="006F0CA6">
              <w:rPr>
                <w:rFonts w:ascii="Century Gothic" w:hAnsi="Century Gothic"/>
                <w:b/>
                <w:bCs/>
                <w:sz w:val="16"/>
                <w:szCs w:val="16"/>
              </w:rPr>
              <w:t>CO</w:t>
            </w:r>
            <w:r w:rsidRPr="00BB523E">
              <w:rPr>
                <w:rFonts w:ascii="Century Gothic" w:hAnsi="Century Gothic"/>
                <w:b/>
                <w:bCs/>
                <w:sz w:val="16"/>
                <w:szCs w:val="16"/>
                <w:vertAlign w:val="subscript"/>
              </w:rPr>
              <w:t>2</w:t>
            </w:r>
            <w:r w:rsidRPr="006F0CA6">
              <w:rPr>
                <w:rFonts w:ascii="Century Gothic" w:hAnsi="Century Gothic"/>
                <w:b/>
                <w:bCs/>
                <w:sz w:val="16"/>
                <w:szCs w:val="16"/>
              </w:rPr>
              <w:t xml:space="preserve">-Gutschriften </w:t>
            </w:r>
            <w:r w:rsidRPr="006F0CA6">
              <w:rPr>
                <w:rFonts w:ascii="Century Gothic" w:hAnsi="Century Gothic"/>
                <w:sz w:val="16"/>
                <w:szCs w:val="16"/>
              </w:rPr>
              <w:t>angeben, die in naher Zukunft gelöscht werden sollen (Angabepflicht E1-7), die potenziellen künftigen Verbindlichkeiten im Zusammenhang mit den auf bestehenden vertraglichen Vereinbarungen beruhenden Verbindlichkeiten angeben,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E6243" w:rsidRPr="00403766" w:rsidRDefault="005E6243" w:rsidP="008034C7">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rsidR="00C828CB" w:rsidRDefault="00C828CB">
      <w:r>
        <w:rPr>
          <w:b/>
          <w:bCs/>
        </w:rPr>
        <w:br w:type="page"/>
      </w:r>
    </w:p>
    <w:tbl>
      <w:tblPr>
        <w:tblStyle w:val="Gitternetztabelle4Akzent6"/>
        <w:tblW w:w="9072" w:type="dxa"/>
        <w:tblBorders>
          <w:top w:val="none" w:sz="0" w:space="0" w:color="auto"/>
          <w:left w:val="none" w:sz="0" w:space="0" w:color="auto"/>
          <w:bottom w:val="none" w:sz="0" w:space="0" w:color="auto"/>
          <w:right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3"/>
      </w:tblGrid>
      <w:tr w:rsidR="00576C80" w:rsidRPr="00122B7B" w:rsidTr="000954D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left w:val="nil"/>
              <w:bottom w:val="nil"/>
              <w:right w:val="nil"/>
            </w:tcBorders>
            <w:shd w:val="clear" w:color="auto" w:fill="D9D9D9" w:themeFill="background1" w:themeFillShade="D9"/>
            <w:vAlign w:val="center"/>
          </w:tcPr>
          <w:p w:rsidR="00576C80" w:rsidRPr="00122B7B" w:rsidRDefault="00576C80" w:rsidP="0090596C">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C74532">
              <w:rPr>
                <w:color w:val="000000" w:themeColor="text1"/>
                <w:sz w:val="20"/>
                <w:szCs w:val="20"/>
              </w:rPr>
              <w:t>;</w:t>
            </w:r>
            <w:r>
              <w:rPr>
                <w:color w:val="000000" w:themeColor="text1"/>
                <w:sz w:val="20"/>
                <w:szCs w:val="20"/>
              </w:rPr>
              <w:t xml:space="preserve"> Forts.</w:t>
            </w:r>
          </w:p>
        </w:tc>
      </w:tr>
      <w:tr w:rsidR="00576C80" w:rsidRPr="0090596C" w:rsidTr="0009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nil"/>
              <w:right w:val="nil"/>
            </w:tcBorders>
            <w:shd w:val="clear" w:color="auto" w:fill="auto"/>
            <w:vAlign w:val="center"/>
          </w:tcPr>
          <w:p w:rsidR="00576C80" w:rsidRPr="0090596C" w:rsidRDefault="00576C80" w:rsidP="0090596C">
            <w:pPr>
              <w:spacing w:before="0"/>
              <w:contextualSpacing/>
              <w:jc w:val="left"/>
              <w:rPr>
                <w:color w:val="000000" w:themeColor="text1"/>
                <w:sz w:val="2"/>
                <w:szCs w:val="2"/>
              </w:rPr>
            </w:pPr>
          </w:p>
        </w:tc>
      </w:tr>
      <w:tr w:rsidR="00576C80" w:rsidRPr="00B80E74"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576C80" w:rsidRPr="00B80E74" w:rsidRDefault="00576C80" w:rsidP="0090596C">
            <w:pPr>
              <w:spacing w:before="0"/>
              <w:contextualSpacing/>
              <w:jc w:val="center"/>
              <w:rPr>
                <w:color w:val="FFFFFF" w:themeColor="background1"/>
                <w:sz w:val="20"/>
                <w:szCs w:val="20"/>
              </w:rPr>
            </w:pPr>
            <w:r w:rsidRPr="00B80E74">
              <w:rPr>
                <w:color w:val="FFFFFF" w:themeColor="background1"/>
                <w:sz w:val="20"/>
                <w:szCs w:val="20"/>
              </w:rPr>
              <w:t>Quelle ESRS E1</w:t>
            </w:r>
          </w:p>
        </w:tc>
        <w:tc>
          <w:tcPr>
            <w:tcW w:w="6240" w:type="dxa"/>
            <w:tcBorders>
              <w:top w:val="single" w:sz="4" w:space="0" w:color="auto"/>
              <w:left w:val="single" w:sz="4" w:space="0" w:color="auto"/>
              <w:bottom w:val="single" w:sz="4" w:space="0" w:color="auto"/>
              <w:right w:val="single" w:sz="4" w:space="0" w:color="auto"/>
            </w:tcBorders>
            <w:shd w:val="clear" w:color="auto" w:fill="228B22"/>
            <w:vAlign w:val="center"/>
          </w:tcPr>
          <w:p w:rsidR="00576C80" w:rsidRPr="00B80E74" w:rsidRDefault="00576C80" w:rsidP="0090596C">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80E74">
              <w:rPr>
                <w:b/>
                <w:color w:val="FFFFFF" w:themeColor="background1"/>
                <w:sz w:val="20"/>
                <w:szCs w:val="20"/>
              </w:rPr>
              <w:t>Parameter und Ziele</w:t>
            </w:r>
          </w:p>
        </w:tc>
        <w:tc>
          <w:tcPr>
            <w:tcW w:w="1843" w:type="dxa"/>
            <w:tcBorders>
              <w:top w:val="single" w:sz="4" w:space="0" w:color="auto"/>
              <w:left w:val="single" w:sz="4" w:space="0" w:color="auto"/>
              <w:bottom w:val="single" w:sz="4" w:space="0" w:color="auto"/>
              <w:right w:val="single" w:sz="4" w:space="0" w:color="auto"/>
            </w:tcBorders>
            <w:shd w:val="clear" w:color="auto" w:fill="228B22"/>
            <w:vAlign w:val="center"/>
          </w:tcPr>
          <w:p w:rsidR="00576C80" w:rsidRPr="00B80E74" w:rsidRDefault="00576C80" w:rsidP="0090596C">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B80E74">
              <w:rPr>
                <w:b/>
                <w:color w:val="FFFFFF" w:themeColor="background1"/>
                <w:sz w:val="16"/>
                <w:szCs w:val="16"/>
              </w:rPr>
              <w:t>Bemerkungen, ggf. Verweis auf Datenpunkte</w:t>
            </w:r>
          </w:p>
        </w:tc>
      </w:tr>
      <w:tr w:rsidR="00C828CB"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28CB" w:rsidRPr="00086C16" w:rsidRDefault="00C828CB" w:rsidP="0090596C">
            <w:pPr>
              <w:spacing w:before="0"/>
              <w:contextualSpacing/>
              <w:jc w:val="center"/>
              <w:rPr>
                <w:color w:val="000000" w:themeColor="text1"/>
                <w:sz w:val="16"/>
                <w:szCs w:val="16"/>
              </w:rPr>
            </w:pPr>
            <w:r>
              <w:rPr>
                <w:color w:val="000000" w:themeColor="text1"/>
                <w:sz w:val="16"/>
                <w:szCs w:val="16"/>
              </w:rPr>
              <w:t>AR 74</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576C80" w:rsidRPr="006F0CA6" w:rsidRDefault="00576C80" w:rsidP="00EB48AE">
            <w:pPr>
              <w:pStyle w:val="Default"/>
              <w:numPr>
                <w:ilvl w:val="0"/>
                <w:numId w:val="25"/>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kann das Unternehmen außerdem seine monetarisierten Scope-1- und Scope-2-Emissionen sowie seine THG- Gesamtemissionen (in Währungseinheiten) einbeziehen, die wie folgt berechnet werden:</w:t>
            </w:r>
          </w:p>
          <w:p w:rsidR="00576C80" w:rsidRDefault="00576C80" w:rsidP="00EB48AE">
            <w:pPr>
              <w:pStyle w:val="Default"/>
              <w:numPr>
                <w:ilvl w:val="0"/>
                <w:numId w:val="31"/>
              </w:numPr>
              <w:ind w:left="891"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monetarisierte Scope-1- und Scope-2-Treibhausgasemissionen im Berichtsjahr anhand folgender Formel:</w:t>
            </w:r>
          </w:p>
          <w:p w:rsidR="00576C80" w:rsidRPr="006F0CA6" w:rsidRDefault="00576C80" w:rsidP="00EB48AE">
            <w:pPr>
              <w:pStyle w:val="Default"/>
              <w:ind w:left="891"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noProof/>
              </w:rPr>
              <w:drawing>
                <wp:inline distT="0" distB="0" distL="0" distR="0" wp14:anchorId="3AB702D9" wp14:editId="19F5026C">
                  <wp:extent cx="3155978" cy="38100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8318" cy="396977"/>
                          </a:xfrm>
                          <a:prstGeom prst="rect">
                            <a:avLst/>
                          </a:prstGeom>
                          <a:noFill/>
                          <a:ln>
                            <a:noFill/>
                          </a:ln>
                        </pic:spPr>
                      </pic:pic>
                    </a:graphicData>
                  </a:graphic>
                </wp:inline>
              </w:drawing>
            </w:r>
          </w:p>
          <w:p w:rsidR="00576C80" w:rsidRPr="006F0CA6" w:rsidRDefault="00576C80" w:rsidP="00EB48AE">
            <w:pPr>
              <w:pStyle w:val="Default"/>
              <w:numPr>
                <w:ilvl w:val="0"/>
                <w:numId w:val="31"/>
              </w:numPr>
              <w:ind w:left="891"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F0CA6">
              <w:rPr>
                <w:rFonts w:ascii="Century Gothic" w:hAnsi="Century Gothic"/>
                <w:sz w:val="16"/>
                <w:szCs w:val="16"/>
              </w:rPr>
              <w:t>monetarisierte THG-Gesamtemissionen im Berichtsjahr anhand folgender Formel:</w:t>
            </w:r>
          </w:p>
          <w:p w:rsidR="00576C80" w:rsidRDefault="00576C80" w:rsidP="00EB48AE">
            <w:pPr>
              <w:pStyle w:val="Default"/>
              <w:ind w:left="891"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noProof/>
              </w:rPr>
              <w:drawing>
                <wp:inline distT="0" distB="0" distL="0" distR="0" wp14:anchorId="676A9690" wp14:editId="7F1F0E64">
                  <wp:extent cx="3176270" cy="232410"/>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8571" cy="299895"/>
                          </a:xfrm>
                          <a:prstGeom prst="rect">
                            <a:avLst/>
                          </a:prstGeom>
                          <a:noFill/>
                          <a:ln>
                            <a:noFill/>
                          </a:ln>
                        </pic:spPr>
                      </pic:pic>
                    </a:graphicData>
                  </a:graphic>
                </wp:inline>
              </w:drawing>
            </w:r>
          </w:p>
          <w:p w:rsidR="00C828CB" w:rsidRPr="00EE4980" w:rsidRDefault="00576C80" w:rsidP="00EB48AE">
            <w:pPr>
              <w:pStyle w:val="Default"/>
              <w:numPr>
                <w:ilvl w:val="0"/>
                <w:numId w:val="31"/>
              </w:numPr>
              <w:ind w:left="891"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unter </w:t>
            </w:r>
            <w:r w:rsidRPr="006F0CA6">
              <w:rPr>
                <w:rFonts w:ascii="Century Gothic" w:hAnsi="Century Gothic"/>
                <w:sz w:val="16"/>
                <w:szCs w:val="16"/>
              </w:rPr>
              <w:t>Verwendung einer unteren, mittleren und oberen Kostenrate</w:t>
            </w:r>
            <w:r w:rsidRPr="00E3487B">
              <w:rPr>
                <w:rFonts w:ascii="Century Gothic" w:hAnsi="Century Gothic"/>
                <w:sz w:val="16"/>
                <w:szCs w:val="16"/>
                <w:vertAlign w:val="superscript"/>
              </w:rPr>
              <w:t>56</w:t>
            </w:r>
            <w:r w:rsidR="000954DF">
              <w:rPr>
                <w:rFonts w:ascii="Century Gothic" w:hAnsi="Century Gothic"/>
                <w:sz w:val="16"/>
                <w:szCs w:val="16"/>
                <w:vertAlign w:val="superscript"/>
              </w:rPr>
              <w:t xml:space="preserve"> </w:t>
            </w:r>
            <w:r w:rsidRPr="006F0CA6">
              <w:rPr>
                <w:rFonts w:ascii="Century Gothic" w:hAnsi="Century Gothic"/>
                <w:sz w:val="16"/>
                <w:szCs w:val="16"/>
              </w:rPr>
              <w:t>für Treibhausgasemissionen (z. B. CO</w:t>
            </w:r>
            <w:r w:rsidRPr="00F6422C">
              <w:rPr>
                <w:rFonts w:ascii="Century Gothic" w:hAnsi="Century Gothic"/>
                <w:sz w:val="16"/>
                <w:szCs w:val="16"/>
                <w:vertAlign w:val="subscript"/>
              </w:rPr>
              <w:t>2</w:t>
            </w:r>
            <w:r w:rsidRPr="006F0CA6">
              <w:rPr>
                <w:rFonts w:ascii="Century Gothic" w:hAnsi="Century Gothic"/>
                <w:sz w:val="16"/>
                <w:szCs w:val="16"/>
              </w:rPr>
              <w:t>-Marktpreis und unterschiedliche Schätzungen für die gesellschaftlichen Kosten von Kohlenstoff), wobei die Auswahl zu begründen ist.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28CB" w:rsidRPr="00403766" w:rsidRDefault="00C828CB" w:rsidP="0090596C">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EE4980"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4980" w:rsidRPr="00086C16" w:rsidRDefault="00EE4980" w:rsidP="0090596C">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75</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EE4980" w:rsidRPr="00EE4980" w:rsidRDefault="00EE4980" w:rsidP="0090596C">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EE4980">
              <w:rPr>
                <w:rFonts w:ascii="Century Gothic" w:hAnsi="Century Gothic"/>
                <w:sz w:val="16"/>
                <w:szCs w:val="16"/>
              </w:rPr>
              <w:t xml:space="preserve">Es können weitere Ansätze und Methoden angewandt werden, um zu bewerten, wie sich </w:t>
            </w:r>
            <w:r w:rsidRPr="00EE4980">
              <w:rPr>
                <w:rFonts w:ascii="Century Gothic" w:hAnsi="Century Gothic"/>
                <w:b/>
                <w:bCs/>
                <w:sz w:val="16"/>
                <w:szCs w:val="16"/>
              </w:rPr>
              <w:t xml:space="preserve">Übergangsrisiken </w:t>
            </w:r>
            <w:r w:rsidRPr="00EE4980">
              <w:rPr>
                <w:rFonts w:ascii="Century Gothic" w:hAnsi="Century Gothic"/>
                <w:sz w:val="16"/>
                <w:szCs w:val="16"/>
              </w:rPr>
              <w:t xml:space="preserve">auf die künftige Finanzlage des Unternehmens auswirken können. In jedem Fall enthalten die Angaben zu den </w:t>
            </w:r>
            <w:r w:rsidRPr="00EE4980">
              <w:rPr>
                <w:rFonts w:ascii="Century Gothic" w:hAnsi="Century Gothic"/>
                <w:b/>
                <w:bCs/>
                <w:sz w:val="16"/>
                <w:szCs w:val="16"/>
              </w:rPr>
              <w:t xml:space="preserve">erwarteten finanziellen Auswirkungen </w:t>
            </w:r>
            <w:r w:rsidRPr="00EE4980">
              <w:rPr>
                <w:rFonts w:ascii="Century Gothic" w:hAnsi="Century Gothic"/>
                <w:sz w:val="16"/>
                <w:szCs w:val="16"/>
              </w:rPr>
              <w:t>eine Beschreibung der vom Unternehmen verwendeten Methoden und Definitionen.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4980" w:rsidRPr="00403766" w:rsidRDefault="00EE4980" w:rsidP="0090596C">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2604FF"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04FF" w:rsidRPr="00086C16" w:rsidRDefault="002604FF" w:rsidP="0090596C">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76</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2604FF" w:rsidRPr="009179BE" w:rsidRDefault="002604FF" w:rsidP="0090596C">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179BE">
              <w:rPr>
                <w:rFonts w:ascii="Century Gothic" w:hAnsi="Century Gothic"/>
                <w:sz w:val="16"/>
                <w:szCs w:val="16"/>
              </w:rPr>
              <w:t xml:space="preserve">Bei der Zusammenstellung der nach Absatz 67 Buchstabe e erforderlichen Informationen kann das Unternehmen den Anteil der Nettoeinnahmen aus Geschäftstätigkeiten mit </w:t>
            </w:r>
            <w:r w:rsidRPr="009179BE">
              <w:rPr>
                <w:rFonts w:ascii="Century Gothic" w:hAnsi="Century Gothic"/>
                <w:b/>
                <w:bCs/>
                <w:sz w:val="16"/>
                <w:szCs w:val="16"/>
              </w:rPr>
              <w:t xml:space="preserve">Übergangsrisiken </w:t>
            </w:r>
            <w:r w:rsidRPr="009179BE">
              <w:rPr>
                <w:rFonts w:ascii="Century Gothic" w:hAnsi="Century Gothic"/>
                <w:sz w:val="16"/>
                <w:szCs w:val="16"/>
              </w:rPr>
              <w:t>bewerten und angeben. Diese Angabe</w:t>
            </w:r>
          </w:p>
          <w:p w:rsidR="002604FF" w:rsidRPr="009179BE" w:rsidRDefault="002604FF" w:rsidP="008903DE">
            <w:pPr>
              <w:pStyle w:val="Default"/>
              <w:numPr>
                <w:ilvl w:val="0"/>
                <w:numId w:val="28"/>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179BE">
              <w:rPr>
                <w:rFonts w:ascii="Century Gothic" w:hAnsi="Century Gothic"/>
                <w:sz w:val="16"/>
                <w:szCs w:val="16"/>
              </w:rPr>
              <w:t>basiert auf den Nettoeinnahmen im Einklang mit den Anforderungen der für Abschlüsse anzuwendenden Rechnungslegungsstandards, d. h. IFRS 15 oder lokale Rechnungslegungsanforderungen,</w:t>
            </w:r>
          </w:p>
          <w:p w:rsidR="002604FF" w:rsidRPr="009179BE" w:rsidRDefault="002604FF" w:rsidP="008903DE">
            <w:pPr>
              <w:pStyle w:val="Default"/>
              <w:numPr>
                <w:ilvl w:val="0"/>
                <w:numId w:val="28"/>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i/>
                <w:sz w:val="16"/>
                <w:szCs w:val="16"/>
              </w:rPr>
            </w:pPr>
            <w:r w:rsidRPr="009179BE">
              <w:rPr>
                <w:rFonts w:ascii="Century Gothic" w:hAnsi="Century Gothic"/>
                <w:sz w:val="16"/>
                <w:szCs w:val="16"/>
              </w:rPr>
              <w:t xml:space="preserve">kann eine Aufschlüsselung der Geschäftstätigkeiten des Unternehmens mit entsprechenden Einzelheiten zum jeweiligen Prozentsatz der aktuellen Nettoeinnahmen, zu den Risikofaktoren (Ereignisse und Exposition) und, wenn möglich, zu den kurz-, mittel- und langfristig </w:t>
            </w:r>
            <w:r w:rsidRPr="009179BE">
              <w:rPr>
                <w:rFonts w:ascii="Century Gothic" w:hAnsi="Century Gothic"/>
                <w:b/>
                <w:bCs/>
                <w:sz w:val="16"/>
                <w:szCs w:val="16"/>
              </w:rPr>
              <w:t xml:space="preserve">erwarteten finanziellen Auswirkungen </w:t>
            </w:r>
            <w:r w:rsidRPr="009179BE">
              <w:rPr>
                <w:rFonts w:ascii="Century Gothic" w:hAnsi="Century Gothic"/>
                <w:sz w:val="16"/>
                <w:szCs w:val="16"/>
              </w:rPr>
              <w:t>in Bezug auf den Einbruch von Gewinnspannen enthalten. Die Arten der Geschäftstätigkeiten können auch nach Geschäftssegmenten aufgeschlüsselt werden, wenn das Unternehmen den Beitrag der Gewinnspannen nach Geschäftssegmenten in seinem Segmentbericht im Rahmen des Abschlusses angegeben hat.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604FF" w:rsidRPr="00403766" w:rsidRDefault="002604FF" w:rsidP="0090596C">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rsidR="0088517F" w:rsidRDefault="0088517F" w:rsidP="0088517F">
      <w:pPr>
        <w:pStyle w:val="Default"/>
        <w:rPr>
          <w:rFonts w:ascii="Century Gothic" w:hAnsi="Century Gothic"/>
          <w:sz w:val="12"/>
          <w:szCs w:val="12"/>
        </w:rPr>
      </w:pPr>
    </w:p>
    <w:p w:rsidR="0088517F" w:rsidRDefault="0088517F" w:rsidP="0088517F">
      <w:pPr>
        <w:pStyle w:val="Default"/>
        <w:rPr>
          <w:rFonts w:ascii="Century Gothic" w:hAnsi="Century Gothic"/>
          <w:sz w:val="12"/>
          <w:szCs w:val="12"/>
        </w:rPr>
      </w:pPr>
    </w:p>
    <w:p w:rsidR="0088517F" w:rsidRDefault="0088517F" w:rsidP="0088517F">
      <w:pPr>
        <w:pStyle w:val="Default"/>
        <w:rPr>
          <w:rFonts w:ascii="Century Gothic" w:hAnsi="Century Gothic"/>
          <w:sz w:val="12"/>
          <w:szCs w:val="12"/>
        </w:rPr>
      </w:pPr>
    </w:p>
    <w:p w:rsidR="0088517F" w:rsidRDefault="0088517F" w:rsidP="0088517F">
      <w:pPr>
        <w:pStyle w:val="Default"/>
        <w:rPr>
          <w:rFonts w:ascii="Century Gothic" w:hAnsi="Century Gothic"/>
          <w:sz w:val="12"/>
          <w:szCs w:val="12"/>
        </w:rPr>
      </w:pPr>
    </w:p>
    <w:p w:rsidR="002604FF" w:rsidRDefault="002604FF" w:rsidP="0088517F">
      <w:pPr>
        <w:pStyle w:val="Default"/>
        <w:rPr>
          <w:rFonts w:ascii="Century Gothic" w:hAnsi="Century Gothic"/>
          <w:sz w:val="12"/>
          <w:szCs w:val="12"/>
        </w:rPr>
      </w:pPr>
    </w:p>
    <w:p w:rsidR="002604FF" w:rsidRDefault="002604FF" w:rsidP="0088517F">
      <w:pPr>
        <w:pStyle w:val="Default"/>
        <w:rPr>
          <w:rFonts w:ascii="Century Gothic" w:hAnsi="Century Gothic"/>
          <w:sz w:val="12"/>
          <w:szCs w:val="12"/>
        </w:rPr>
      </w:pPr>
    </w:p>
    <w:p w:rsidR="000954DF" w:rsidRDefault="000954DF" w:rsidP="0088517F">
      <w:pPr>
        <w:pStyle w:val="Default"/>
        <w:rPr>
          <w:rFonts w:ascii="Century Gothic" w:hAnsi="Century Gothic"/>
          <w:sz w:val="12"/>
          <w:szCs w:val="12"/>
        </w:rPr>
      </w:pPr>
    </w:p>
    <w:p w:rsidR="000954DF" w:rsidRDefault="000954DF" w:rsidP="0088517F">
      <w:pPr>
        <w:pStyle w:val="Default"/>
        <w:rPr>
          <w:rFonts w:ascii="Century Gothic" w:hAnsi="Century Gothic"/>
          <w:sz w:val="12"/>
          <w:szCs w:val="12"/>
        </w:rPr>
      </w:pPr>
    </w:p>
    <w:p w:rsidR="000954DF" w:rsidRDefault="000954DF" w:rsidP="0088517F">
      <w:pPr>
        <w:pStyle w:val="Default"/>
        <w:rPr>
          <w:rFonts w:ascii="Century Gothic" w:hAnsi="Century Gothic"/>
          <w:sz w:val="12"/>
          <w:szCs w:val="12"/>
        </w:rPr>
      </w:pPr>
    </w:p>
    <w:p w:rsidR="000954DF" w:rsidRDefault="000954DF" w:rsidP="0088517F">
      <w:pPr>
        <w:pStyle w:val="Default"/>
        <w:rPr>
          <w:rFonts w:ascii="Century Gothic" w:hAnsi="Century Gothic"/>
          <w:sz w:val="12"/>
          <w:szCs w:val="12"/>
        </w:rPr>
      </w:pPr>
    </w:p>
    <w:p w:rsidR="000954DF" w:rsidRDefault="000954DF" w:rsidP="0088517F">
      <w:pPr>
        <w:pStyle w:val="Default"/>
        <w:rPr>
          <w:rFonts w:ascii="Century Gothic" w:hAnsi="Century Gothic"/>
          <w:sz w:val="12"/>
          <w:szCs w:val="12"/>
        </w:rPr>
      </w:pPr>
    </w:p>
    <w:p w:rsidR="002604FF" w:rsidRDefault="002604FF" w:rsidP="0088517F">
      <w:pPr>
        <w:pStyle w:val="Default"/>
        <w:rPr>
          <w:rFonts w:ascii="Century Gothic" w:hAnsi="Century Gothic"/>
          <w:sz w:val="12"/>
          <w:szCs w:val="12"/>
        </w:rPr>
      </w:pPr>
    </w:p>
    <w:p w:rsidR="0088517F" w:rsidRDefault="0088517F" w:rsidP="0088517F">
      <w:pPr>
        <w:pStyle w:val="Default"/>
        <w:rPr>
          <w:rFonts w:ascii="Century Gothic" w:hAnsi="Century Gothic"/>
          <w:sz w:val="12"/>
          <w:szCs w:val="12"/>
        </w:rPr>
      </w:pPr>
    </w:p>
    <w:p w:rsidR="00D904EB" w:rsidRDefault="00D904EB" w:rsidP="0088517F">
      <w:pPr>
        <w:pStyle w:val="Default"/>
        <w:rPr>
          <w:rFonts w:ascii="Century Gothic" w:hAnsi="Century Gothic"/>
          <w:sz w:val="12"/>
          <w:szCs w:val="12"/>
        </w:rPr>
      </w:pPr>
    </w:p>
    <w:p w:rsidR="0088517F" w:rsidRDefault="0088517F" w:rsidP="0088517F">
      <w:pPr>
        <w:pStyle w:val="Default"/>
        <w:rPr>
          <w:rFonts w:ascii="Century Gothic" w:hAnsi="Century Gothic"/>
          <w:sz w:val="12"/>
          <w:szCs w:val="12"/>
        </w:rPr>
      </w:pPr>
    </w:p>
    <w:p w:rsidR="0088517F" w:rsidRDefault="0088517F" w:rsidP="0088517F">
      <w:pPr>
        <w:pStyle w:val="Default"/>
        <w:rPr>
          <w:rFonts w:ascii="Century Gothic" w:hAnsi="Century Gothic"/>
          <w:sz w:val="12"/>
          <w:szCs w:val="12"/>
        </w:rPr>
      </w:pPr>
    </w:p>
    <w:p w:rsidR="0088517F" w:rsidRDefault="0088517F" w:rsidP="0088517F">
      <w:pPr>
        <w:pStyle w:val="Default"/>
        <w:rPr>
          <w:rFonts w:ascii="Century Gothic" w:hAnsi="Century Gothic"/>
          <w:sz w:val="12"/>
          <w:szCs w:val="12"/>
        </w:rPr>
      </w:pPr>
    </w:p>
    <w:p w:rsidR="00E3487B" w:rsidRPr="00E3487B" w:rsidRDefault="000954DF" w:rsidP="0088517F">
      <w:pPr>
        <w:pStyle w:val="Default"/>
        <w:rPr>
          <w:rFonts w:ascii="Century Gothic" w:hAnsi="Century Gothic"/>
          <w:sz w:val="12"/>
          <w:szCs w:val="12"/>
        </w:rPr>
      </w:pPr>
      <w:r w:rsidRPr="000954DF">
        <w:rPr>
          <w:rFonts w:ascii="Century Gothic" w:hAnsi="Century Gothic"/>
          <w:sz w:val="12"/>
          <w:szCs w:val="12"/>
          <w:vertAlign w:val="superscript"/>
        </w:rPr>
        <w:t>56</w:t>
      </w:r>
      <w:r>
        <w:rPr>
          <w:rFonts w:ascii="Century Gothic" w:hAnsi="Century Gothic"/>
          <w:sz w:val="12"/>
          <w:szCs w:val="12"/>
        </w:rPr>
        <w:t xml:space="preserve"> </w:t>
      </w:r>
      <w:r w:rsidR="00E3487B" w:rsidRPr="00E3487B">
        <w:rPr>
          <w:rFonts w:ascii="Century Gothic" w:hAnsi="Century Gothic"/>
          <w:sz w:val="12"/>
          <w:szCs w:val="12"/>
        </w:rPr>
        <w:t xml:space="preserve">Die Kostenrate ist der Faktor, der verwendet wird, um nicht monetäre Auswirkungen, die in Einheiten wie Tonnen, Hektar, m3 usw. angegeben werden, in Geldeinheiten umzurechnen. Die Kostenraten sollten auf monetären Studien zur monetären Bewertung beruhen, müssen wissenschaftlich fundiert sein und mittels transparenter Methoden festgelegt werden. Leitlinien zu diesen Methoden sind beispielsweise im Rahmen des Projekts „Transparent“ des EU-LIFE-Programms verfügbar. </w:t>
      </w:r>
    </w:p>
    <w:tbl>
      <w:tblPr>
        <w:tblStyle w:val="Gitternetztabelle4Akzent6"/>
        <w:tblW w:w="9072" w:type="dxa"/>
        <w:tblInd w:w="-5" w:type="dxa"/>
        <w:tblBorders>
          <w:top w:val="none" w:sz="0" w:space="0" w:color="auto"/>
          <w:left w:val="none" w:sz="0" w:space="0" w:color="auto"/>
          <w:bottom w:val="none" w:sz="0" w:space="0" w:color="auto"/>
          <w:right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3"/>
      </w:tblGrid>
      <w:tr w:rsidR="00577B09" w:rsidRPr="00122B7B" w:rsidTr="000954D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left w:val="nil"/>
              <w:bottom w:val="nil"/>
              <w:right w:val="nil"/>
            </w:tcBorders>
            <w:shd w:val="clear" w:color="auto" w:fill="D9D9D9" w:themeFill="background1" w:themeFillShade="D9"/>
            <w:vAlign w:val="center"/>
          </w:tcPr>
          <w:p w:rsidR="00577B09" w:rsidRPr="00122B7B" w:rsidRDefault="00577B09" w:rsidP="000954DF">
            <w:pPr>
              <w:spacing w:before="0"/>
              <w:contextualSpacing/>
              <w:jc w:val="left"/>
              <w:rPr>
                <w:color w:val="000000" w:themeColor="text1"/>
                <w:sz w:val="20"/>
                <w:szCs w:val="20"/>
              </w:rPr>
            </w:pPr>
            <w:r w:rsidRPr="00122B7B">
              <w:rPr>
                <w:color w:val="000000" w:themeColor="text1"/>
                <w:sz w:val="20"/>
                <w:szCs w:val="20"/>
              </w:rPr>
              <w:lastRenderedPageBreak/>
              <w:t xml:space="preserve">Teil </w:t>
            </w:r>
            <w:r>
              <w:rPr>
                <w:color w:val="000000" w:themeColor="text1"/>
                <w:sz w:val="20"/>
                <w:szCs w:val="20"/>
              </w:rPr>
              <w:t xml:space="preserve">2: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C74532">
              <w:rPr>
                <w:color w:val="000000" w:themeColor="text1"/>
                <w:sz w:val="20"/>
                <w:szCs w:val="20"/>
              </w:rPr>
              <w:t>;</w:t>
            </w:r>
            <w:r>
              <w:rPr>
                <w:color w:val="000000" w:themeColor="text1"/>
                <w:sz w:val="20"/>
                <w:szCs w:val="20"/>
              </w:rPr>
              <w:t xml:space="preserve"> Forts.</w:t>
            </w:r>
          </w:p>
        </w:tc>
      </w:tr>
      <w:tr w:rsidR="00577B09" w:rsidRPr="000954DF" w:rsidTr="0009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il"/>
              <w:bottom w:val="nil"/>
            </w:tcBorders>
            <w:shd w:val="clear" w:color="auto" w:fill="auto"/>
            <w:vAlign w:val="center"/>
          </w:tcPr>
          <w:p w:rsidR="00577B09" w:rsidRPr="000954DF" w:rsidRDefault="00577B09" w:rsidP="000954DF">
            <w:pPr>
              <w:spacing w:before="0"/>
              <w:contextualSpacing/>
              <w:jc w:val="left"/>
              <w:rPr>
                <w:color w:val="000000" w:themeColor="text1"/>
                <w:sz w:val="2"/>
                <w:szCs w:val="2"/>
              </w:rPr>
            </w:pPr>
          </w:p>
        </w:tc>
      </w:tr>
      <w:tr w:rsidR="00577B09" w:rsidRPr="00577B09"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EE4980" w:rsidRPr="00577B09" w:rsidRDefault="00EE4980" w:rsidP="000954DF">
            <w:pPr>
              <w:spacing w:before="0"/>
              <w:contextualSpacing/>
              <w:jc w:val="center"/>
              <w:rPr>
                <w:color w:val="FFFFFF" w:themeColor="background1"/>
                <w:sz w:val="20"/>
                <w:szCs w:val="20"/>
              </w:rPr>
            </w:pPr>
            <w:r w:rsidRPr="00577B09">
              <w:rPr>
                <w:color w:val="FFFFFF" w:themeColor="background1"/>
                <w:sz w:val="20"/>
                <w:szCs w:val="20"/>
              </w:rPr>
              <w:t>Quelle ESRS E1</w:t>
            </w:r>
          </w:p>
        </w:tc>
        <w:tc>
          <w:tcPr>
            <w:tcW w:w="6240" w:type="dxa"/>
            <w:tcBorders>
              <w:top w:val="single" w:sz="4" w:space="0" w:color="auto"/>
              <w:left w:val="single" w:sz="4" w:space="0" w:color="auto"/>
              <w:bottom w:val="single" w:sz="4" w:space="0" w:color="auto"/>
              <w:right w:val="single" w:sz="4" w:space="0" w:color="auto"/>
            </w:tcBorders>
            <w:shd w:val="clear" w:color="auto" w:fill="228B22"/>
            <w:vAlign w:val="center"/>
          </w:tcPr>
          <w:p w:rsidR="00EE4980" w:rsidRPr="00577B09" w:rsidRDefault="00EE4980" w:rsidP="000954DF">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577B09">
              <w:rPr>
                <w:b/>
                <w:color w:val="FFFFFF" w:themeColor="background1"/>
                <w:sz w:val="20"/>
                <w:szCs w:val="20"/>
              </w:rPr>
              <w:t>Parameter und Ziele</w:t>
            </w:r>
          </w:p>
        </w:tc>
        <w:tc>
          <w:tcPr>
            <w:tcW w:w="1843" w:type="dxa"/>
            <w:tcBorders>
              <w:top w:val="single" w:sz="4" w:space="0" w:color="auto"/>
              <w:left w:val="single" w:sz="4" w:space="0" w:color="auto"/>
              <w:bottom w:val="single" w:sz="4" w:space="0" w:color="auto"/>
              <w:right w:val="single" w:sz="4" w:space="0" w:color="auto"/>
            </w:tcBorders>
            <w:shd w:val="clear" w:color="auto" w:fill="228B22"/>
            <w:vAlign w:val="center"/>
          </w:tcPr>
          <w:p w:rsidR="00EE4980" w:rsidRPr="00577B09" w:rsidRDefault="00EE4980" w:rsidP="000954DF">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577B09">
              <w:rPr>
                <w:b/>
                <w:color w:val="FFFFFF" w:themeColor="background1"/>
                <w:sz w:val="16"/>
                <w:szCs w:val="16"/>
              </w:rPr>
              <w:t>Bemerkungen, ggf. Verweis auf Datenpunkte</w:t>
            </w:r>
          </w:p>
        </w:tc>
      </w:tr>
      <w:tr w:rsidR="0088517F"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517F" w:rsidRPr="00086C16" w:rsidRDefault="0088517F" w:rsidP="000954DF">
            <w:pPr>
              <w:spacing w:before="0"/>
              <w:contextualSpacing/>
              <w:jc w:val="left"/>
              <w:rPr>
                <w:color w:val="000000" w:themeColor="text1"/>
                <w:sz w:val="16"/>
                <w:szCs w:val="16"/>
              </w:rPr>
            </w:pP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88517F" w:rsidRPr="00202050" w:rsidRDefault="0088517F" w:rsidP="000954DF">
            <w:pPr>
              <w:pStyle w:val="Default"/>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9179BE">
              <w:rPr>
                <w:rFonts w:ascii="Century Gothic" w:hAnsi="Century Gothic"/>
                <w:i/>
                <w:sz w:val="16"/>
                <w:szCs w:val="16"/>
              </w:rPr>
              <w:t>Konnektivität mit Informationen zur Finanzberichterstattung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8517F" w:rsidRPr="00403766" w:rsidRDefault="0015154F" w:rsidP="000954DF">
            <w:pPr>
              <w:spacing w:before="0"/>
              <w:contextualSpacing/>
              <w:jc w:val="left"/>
              <w:cnfStyle w:val="000000100000" w:firstRow="0" w:lastRow="0" w:firstColumn="0" w:lastColumn="0" w:oddVBand="0" w:evenVBand="0" w:oddHBand="1" w:evenHBand="0" w:firstRowFirstColumn="0" w:firstRowLastColumn="0" w:lastRowFirstColumn="0" w:lastRowLastColumn="0"/>
              <w:rPr>
                <w:sz w:val="16"/>
                <w:szCs w:val="16"/>
              </w:rPr>
            </w:pPr>
            <w:r>
              <w:rPr>
                <w:noProof/>
                <w:sz w:val="20"/>
              </w:rPr>
              <mc:AlternateContent>
                <mc:Choice Requires="wps">
                  <w:drawing>
                    <wp:anchor distT="0" distB="0" distL="114300" distR="114300" simplePos="0" relativeHeight="251670528" behindDoc="0" locked="0" layoutInCell="1" allowOverlap="1" wp14:anchorId="378C1C3F" wp14:editId="15247D79">
                      <wp:simplePos x="0" y="0"/>
                      <wp:positionH relativeFrom="column">
                        <wp:posOffset>0</wp:posOffset>
                      </wp:positionH>
                      <wp:positionV relativeFrom="paragraph">
                        <wp:posOffset>129540</wp:posOffset>
                      </wp:positionV>
                      <wp:extent cx="1066800" cy="671195"/>
                      <wp:effectExtent l="209550" t="38100" r="0" b="0"/>
                      <wp:wrapNone/>
                      <wp:docPr id="2" name="Sprechblase: rechteckig 2"/>
                      <wp:cNvGraphicFramePr/>
                      <a:graphic xmlns:a="http://schemas.openxmlformats.org/drawingml/2006/main">
                        <a:graphicData uri="http://schemas.microsoft.com/office/word/2010/wordprocessingShape">
                          <wps:wsp>
                            <wps:cNvSpPr/>
                            <wps:spPr>
                              <a:xfrm>
                                <a:off x="0" y="0"/>
                                <a:ext cx="1066800" cy="671195"/>
                              </a:xfrm>
                              <a:prstGeom prst="wedgeRectCallout">
                                <a:avLst>
                                  <a:gd name="adj1" fmla="val -69552"/>
                                  <a:gd name="adj2" fmla="val -5356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154F" w:rsidRPr="00427B9D" w:rsidRDefault="0015154F" w:rsidP="0015154F">
                                  <w:pPr>
                                    <w:spacing w:before="0"/>
                                    <w:jc w:val="center"/>
                                    <w:rPr>
                                      <w:b/>
                                      <w:color w:val="000000" w:themeColor="text1"/>
                                      <w:sz w:val="15"/>
                                      <w:szCs w:val="15"/>
                                    </w:rPr>
                                  </w:pPr>
                                  <w:r>
                                    <w:rPr>
                                      <w:b/>
                                      <w:color w:val="000000" w:themeColor="text1"/>
                                      <w:sz w:val="15"/>
                                      <w:szCs w:val="15"/>
                                    </w:rPr>
                                    <w:t>Besondere Relevanz für Prüfung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C1C3F" id="Sprechblase: rechteckig 2" o:spid="_x0000_s1028" type="#_x0000_t61" style="position:absolute;margin-left:0;margin-top:10.2pt;width:84pt;height:5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" adj="-4223,-770" fillcolor="#d8d8d8 [2732]" stroked="f" strokeweight="2pt">
                      <v:textbox>
                        <w:txbxContent>
                          <w:p w:rsidR="0015154F" w:rsidRPr="00427B9D" w:rsidRDefault="0015154F" w:rsidP="0015154F">
                            <w:pPr>
                              <w:spacing w:before="0"/>
                              <w:jc w:val="center"/>
                              <w:rPr>
                                <w:b/>
                                <w:color w:val="000000" w:themeColor="text1"/>
                                <w:sz w:val="15"/>
                                <w:szCs w:val="15"/>
                              </w:rPr>
                            </w:pPr>
                            <w:r>
                              <w:rPr>
                                <w:b/>
                                <w:color w:val="000000" w:themeColor="text1"/>
                                <w:sz w:val="15"/>
                                <w:szCs w:val="15"/>
                              </w:rPr>
                              <w:t>Besondere Relevanz für Prüfung</w:t>
                            </w:r>
                          </w:p>
                        </w:txbxContent>
                      </v:textbox>
                    </v:shape>
                  </w:pict>
                </mc:Fallback>
              </mc:AlternateContent>
            </w:r>
          </w:p>
        </w:tc>
      </w:tr>
      <w:tr w:rsidR="009179BE"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79BE" w:rsidRPr="00086C16" w:rsidRDefault="009179BE" w:rsidP="000954DF">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77</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202050" w:rsidRPr="00202050" w:rsidRDefault="00202050" w:rsidP="000954DF">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02050">
              <w:rPr>
                <w:rFonts w:ascii="Century Gothic" w:hAnsi="Century Gothic"/>
                <w:sz w:val="16"/>
                <w:szCs w:val="16"/>
              </w:rPr>
              <w:t xml:space="preserve">Der Abgleich zwischen dem erheblichen Betrag der Vermögenswerte, Verbindlichkeiten und Nettoeinnahmen (die für wesentliche </w:t>
            </w:r>
            <w:r w:rsidRPr="00202050">
              <w:rPr>
                <w:rFonts w:ascii="Century Gothic" w:hAnsi="Century Gothic"/>
                <w:b/>
                <w:bCs/>
                <w:sz w:val="16"/>
                <w:szCs w:val="16"/>
              </w:rPr>
              <w:t xml:space="preserve">physische Risiken </w:t>
            </w:r>
            <w:r w:rsidRPr="00202050">
              <w:rPr>
                <w:rFonts w:ascii="Century Gothic" w:hAnsi="Century Gothic"/>
                <w:sz w:val="16"/>
                <w:szCs w:val="16"/>
              </w:rPr>
              <w:t xml:space="preserve">oder </w:t>
            </w:r>
            <w:r w:rsidRPr="00202050">
              <w:rPr>
                <w:rFonts w:ascii="Century Gothic" w:hAnsi="Century Gothic"/>
                <w:b/>
                <w:bCs/>
                <w:sz w:val="16"/>
                <w:szCs w:val="16"/>
              </w:rPr>
              <w:t xml:space="preserve">Übergangsrisiken </w:t>
            </w:r>
            <w:r w:rsidRPr="00202050">
              <w:rPr>
                <w:rFonts w:ascii="Century Gothic" w:hAnsi="Century Gothic"/>
                <w:sz w:val="16"/>
                <w:szCs w:val="16"/>
              </w:rPr>
              <w:t>anfällig sind) und dem entsprechenden Posten oder der entsprechenden Angabe (z. B. bei der Segmentberichterstattung) im Abschluss (gemäß Absatz 68) kann vom Unternehmen wie folgt dargestellt werden:</w:t>
            </w:r>
          </w:p>
          <w:p w:rsidR="00202050" w:rsidRPr="00202050" w:rsidRDefault="00202050" w:rsidP="000954DF">
            <w:pPr>
              <w:pStyle w:val="Default"/>
              <w:numPr>
                <w:ilvl w:val="0"/>
                <w:numId w:val="29"/>
              </w:numPr>
              <w:ind w:left="464"/>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02050">
              <w:rPr>
                <w:rFonts w:ascii="Century Gothic" w:hAnsi="Century Gothic"/>
                <w:sz w:val="16"/>
                <w:szCs w:val="16"/>
              </w:rPr>
              <w:t>durch einen Querverweis auf den entsprechenden Posten oder die Angabe im Abschluss, wenn diese Beträge im Abschluss zu finden sind, oder</w:t>
            </w:r>
          </w:p>
          <w:p w:rsidR="00202050" w:rsidRPr="00202050" w:rsidRDefault="00202050" w:rsidP="000954DF">
            <w:pPr>
              <w:pStyle w:val="Default"/>
              <w:numPr>
                <w:ilvl w:val="0"/>
                <w:numId w:val="29"/>
              </w:numPr>
              <w:ind w:left="464"/>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02050">
              <w:rPr>
                <w:rFonts w:ascii="Century Gothic" w:hAnsi="Century Gothic"/>
                <w:sz w:val="16"/>
                <w:szCs w:val="16"/>
              </w:rPr>
              <w:t>durch einen quantitativen Abgleich mit jedem Posten oder jeder Angabe im Abschluss unter Verwendung des nachstehenden Tabellenformats, wenn kein direkter Querverweis hergestellt werden kann:</w:t>
            </w:r>
          </w:p>
          <w:p w:rsidR="009179BE" w:rsidRPr="00202050" w:rsidRDefault="00202050" w:rsidP="000954DF">
            <w:pPr>
              <w:pStyle w:val="Default"/>
              <w:ind w:left="720"/>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02050">
              <w:rPr>
                <w:rFonts w:ascii="Century Gothic" w:hAnsi="Century Gothic"/>
                <w:noProof/>
                <w:sz w:val="16"/>
                <w:szCs w:val="16"/>
              </w:rPr>
              <w:drawing>
                <wp:inline distT="0" distB="0" distL="0" distR="0" wp14:anchorId="2055FF2F" wp14:editId="1E2B7928">
                  <wp:extent cx="1785279" cy="390525"/>
                  <wp:effectExtent l="0" t="0" r="571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7188" cy="406255"/>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179BE" w:rsidRPr="00403766" w:rsidRDefault="009179BE" w:rsidP="000954DF">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202050"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1907"/>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2050" w:rsidRPr="00086C16" w:rsidRDefault="00202050" w:rsidP="000954DF">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78</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827311" w:rsidRPr="00D1596C" w:rsidRDefault="00202050" w:rsidP="000954DF">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i/>
                <w:sz w:val="16"/>
                <w:szCs w:val="16"/>
              </w:rPr>
            </w:pPr>
            <w:r w:rsidRPr="00202050">
              <w:rPr>
                <w:rFonts w:ascii="Century Gothic" w:hAnsi="Century Gothic"/>
                <w:sz w:val="16"/>
                <w:szCs w:val="16"/>
              </w:rPr>
              <w:t xml:space="preserve">Das Unternehmen gewährleistet die Kohärenz der Daten und Annahmen zur Bewertung und Übermittlung der </w:t>
            </w:r>
            <w:r w:rsidRPr="00202050">
              <w:rPr>
                <w:rFonts w:ascii="Century Gothic" w:hAnsi="Century Gothic"/>
                <w:b/>
                <w:bCs/>
                <w:sz w:val="16"/>
                <w:szCs w:val="16"/>
              </w:rPr>
              <w:t xml:space="preserve">erwarteten finanziellen Auswirkungen </w:t>
            </w:r>
            <w:r w:rsidRPr="00202050">
              <w:rPr>
                <w:rFonts w:ascii="Century Gothic" w:hAnsi="Century Gothic"/>
                <w:sz w:val="16"/>
                <w:szCs w:val="16"/>
              </w:rPr>
              <w:t xml:space="preserve">wesentlicher </w:t>
            </w:r>
            <w:r w:rsidRPr="00202050">
              <w:rPr>
                <w:rFonts w:ascii="Century Gothic" w:hAnsi="Century Gothic"/>
                <w:b/>
                <w:bCs/>
                <w:sz w:val="16"/>
                <w:szCs w:val="16"/>
              </w:rPr>
              <w:t xml:space="preserve">physischer Risiken </w:t>
            </w:r>
            <w:r w:rsidRPr="00202050">
              <w:rPr>
                <w:rFonts w:ascii="Century Gothic" w:hAnsi="Century Gothic"/>
                <w:sz w:val="16"/>
                <w:szCs w:val="16"/>
              </w:rPr>
              <w:t xml:space="preserve">und </w:t>
            </w:r>
            <w:r w:rsidRPr="00202050">
              <w:rPr>
                <w:rFonts w:ascii="Century Gothic" w:hAnsi="Century Gothic"/>
                <w:b/>
                <w:bCs/>
                <w:sz w:val="16"/>
                <w:szCs w:val="16"/>
              </w:rPr>
              <w:t xml:space="preserve">Übergangsrisiken </w:t>
            </w:r>
            <w:r w:rsidRPr="00202050">
              <w:rPr>
                <w:rFonts w:ascii="Century Gothic" w:hAnsi="Century Gothic"/>
                <w:sz w:val="16"/>
                <w:szCs w:val="16"/>
              </w:rPr>
              <w:t>in der Nachhaltigkeitserklärung mit den entsprechenden Daten und Annahmen, die für die Abschlüsse verwendet werden (z. B. CO</w:t>
            </w:r>
            <w:r w:rsidRPr="00F6422C">
              <w:rPr>
                <w:rFonts w:ascii="Century Gothic" w:hAnsi="Century Gothic"/>
                <w:sz w:val="16"/>
                <w:szCs w:val="16"/>
                <w:vertAlign w:val="subscript"/>
              </w:rPr>
              <w:t>2</w:t>
            </w:r>
            <w:r w:rsidRPr="00202050">
              <w:rPr>
                <w:rFonts w:ascii="Century Gothic" w:hAnsi="Century Gothic"/>
                <w:sz w:val="16"/>
                <w:szCs w:val="16"/>
              </w:rPr>
              <w:t>-Preise für die Bewertung der Wertminderung von Vermögenswerten, die Nutzungsdauer von Vermögenswerten, Schätzungen und Rückstellungen). Das Unternehmen erläutert die Gründe für etwaige Abweichungen (z. B. wenn die gesamten finanziellen Auswirkungen klimabedingter Risiken noch bewertet werden müssen oder im Abschluss nicht als wesentlich angesehen wurden).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050" w:rsidRPr="00403766" w:rsidRDefault="00FC50AD" w:rsidP="000954DF">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r>
              <w:rPr>
                <w:noProof/>
                <w:sz w:val="20"/>
              </w:rPr>
              <w:drawing>
                <wp:anchor distT="0" distB="0" distL="114300" distR="114300" simplePos="0" relativeHeight="251668480" behindDoc="0" locked="0" layoutInCell="1" allowOverlap="1" wp14:anchorId="7EC8686D">
                  <wp:simplePos x="0" y="0"/>
                  <wp:positionH relativeFrom="column">
                    <wp:posOffset>-8255</wp:posOffset>
                  </wp:positionH>
                  <wp:positionV relativeFrom="paragraph">
                    <wp:posOffset>1271587</wp:posOffset>
                  </wp:positionV>
                  <wp:extent cx="290195" cy="290195"/>
                  <wp:effectExtent l="0" t="0" r="0" b="0"/>
                  <wp:wrapNone/>
                  <wp:docPr id="13" name="Grafik 13"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faceoutline.svg"/>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319" t="319" r="319" b="319"/>
                          <a:stretch/>
                        </pic:blipFill>
                        <pic:spPr>
                          <a:xfrm>
                            <a:off x="0" y="0"/>
                            <a:ext cx="290195" cy="290195"/>
                          </a:xfrm>
                          <a:prstGeom prst="rect">
                            <a:avLst/>
                          </a:prstGeom>
                        </pic:spPr>
                      </pic:pic>
                    </a:graphicData>
                  </a:graphic>
                  <wp14:sizeRelH relativeFrom="margin">
                    <wp14:pctWidth>0</wp14:pctWidth>
                  </wp14:sizeRelH>
                  <wp14:sizeRelV relativeFrom="margin">
                    <wp14:pctHeight>0</wp14:pctHeight>
                  </wp14:sizeRelV>
                </wp:anchor>
              </w:drawing>
            </w:r>
          </w:p>
        </w:tc>
      </w:tr>
      <w:tr w:rsidR="0088517F"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trHeight w:val="193"/>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8517F" w:rsidRPr="00086C16" w:rsidRDefault="0088517F" w:rsidP="000954DF">
            <w:pPr>
              <w:spacing w:before="0"/>
              <w:contextualSpacing/>
              <w:jc w:val="left"/>
              <w:rPr>
                <w:color w:val="000000" w:themeColor="text1"/>
                <w:sz w:val="16"/>
                <w:szCs w:val="16"/>
              </w:rPr>
            </w:pPr>
          </w:p>
        </w:tc>
        <w:tc>
          <w:tcPr>
            <w:tcW w:w="6240" w:type="dxa"/>
            <w:tcBorders>
              <w:top w:val="single" w:sz="4" w:space="0" w:color="auto"/>
              <w:left w:val="single" w:sz="4" w:space="0" w:color="auto"/>
              <w:bottom w:val="single" w:sz="4" w:space="0" w:color="auto"/>
              <w:right w:val="single" w:sz="4" w:space="0" w:color="auto"/>
            </w:tcBorders>
            <w:shd w:val="clear" w:color="auto" w:fill="auto"/>
            <w:vAlign w:val="center"/>
          </w:tcPr>
          <w:p w:rsidR="0088517F" w:rsidRPr="00202050" w:rsidRDefault="0088517F" w:rsidP="000954DF">
            <w:pPr>
              <w:pStyle w:val="Default"/>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FC50AD">
              <w:rPr>
                <w:rFonts w:ascii="Century Gothic" w:hAnsi="Century Gothic"/>
                <w:i/>
                <w:sz w:val="16"/>
                <w:szCs w:val="16"/>
                <w:highlight w:val="yellow"/>
              </w:rPr>
              <w:t>Klimabezogene Chancen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8517F" w:rsidRPr="00403766" w:rsidRDefault="0088517F" w:rsidP="000954DF">
            <w:pPr>
              <w:spacing w:before="0"/>
              <w:contextualSpacing/>
              <w:jc w:val="left"/>
              <w:cnfStyle w:val="000000000000" w:firstRow="0" w:lastRow="0" w:firstColumn="0" w:lastColumn="0" w:oddVBand="0" w:evenVBand="0" w:oddHBand="0" w:evenHBand="0" w:firstRowFirstColumn="0" w:firstRowLastColumn="0" w:lastRowFirstColumn="0" w:lastRowLastColumn="0"/>
              <w:rPr>
                <w:sz w:val="16"/>
                <w:szCs w:val="16"/>
              </w:rPr>
            </w:pPr>
          </w:p>
        </w:tc>
      </w:tr>
      <w:tr w:rsidR="00202050"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2050" w:rsidRPr="00086C16" w:rsidRDefault="00202050" w:rsidP="000954DF">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79</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202050" w:rsidRPr="00202050" w:rsidRDefault="00202050" w:rsidP="000954DF">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202050">
              <w:rPr>
                <w:rFonts w:ascii="Century Gothic" w:hAnsi="Century Gothic"/>
                <w:sz w:val="16"/>
                <w:szCs w:val="16"/>
              </w:rPr>
              <w:t>Für potenzielle künftige Auswirkungen auf Verbindlichkeiten (gemäß Absatz 67 Buchstabe d) nimmt das Unternehmen gegebenenfalls einen Querverweis auf die Beschreibung der Emissionshandelssysteme im Abschluss auf.</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050" w:rsidRPr="00403766" w:rsidRDefault="00202050" w:rsidP="000954DF">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202050"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2050" w:rsidRPr="00086C16" w:rsidRDefault="00202050" w:rsidP="000954DF">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80</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202050" w:rsidRPr="00202050" w:rsidRDefault="00202050" w:rsidP="000954DF">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02050">
              <w:rPr>
                <w:rFonts w:ascii="Century Gothic" w:hAnsi="Century Gothic"/>
                <w:sz w:val="16"/>
                <w:szCs w:val="16"/>
              </w:rPr>
              <w:t xml:space="preserve">Bei der Angabe der Informationen gemäß Absatz 69 Buchstabe a erläutert das Unternehmen die Art der Kosteneinsparungen (z. B. aufgrund eines verringerten Energieverbrauchs), die Zeithorizonte und die angewandte Methode, einschließlich des Umfangs der Bewertung, der kritischen Annahmen und der Grenzen, sowie der Frage, ob und wie die </w:t>
            </w:r>
            <w:r w:rsidRPr="00202050">
              <w:rPr>
                <w:rFonts w:ascii="Century Gothic" w:hAnsi="Century Gothic"/>
                <w:b/>
                <w:bCs/>
                <w:sz w:val="16"/>
                <w:szCs w:val="16"/>
              </w:rPr>
              <w:t xml:space="preserve">Szenarioanalyse </w:t>
            </w:r>
            <w:r w:rsidRPr="00202050">
              <w:rPr>
                <w:rFonts w:ascii="Century Gothic" w:hAnsi="Century Gothic"/>
                <w:sz w:val="16"/>
                <w:szCs w:val="16"/>
              </w:rPr>
              <w:t>angewandt wurde.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050" w:rsidRPr="00403766" w:rsidRDefault="00202050" w:rsidP="000954DF">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202050" w:rsidRPr="00403766" w:rsidTr="000954DF">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blBorders>
        </w:tblPrEx>
        <w:trPr>
          <w:cnfStyle w:val="000000100000" w:firstRow="0" w:lastRow="0" w:firstColumn="0" w:lastColumn="0" w:oddVBand="0" w:evenVBand="0" w:oddHBand="1" w:evenHBand="0" w:firstRowFirstColumn="0" w:firstRowLastColumn="0" w:lastRowFirstColumn="0" w:lastRowLastColumn="0"/>
          <w:trHeight w:val="2407"/>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2050" w:rsidRPr="00086C16" w:rsidRDefault="00202050" w:rsidP="000954DF">
            <w:pPr>
              <w:spacing w:before="0"/>
              <w:contextualSpacing/>
              <w:jc w:val="center"/>
              <w:rPr>
                <w:color w:val="000000" w:themeColor="text1"/>
                <w:sz w:val="16"/>
                <w:szCs w:val="16"/>
              </w:rPr>
            </w:pPr>
            <w:r w:rsidRPr="00086C16">
              <w:rPr>
                <w:color w:val="000000" w:themeColor="text1"/>
                <w:sz w:val="16"/>
                <w:szCs w:val="16"/>
              </w:rPr>
              <w:t xml:space="preserve">AR </w:t>
            </w:r>
            <w:r>
              <w:rPr>
                <w:color w:val="000000" w:themeColor="text1"/>
                <w:sz w:val="16"/>
                <w:szCs w:val="16"/>
              </w:rPr>
              <w:t>81</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202050" w:rsidRPr="00202050" w:rsidRDefault="00202050" w:rsidP="000954DF">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i/>
                <w:sz w:val="16"/>
                <w:szCs w:val="16"/>
              </w:rPr>
            </w:pPr>
            <w:r w:rsidRPr="00202050">
              <w:rPr>
                <w:rFonts w:ascii="Century Gothic" w:hAnsi="Century Gothic"/>
                <w:sz w:val="16"/>
                <w:szCs w:val="16"/>
              </w:rPr>
              <w:t>Bei der Angabe der gemäß Absatz 69 Buchstabe b erforderlichen Informationen erläutert das Unternehmen, wie es die Marktgröße oder die erwarteten Änderungen der Nettoeinnahmen aus CO</w:t>
            </w:r>
            <w:r w:rsidRPr="00F6422C">
              <w:rPr>
                <w:rFonts w:ascii="Century Gothic" w:hAnsi="Century Gothic"/>
                <w:sz w:val="16"/>
                <w:szCs w:val="16"/>
                <w:vertAlign w:val="subscript"/>
              </w:rPr>
              <w:t>2</w:t>
            </w:r>
            <w:r w:rsidRPr="00202050">
              <w:rPr>
                <w:rFonts w:ascii="Century Gothic" w:hAnsi="Century Gothic"/>
                <w:sz w:val="16"/>
                <w:szCs w:val="16"/>
              </w:rPr>
              <w:t xml:space="preserve">-armen Produkten und Dienstleistungen oder Anpassungslösungen bewertet hat, einschließlich des Umfangs der Bewertung, des Zeithorizonts, kritischer Annahmen und Beschränkungen, und in welchem Umfang der Markt für das Unternehmen zugänglich ist. Die Informationen über die Marktgröße können im Zusammenhang mit den derzeitigen </w:t>
            </w:r>
            <w:proofErr w:type="spellStart"/>
            <w:r w:rsidRPr="00202050">
              <w:rPr>
                <w:rFonts w:ascii="Century Gothic" w:hAnsi="Century Gothic"/>
                <w:sz w:val="16"/>
                <w:szCs w:val="16"/>
              </w:rPr>
              <w:t>taxonomiekonformen</w:t>
            </w:r>
            <w:proofErr w:type="spellEnd"/>
            <w:r w:rsidRPr="00202050">
              <w:rPr>
                <w:rFonts w:ascii="Century Gothic" w:hAnsi="Century Gothic"/>
                <w:sz w:val="16"/>
                <w:szCs w:val="16"/>
              </w:rPr>
              <w:t xml:space="preserve"> Einnahmen, die gemäß den Bestimmungen der Verordnung (EU) 2020/852 angegeben werden, betrachtet werden. Das Unternehmen kann auch erläutern, wie es seine klimabezogenen </w:t>
            </w:r>
            <w:r w:rsidRPr="00202050">
              <w:rPr>
                <w:rFonts w:ascii="Century Gothic" w:hAnsi="Century Gothic"/>
                <w:b/>
                <w:bCs/>
                <w:sz w:val="16"/>
                <w:szCs w:val="16"/>
              </w:rPr>
              <w:t xml:space="preserve">Chancen </w:t>
            </w:r>
            <w:r w:rsidRPr="00202050">
              <w:rPr>
                <w:rFonts w:ascii="Century Gothic" w:hAnsi="Century Gothic"/>
                <w:sz w:val="16"/>
                <w:szCs w:val="16"/>
              </w:rPr>
              <w:t xml:space="preserve">zu nutzen gedenkt; dies sollte, soweit möglich, mit den Angaben zu den </w:t>
            </w:r>
            <w:r w:rsidRPr="00202050">
              <w:rPr>
                <w:rFonts w:ascii="Century Gothic" w:hAnsi="Century Gothic"/>
                <w:b/>
                <w:bCs/>
                <w:sz w:val="16"/>
                <w:szCs w:val="16"/>
              </w:rPr>
              <w:t>Strategien</w:t>
            </w:r>
            <w:r w:rsidRPr="00202050">
              <w:rPr>
                <w:rFonts w:ascii="Century Gothic" w:hAnsi="Century Gothic"/>
                <w:sz w:val="16"/>
                <w:szCs w:val="16"/>
              </w:rPr>
              <w:t xml:space="preserve">, </w:t>
            </w:r>
            <w:r w:rsidRPr="00202050">
              <w:rPr>
                <w:rFonts w:ascii="Century Gothic" w:hAnsi="Century Gothic"/>
                <w:b/>
                <w:bCs/>
                <w:sz w:val="16"/>
                <w:szCs w:val="16"/>
              </w:rPr>
              <w:t xml:space="preserve">Zielen </w:t>
            </w:r>
            <w:r w:rsidRPr="00202050">
              <w:rPr>
                <w:rFonts w:ascii="Century Gothic" w:hAnsi="Century Gothic"/>
                <w:sz w:val="16"/>
                <w:szCs w:val="16"/>
              </w:rPr>
              <w:t xml:space="preserve">und </w:t>
            </w:r>
            <w:r w:rsidRPr="00202050">
              <w:rPr>
                <w:rFonts w:ascii="Century Gothic" w:hAnsi="Century Gothic"/>
                <w:b/>
                <w:bCs/>
                <w:sz w:val="16"/>
                <w:szCs w:val="16"/>
              </w:rPr>
              <w:t xml:space="preserve">Maßnahmen </w:t>
            </w:r>
            <w:r w:rsidRPr="00202050">
              <w:rPr>
                <w:rFonts w:ascii="Century Gothic" w:hAnsi="Century Gothic"/>
                <w:sz w:val="16"/>
                <w:szCs w:val="16"/>
              </w:rPr>
              <w:t>im Rahmen der Angabepflichten E1-2, E1-3 und E1-4 verknüpft werden.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050" w:rsidRPr="00403766" w:rsidRDefault="00202050" w:rsidP="000954DF">
            <w:pPr>
              <w:spacing w:before="0"/>
              <w:contextualSpacing/>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rsidR="00EE4980" w:rsidRDefault="00EE4980" w:rsidP="000954DF">
      <w:pPr>
        <w:jc w:val="left"/>
        <w:rPr>
          <w:sz w:val="16"/>
          <w:szCs w:val="28"/>
        </w:rPr>
      </w:pPr>
    </w:p>
    <w:sectPr w:rsidR="00EE4980" w:rsidSect="00C2502A">
      <w:headerReference w:type="default" r:id="rId16"/>
      <w:footerReference w:type="default" r:id="rId17"/>
      <w:headerReference w:type="first" r:id="rId18"/>
      <w:footerReference w:type="first" r:id="rId19"/>
      <w:footnotePr>
        <w:numStart w:val="41"/>
      </w:footnotePr>
      <w:type w:val="continuous"/>
      <w:pgSz w:w="11907" w:h="16839" w:code="9"/>
      <w:pgMar w:top="1099" w:right="1701" w:bottom="1134" w:left="1134" w:header="1134"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C29" w:rsidRDefault="009E6C29">
      <w:pPr>
        <w:spacing w:before="0"/>
      </w:pPr>
      <w:r>
        <w:separator/>
      </w:r>
    </w:p>
  </w:endnote>
  <w:endnote w:type="continuationSeparator" w:id="0">
    <w:p w:rsidR="009E6C29" w:rsidRDefault="009E6C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C2502A" w:rsidTr="0001466E">
      <w:trPr>
        <w:trHeight w:hRule="exact" w:val="1191"/>
      </w:trPr>
      <w:tc>
        <w:tcPr>
          <w:tcW w:w="2265" w:type="dxa"/>
          <w:vAlign w:val="bottom"/>
          <w:hideMark/>
        </w:tcPr>
        <w:p w:rsidR="00C2502A" w:rsidRDefault="00C2502A" w:rsidP="00C2502A">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276602480"/>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C2502A" w:rsidRDefault="00C2502A" w:rsidP="00C2502A">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C2502A" w:rsidRDefault="00C2502A" w:rsidP="00C2502A">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313105AA" wp14:editId="40B3061A">
                <wp:extent cx="1125855" cy="431800"/>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C2502A" w:rsidRDefault="00C2502A" w:rsidP="00C2502A">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2EFDE7E4" wp14:editId="5DB5E480">
                <wp:extent cx="1151255" cy="431800"/>
                <wp:effectExtent l="0" t="0" r="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C2502A" w:rsidRDefault="00C2502A" w:rsidP="00C2502A">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5/21</w:t>
          </w:r>
        </w:p>
        <w:p w:rsidR="00C2502A" w:rsidRDefault="00C2502A" w:rsidP="00C2502A">
          <w:pPr>
            <w:tabs>
              <w:tab w:val="left" w:pos="2100"/>
            </w:tabs>
            <w:spacing w:before="0"/>
            <w:jc w:val="right"/>
            <w:rPr>
              <w:sz w:val="20"/>
            </w:rPr>
          </w:pPr>
          <w:r>
            <w:rPr>
              <w:rFonts w:eastAsiaTheme="minorHAnsi" w:cstheme="minorBidi"/>
              <w:sz w:val="20"/>
              <w:lang w:eastAsia="en-US"/>
            </w:rPr>
            <w:t>Stand: 01.08.2024</w:t>
          </w:r>
        </w:p>
      </w:tc>
    </w:tr>
  </w:tbl>
  <w:p w:rsidR="009E6C29" w:rsidRPr="00C2502A" w:rsidRDefault="009E6C29" w:rsidP="00C2502A">
    <w:pPr>
      <w:pStyle w:val="Fuzeile"/>
      <w:rPr>
        <w:rFonts w:eastAsiaTheme="minorHAns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C2502A" w:rsidTr="0001466E">
      <w:trPr>
        <w:trHeight w:hRule="exact" w:val="1191"/>
      </w:trPr>
      <w:tc>
        <w:tcPr>
          <w:tcW w:w="2265" w:type="dxa"/>
          <w:vAlign w:val="bottom"/>
          <w:hideMark/>
        </w:tcPr>
        <w:p w:rsidR="00C2502A" w:rsidRDefault="00C2502A" w:rsidP="00C2502A">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767294923"/>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C2502A" w:rsidRDefault="00C2502A" w:rsidP="00C2502A">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C2502A" w:rsidRDefault="00C2502A" w:rsidP="00C2502A">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66A7B446" wp14:editId="4ABBCCA7">
                <wp:extent cx="1125855" cy="4318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C2502A" w:rsidRDefault="00C2502A" w:rsidP="00C2502A">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21A6F9BD" wp14:editId="1DC77DB0">
                <wp:extent cx="1151255" cy="431800"/>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C2502A" w:rsidRDefault="00C2502A" w:rsidP="00C2502A">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 xml:space="preserve">Praxishilfe </w:t>
          </w:r>
          <w:r>
            <w:rPr>
              <w:rFonts w:eastAsiaTheme="minorHAnsi" w:cstheme="minorBidi"/>
              <w:b/>
              <w:color w:val="228B22"/>
              <w:sz w:val="20"/>
              <w:lang w:eastAsia="en-US"/>
            </w:rPr>
            <w:t>5</w:t>
          </w:r>
          <w:r>
            <w:rPr>
              <w:rFonts w:eastAsiaTheme="minorHAnsi" w:cstheme="minorBidi"/>
              <w:b/>
              <w:color w:val="228B22"/>
              <w:sz w:val="20"/>
              <w:lang w:eastAsia="en-US"/>
            </w:rPr>
            <w:t>/</w:t>
          </w:r>
          <w:r>
            <w:rPr>
              <w:rFonts w:eastAsiaTheme="minorHAnsi" w:cstheme="minorBidi"/>
              <w:b/>
              <w:color w:val="228B22"/>
              <w:sz w:val="20"/>
              <w:lang w:eastAsia="en-US"/>
            </w:rPr>
            <w:t>21</w:t>
          </w:r>
        </w:p>
        <w:p w:rsidR="00C2502A" w:rsidRDefault="00C2502A" w:rsidP="00C2502A">
          <w:pPr>
            <w:tabs>
              <w:tab w:val="left" w:pos="2100"/>
            </w:tabs>
            <w:spacing w:before="0"/>
            <w:jc w:val="right"/>
            <w:rPr>
              <w:sz w:val="20"/>
            </w:rPr>
          </w:pPr>
          <w:r>
            <w:rPr>
              <w:rFonts w:eastAsiaTheme="minorHAnsi" w:cstheme="minorBidi"/>
              <w:sz w:val="20"/>
              <w:lang w:eastAsia="en-US"/>
            </w:rPr>
            <w:t>Stand: 01.08.2024</w:t>
          </w:r>
        </w:p>
      </w:tc>
    </w:tr>
  </w:tbl>
  <w:p w:rsidR="009E6C29" w:rsidRPr="00C2502A" w:rsidRDefault="009E6C29" w:rsidP="00C2502A">
    <w:pPr>
      <w:pStyle w:val="Fuzeile"/>
      <w:rPr>
        <w:rFonts w:eastAsia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C29" w:rsidRDefault="009E6C29" w:rsidP="00EE217B">
      <w:pPr>
        <w:pStyle w:val="Fuzeile"/>
      </w:pPr>
    </w:p>
    <w:p w:rsidR="009E6C29" w:rsidRPr="00EE217B" w:rsidRDefault="009E6C29" w:rsidP="00EE217B">
      <w:pPr>
        <w:spacing w:before="0"/>
        <w:jc w:val="center"/>
      </w:pPr>
      <w:r w:rsidRPr="00027F72">
        <w:separator/>
      </w:r>
      <w:r w:rsidRPr="00027F72">
        <w:separator/>
      </w:r>
    </w:p>
  </w:footnote>
  <w:footnote w:type="continuationSeparator" w:id="0">
    <w:p w:rsidR="009E6C29" w:rsidRDefault="009E6C29" w:rsidP="00711AB6">
      <w:pPr>
        <w:spacing w:before="0"/>
        <w:jc w:val="center"/>
      </w:pPr>
    </w:p>
    <w:p w:rsidR="009E6C29" w:rsidRPr="00711AB6" w:rsidRDefault="009E6C29" w:rsidP="00711AB6">
      <w:pPr>
        <w:spacing w:before="0"/>
        <w:jc w:val="center"/>
      </w:pPr>
      <w:r w:rsidRPr="00027F72">
        <w:separator/>
      </w:r>
      <w:r w:rsidRPr="00027F72">
        <w:separator/>
      </w:r>
    </w:p>
  </w:footnote>
  <w:footnote w:id="1">
    <w:p w:rsidR="00692FB1" w:rsidRDefault="00692FB1" w:rsidP="00692FB1">
      <w:pPr>
        <w:pStyle w:val="Funotentext"/>
        <w:ind w:left="0" w:firstLine="0"/>
      </w:pPr>
      <w:r>
        <w:rPr>
          <w:rStyle w:val="Funotenzeichen"/>
        </w:rPr>
        <w:footnoteRef/>
      </w:r>
      <w:r>
        <w:t xml:space="preserve"> </w:t>
      </w:r>
      <w:r w:rsidRPr="00E14DBB">
        <w:rPr>
          <w:sz w:val="12"/>
          <w:szCs w:val="12"/>
        </w:rPr>
        <w:t>Diese Informationen stehen im Einklang mit der Delegierten Verordnung (EU) 2020/1818 der Kommission (Verordnung über Referenzwerte für den klimabedingten Wandel).</w:t>
      </w:r>
    </w:p>
  </w:footnote>
  <w:footnote w:id="2">
    <w:p w:rsidR="00692FB1" w:rsidRDefault="00692FB1">
      <w:pPr>
        <w:pStyle w:val="Funotentext"/>
      </w:pPr>
      <w:r>
        <w:rPr>
          <w:rStyle w:val="Funotenzeichen"/>
        </w:rPr>
        <w:footnoteRef/>
      </w:r>
      <w:r>
        <w:t xml:space="preserve"> </w:t>
      </w:r>
      <w:r w:rsidRPr="00E14DBB">
        <w:rPr>
          <w:sz w:val="12"/>
          <w:szCs w:val="12"/>
        </w:rPr>
        <w:t>Diese Angabepflicht steht im Einklang mit den Anforderungen der Durchführungsverordnung (EU) 2022/2453 der Kommission, Meldebogen 5: Anlagebuch – Physisches Risiko im Zusammenhang mit dem Klimawandel: Risikopositionen mit physischem Risiko.</w:t>
      </w:r>
    </w:p>
  </w:footnote>
  <w:footnote w:id="3">
    <w:p w:rsidR="00950EA7" w:rsidRDefault="00950EA7">
      <w:pPr>
        <w:pStyle w:val="Funotentext"/>
      </w:pPr>
      <w:r>
        <w:rPr>
          <w:rStyle w:val="Funotenzeichen"/>
        </w:rPr>
        <w:footnoteRef/>
      </w:r>
      <w:r>
        <w:t xml:space="preserve"> </w:t>
      </w:r>
      <w:r w:rsidRPr="00E14DBB">
        <w:rPr>
          <w:sz w:val="12"/>
          <w:szCs w:val="12"/>
        </w:rPr>
        <w:t>Diese Angabepflicht steht im Einklang mit den Anforderungen der Durchführungsverordnung (EU) 2022/2453 der Kommission, Meldebogen 5: Anlagebuch – Physisches Risiko im Zusammenhang mit dem Klimawandel: Risikopositionen mit physischem Risiko.</w:t>
      </w:r>
    </w:p>
  </w:footnote>
  <w:footnote w:id="4">
    <w:p w:rsidR="00950EA7" w:rsidRDefault="00950EA7">
      <w:pPr>
        <w:pStyle w:val="Funotentext"/>
      </w:pPr>
      <w:r>
        <w:rPr>
          <w:rStyle w:val="Funotenzeichen"/>
        </w:rPr>
        <w:footnoteRef/>
      </w:r>
      <w:r>
        <w:t xml:space="preserve"> </w:t>
      </w:r>
      <w:r w:rsidRPr="00421DF8">
        <w:rPr>
          <w:sz w:val="12"/>
          <w:szCs w:val="12"/>
        </w:rPr>
        <w:t>Diese Angabepflicht steht im Einklang mit den Anforderungen der Durchführungsverordnung (EU) 2022/2453 der Kommission, Meldebogen 2: Anlagebuch – Übergangsrisiko im Zusammenhang mit dem Klimawandel: Durch Immobilien besicherte Darlehen – Energieeffizienz der Sicherheiten.</w:t>
      </w:r>
    </w:p>
  </w:footnote>
  <w:footnote w:id="5">
    <w:p w:rsidR="00950EA7" w:rsidRDefault="00950EA7">
      <w:pPr>
        <w:pStyle w:val="Funotentext"/>
      </w:pPr>
      <w:r>
        <w:rPr>
          <w:rStyle w:val="Funotenzeichen"/>
        </w:rPr>
        <w:footnoteRef/>
      </w:r>
      <w:r>
        <w:t xml:space="preserve"> </w:t>
      </w:r>
      <w:r w:rsidRPr="00421DF8">
        <w:rPr>
          <w:sz w:val="12"/>
          <w:szCs w:val="12"/>
        </w:rPr>
        <w:t>Diese Informationen stehen im Einklang mit der Delegierten Verordnung (EU) 2020/1818 der Kommission (Verordnung über Referenzwerte für den klimabedingten Wandel).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54A" w:rsidRDefault="0031054A" w:rsidP="000954DF">
    <w:pPr>
      <w:pStyle w:val="Kopfzeile"/>
      <w:pBdr>
        <w:bottom w:val="none" w:sz="0" w:space="0" w:color="auto"/>
      </w:pBdr>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71"/>
      <w:gridCol w:w="6666"/>
      <w:gridCol w:w="715"/>
      <w:gridCol w:w="720"/>
    </w:tblGrid>
    <w:tr w:rsidR="000954DF" w:rsidTr="000954DF">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71" w:type="dxa"/>
          <w:tcBorders>
            <w:top w:val="none" w:sz="0" w:space="0" w:color="auto"/>
            <w:left w:val="none" w:sz="0" w:space="0" w:color="auto"/>
            <w:bottom w:val="none" w:sz="0" w:space="0" w:color="auto"/>
            <w:right w:val="none" w:sz="0" w:space="0" w:color="auto"/>
          </w:tcBorders>
          <w:shd w:val="clear" w:color="auto" w:fill="C5F1C5"/>
        </w:tcPr>
        <w:p w:rsidR="0031054A" w:rsidRPr="00D85AA9" w:rsidRDefault="0031054A" w:rsidP="000954DF">
          <w:pPr>
            <w:spacing w:before="0"/>
            <w:contextualSpacing/>
            <w:rPr>
              <w:color w:val="000000" w:themeColor="text1"/>
              <w:sz w:val="20"/>
              <w:szCs w:val="20"/>
            </w:rPr>
          </w:pPr>
          <w:r w:rsidRPr="00D85AA9">
            <w:rPr>
              <w:color w:val="000000" w:themeColor="text1"/>
              <w:sz w:val="20"/>
              <w:szCs w:val="20"/>
            </w:rPr>
            <w:t>E1-9</w:t>
          </w:r>
        </w:p>
      </w:tc>
      <w:tc>
        <w:tcPr>
          <w:tcW w:w="6666" w:type="dxa"/>
          <w:tcBorders>
            <w:top w:val="none" w:sz="0" w:space="0" w:color="auto"/>
            <w:left w:val="none" w:sz="0" w:space="0" w:color="auto"/>
            <w:bottom w:val="none" w:sz="0" w:space="0" w:color="auto"/>
            <w:right w:val="none" w:sz="0" w:space="0" w:color="auto"/>
          </w:tcBorders>
          <w:shd w:val="clear" w:color="auto" w:fill="C5F1C5"/>
        </w:tcPr>
        <w:p w:rsidR="0031054A" w:rsidRPr="00D85AA9" w:rsidRDefault="0031054A" w:rsidP="000954DF">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D85AA9">
            <w:rPr>
              <w:color w:val="000000" w:themeColor="text1"/>
              <w:sz w:val="20"/>
              <w:szCs w:val="20"/>
            </w:rPr>
            <w:t>Erwartete finanzielle Auswirkungen wesentlicher physischer Risiken und Übergangsrisiken sowie potenzielle klimabezogene Chancen</w:t>
          </w:r>
          <w:r>
            <w:rPr>
              <w:color w:val="000000" w:themeColor="text1"/>
              <w:sz w:val="20"/>
              <w:szCs w:val="20"/>
            </w:rPr>
            <w:t>; Forts.</w:t>
          </w:r>
        </w:p>
      </w:tc>
      <w:tc>
        <w:tcPr>
          <w:tcW w:w="715" w:type="dxa"/>
          <w:tcBorders>
            <w:top w:val="none" w:sz="0" w:space="0" w:color="auto"/>
            <w:left w:val="none" w:sz="0" w:space="0" w:color="auto"/>
            <w:bottom w:val="none" w:sz="0" w:space="0" w:color="auto"/>
            <w:right w:val="none" w:sz="0" w:space="0" w:color="auto"/>
          </w:tcBorders>
          <w:shd w:val="clear" w:color="auto" w:fill="auto"/>
        </w:tcPr>
        <w:p w:rsidR="0031054A" w:rsidRPr="003C0F68" w:rsidRDefault="0031054A" w:rsidP="000954DF">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20"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31054A" w:rsidRPr="003C0F68" w:rsidRDefault="009D0677" w:rsidP="000954DF">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16"/>
            </w:rPr>
          </w:pPr>
          <w:r>
            <w:rPr>
              <w:sz w:val="24"/>
            </w:rPr>
            <w:t>28</w:t>
          </w:r>
        </w:p>
      </w:tc>
    </w:tr>
  </w:tbl>
  <w:p w:rsidR="0031054A" w:rsidRPr="0031054A" w:rsidRDefault="0031054A" w:rsidP="000954DF">
    <w:pPr>
      <w:pStyle w:val="Kopfzeile"/>
      <w:pBdr>
        <w:bottom w:val="none" w:sz="0" w:space="0" w:color="auto"/>
      </w:pBdr>
      <w:rPr>
        <w:sz w:val="2"/>
        <w:szCs w:val="2"/>
      </w:rPr>
    </w:pPr>
  </w:p>
  <w:p w:rsidR="009E6C29" w:rsidRPr="00665F75" w:rsidRDefault="009E6C29" w:rsidP="000954DF">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354556" w:rsidRDefault="009E6C29" w:rsidP="00354556">
    <w:pPr>
      <w:pStyle w:val="Kopfzeile"/>
      <w:pBdr>
        <w:bottom w:val="none" w:sz="0" w:space="0" w:color="auto"/>
      </w:pBdr>
      <w:spacing w:before="0"/>
      <w:rPr>
        <w:sz w:val="2"/>
      </w:rPr>
    </w:pPr>
    <w:r w:rsidRPr="00354556">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020B194B"/>
    <w:multiLevelType w:val="hybridMultilevel"/>
    <w:tmpl w:val="97E4AB2E"/>
    <w:lvl w:ilvl="0" w:tplc="8FF2A6B2">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90D6E8F"/>
    <w:multiLevelType w:val="hybridMultilevel"/>
    <w:tmpl w:val="91002420"/>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1" w15:restartNumberingAfterBreak="0">
    <w:nsid w:val="160040AF"/>
    <w:multiLevelType w:val="hybridMultilevel"/>
    <w:tmpl w:val="488ED5A0"/>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23B33091"/>
    <w:multiLevelType w:val="hybridMultilevel"/>
    <w:tmpl w:val="09A68D7E"/>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6A389D"/>
    <w:multiLevelType w:val="hybridMultilevel"/>
    <w:tmpl w:val="C76E5546"/>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3A6585"/>
    <w:multiLevelType w:val="hybridMultilevel"/>
    <w:tmpl w:val="F1841A5E"/>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E335AD"/>
    <w:multiLevelType w:val="hybridMultilevel"/>
    <w:tmpl w:val="7D9EB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064308"/>
    <w:multiLevelType w:val="hybridMultilevel"/>
    <w:tmpl w:val="4D1A5872"/>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435CE9"/>
    <w:multiLevelType w:val="hybridMultilevel"/>
    <w:tmpl w:val="D06EA6BE"/>
    <w:lvl w:ilvl="0" w:tplc="0407001B">
      <w:start w:val="1"/>
      <w:numFmt w:val="low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4DB43BE1"/>
    <w:multiLevelType w:val="hybridMultilevel"/>
    <w:tmpl w:val="06E4BB00"/>
    <w:lvl w:ilvl="0" w:tplc="0407001B">
      <w:start w:val="1"/>
      <w:numFmt w:val="low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4E851A3E"/>
    <w:multiLevelType w:val="hybridMultilevel"/>
    <w:tmpl w:val="034015CC"/>
    <w:lvl w:ilvl="0" w:tplc="1C149F6A">
      <w:start w:val="1"/>
      <w:numFmt w:val="lowerLetter"/>
      <w:lvlText w:val="%1)"/>
      <w:lvlJc w:val="left"/>
      <w:pPr>
        <w:ind w:left="1044" w:hanging="360"/>
      </w:pPr>
      <w:rPr>
        <w:rFonts w:hint="default"/>
      </w:rPr>
    </w:lvl>
    <w:lvl w:ilvl="1" w:tplc="04070019" w:tentative="1">
      <w:start w:val="1"/>
      <w:numFmt w:val="lowerLetter"/>
      <w:lvlText w:val="%2."/>
      <w:lvlJc w:val="left"/>
      <w:pPr>
        <w:ind w:left="1764" w:hanging="360"/>
      </w:pPr>
    </w:lvl>
    <w:lvl w:ilvl="2" w:tplc="0407001B" w:tentative="1">
      <w:start w:val="1"/>
      <w:numFmt w:val="lowerRoman"/>
      <w:lvlText w:val="%3."/>
      <w:lvlJc w:val="right"/>
      <w:pPr>
        <w:ind w:left="2484" w:hanging="180"/>
      </w:pPr>
    </w:lvl>
    <w:lvl w:ilvl="3" w:tplc="0407000F" w:tentative="1">
      <w:start w:val="1"/>
      <w:numFmt w:val="decimal"/>
      <w:lvlText w:val="%4."/>
      <w:lvlJc w:val="left"/>
      <w:pPr>
        <w:ind w:left="3204" w:hanging="360"/>
      </w:pPr>
    </w:lvl>
    <w:lvl w:ilvl="4" w:tplc="04070019" w:tentative="1">
      <w:start w:val="1"/>
      <w:numFmt w:val="lowerLetter"/>
      <w:lvlText w:val="%5."/>
      <w:lvlJc w:val="left"/>
      <w:pPr>
        <w:ind w:left="3924" w:hanging="360"/>
      </w:pPr>
    </w:lvl>
    <w:lvl w:ilvl="5" w:tplc="0407001B" w:tentative="1">
      <w:start w:val="1"/>
      <w:numFmt w:val="lowerRoman"/>
      <w:lvlText w:val="%6."/>
      <w:lvlJc w:val="right"/>
      <w:pPr>
        <w:ind w:left="4644" w:hanging="180"/>
      </w:pPr>
    </w:lvl>
    <w:lvl w:ilvl="6" w:tplc="0407000F" w:tentative="1">
      <w:start w:val="1"/>
      <w:numFmt w:val="decimal"/>
      <w:lvlText w:val="%7."/>
      <w:lvlJc w:val="left"/>
      <w:pPr>
        <w:ind w:left="5364" w:hanging="360"/>
      </w:pPr>
    </w:lvl>
    <w:lvl w:ilvl="7" w:tplc="04070019" w:tentative="1">
      <w:start w:val="1"/>
      <w:numFmt w:val="lowerLetter"/>
      <w:lvlText w:val="%8."/>
      <w:lvlJc w:val="left"/>
      <w:pPr>
        <w:ind w:left="6084" w:hanging="360"/>
      </w:pPr>
    </w:lvl>
    <w:lvl w:ilvl="8" w:tplc="0407001B" w:tentative="1">
      <w:start w:val="1"/>
      <w:numFmt w:val="lowerRoman"/>
      <w:lvlText w:val="%9."/>
      <w:lvlJc w:val="right"/>
      <w:pPr>
        <w:ind w:left="6804" w:hanging="180"/>
      </w:pPr>
    </w:lvl>
  </w:abstractNum>
  <w:abstractNum w:abstractNumId="21" w15:restartNumberingAfterBreak="0">
    <w:nsid w:val="52C87813"/>
    <w:multiLevelType w:val="hybridMultilevel"/>
    <w:tmpl w:val="5F186E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F04F93"/>
    <w:multiLevelType w:val="hybridMultilevel"/>
    <w:tmpl w:val="36361790"/>
    <w:lvl w:ilvl="0" w:tplc="0407001B">
      <w:start w:val="1"/>
      <w:numFmt w:val="low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59BE0748"/>
    <w:multiLevelType w:val="hybridMultilevel"/>
    <w:tmpl w:val="D3284460"/>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5" w15:restartNumberingAfterBreak="0">
    <w:nsid w:val="5DE272AA"/>
    <w:multiLevelType w:val="hybridMultilevel"/>
    <w:tmpl w:val="9D7AF966"/>
    <w:lvl w:ilvl="0" w:tplc="748A591A">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951F72"/>
    <w:multiLevelType w:val="hybridMultilevel"/>
    <w:tmpl w:val="8AC07042"/>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9BD380B"/>
    <w:multiLevelType w:val="hybridMultilevel"/>
    <w:tmpl w:val="565C73F8"/>
    <w:lvl w:ilvl="0" w:tplc="AD506694">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C87B3E"/>
    <w:multiLevelType w:val="hybridMultilevel"/>
    <w:tmpl w:val="13422372"/>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224256"/>
    <w:multiLevelType w:val="hybridMultilevel"/>
    <w:tmpl w:val="61D8FD7E"/>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0" w15:restartNumberingAfterBreak="0">
    <w:nsid w:val="6EF15536"/>
    <w:multiLevelType w:val="hybridMultilevel"/>
    <w:tmpl w:val="4B346EA6"/>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077894"/>
    <w:multiLevelType w:val="hybridMultilevel"/>
    <w:tmpl w:val="C972A262"/>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B5E1FAD"/>
    <w:multiLevelType w:val="hybridMultilevel"/>
    <w:tmpl w:val="88EC27E4"/>
    <w:lvl w:ilvl="0" w:tplc="5982658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9A20D9"/>
    <w:multiLevelType w:val="hybridMultilevel"/>
    <w:tmpl w:val="FABCBF42"/>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4"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abstractNum w:abstractNumId="35" w15:restartNumberingAfterBreak="0">
    <w:nsid w:val="7EDE6B34"/>
    <w:multiLevelType w:val="hybridMultilevel"/>
    <w:tmpl w:val="3F14703C"/>
    <w:lvl w:ilvl="0" w:tplc="1C149F6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4"/>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24"/>
  </w:num>
  <w:num w:numId="12">
    <w:abstractNumId w:val="12"/>
  </w:num>
  <w:num w:numId="13">
    <w:abstractNumId w:val="32"/>
  </w:num>
  <w:num w:numId="14">
    <w:abstractNumId w:val="23"/>
  </w:num>
  <w:num w:numId="15">
    <w:abstractNumId w:val="35"/>
  </w:num>
  <w:num w:numId="16">
    <w:abstractNumId w:val="26"/>
  </w:num>
  <w:num w:numId="17">
    <w:abstractNumId w:val="31"/>
  </w:num>
  <w:num w:numId="18">
    <w:abstractNumId w:val="15"/>
  </w:num>
  <w:num w:numId="19">
    <w:abstractNumId w:val="9"/>
  </w:num>
  <w:num w:numId="20">
    <w:abstractNumId w:val="25"/>
  </w:num>
  <w:num w:numId="21">
    <w:abstractNumId w:val="19"/>
  </w:num>
  <w:num w:numId="22">
    <w:abstractNumId w:val="8"/>
  </w:num>
  <w:num w:numId="23">
    <w:abstractNumId w:val="11"/>
  </w:num>
  <w:num w:numId="24">
    <w:abstractNumId w:val="30"/>
  </w:num>
  <w:num w:numId="25">
    <w:abstractNumId w:val="17"/>
  </w:num>
  <w:num w:numId="26">
    <w:abstractNumId w:val="18"/>
  </w:num>
  <w:num w:numId="27">
    <w:abstractNumId w:val="22"/>
  </w:num>
  <w:num w:numId="28">
    <w:abstractNumId w:val="14"/>
  </w:num>
  <w:num w:numId="29">
    <w:abstractNumId w:val="13"/>
  </w:num>
  <w:num w:numId="30">
    <w:abstractNumId w:val="29"/>
  </w:num>
  <w:num w:numId="31">
    <w:abstractNumId w:val="33"/>
  </w:num>
  <w:num w:numId="32">
    <w:abstractNumId w:val="21"/>
  </w:num>
  <w:num w:numId="33">
    <w:abstractNumId w:val="28"/>
  </w:num>
  <w:num w:numId="34">
    <w:abstractNumId w:val="20"/>
  </w:num>
  <w:num w:numId="35">
    <w:abstractNumId w:val="27"/>
  </w:num>
  <w:num w:numId="3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numStart w:val="4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E"/>
    <w:rsid w:val="00002230"/>
    <w:rsid w:val="00002EED"/>
    <w:rsid w:val="000030A9"/>
    <w:rsid w:val="000054E6"/>
    <w:rsid w:val="0001477C"/>
    <w:rsid w:val="0001785E"/>
    <w:rsid w:val="000213D0"/>
    <w:rsid w:val="0002748A"/>
    <w:rsid w:val="00030ECD"/>
    <w:rsid w:val="0003242D"/>
    <w:rsid w:val="00034476"/>
    <w:rsid w:val="0003449D"/>
    <w:rsid w:val="00034C12"/>
    <w:rsid w:val="0004061E"/>
    <w:rsid w:val="0004096F"/>
    <w:rsid w:val="000457B8"/>
    <w:rsid w:val="000503CF"/>
    <w:rsid w:val="0005326E"/>
    <w:rsid w:val="000616B8"/>
    <w:rsid w:val="00064F40"/>
    <w:rsid w:val="000732FA"/>
    <w:rsid w:val="00075E7C"/>
    <w:rsid w:val="00080B9A"/>
    <w:rsid w:val="00086B8A"/>
    <w:rsid w:val="00086C16"/>
    <w:rsid w:val="0009344D"/>
    <w:rsid w:val="000954DF"/>
    <w:rsid w:val="00097B2B"/>
    <w:rsid w:val="000B1337"/>
    <w:rsid w:val="000C46EA"/>
    <w:rsid w:val="000C6042"/>
    <w:rsid w:val="000C61BA"/>
    <w:rsid w:val="000D349D"/>
    <w:rsid w:val="000D6428"/>
    <w:rsid w:val="000E0C5F"/>
    <w:rsid w:val="000E26F7"/>
    <w:rsid w:val="000E57B4"/>
    <w:rsid w:val="000F2D44"/>
    <w:rsid w:val="00106BBE"/>
    <w:rsid w:val="00111AC6"/>
    <w:rsid w:val="00114EA5"/>
    <w:rsid w:val="00115916"/>
    <w:rsid w:val="001205E2"/>
    <w:rsid w:val="00130748"/>
    <w:rsid w:val="00140F86"/>
    <w:rsid w:val="00143F11"/>
    <w:rsid w:val="001468B7"/>
    <w:rsid w:val="0015154F"/>
    <w:rsid w:val="0015165A"/>
    <w:rsid w:val="001610A2"/>
    <w:rsid w:val="00161D8D"/>
    <w:rsid w:val="0016550B"/>
    <w:rsid w:val="00165A53"/>
    <w:rsid w:val="00180880"/>
    <w:rsid w:val="00182B83"/>
    <w:rsid w:val="00184E10"/>
    <w:rsid w:val="0019585B"/>
    <w:rsid w:val="001A1B58"/>
    <w:rsid w:val="001A6337"/>
    <w:rsid w:val="001B3F50"/>
    <w:rsid w:val="001B7418"/>
    <w:rsid w:val="001B7E25"/>
    <w:rsid w:val="001C0D6B"/>
    <w:rsid w:val="001C1789"/>
    <w:rsid w:val="001D072F"/>
    <w:rsid w:val="001D22E2"/>
    <w:rsid w:val="001E0C6C"/>
    <w:rsid w:val="001E1F96"/>
    <w:rsid w:val="001E38E2"/>
    <w:rsid w:val="001E7A82"/>
    <w:rsid w:val="001F04DD"/>
    <w:rsid w:val="00202050"/>
    <w:rsid w:val="002051B1"/>
    <w:rsid w:val="002065BE"/>
    <w:rsid w:val="0021047B"/>
    <w:rsid w:val="002139EB"/>
    <w:rsid w:val="00213C34"/>
    <w:rsid w:val="00222629"/>
    <w:rsid w:val="002337DF"/>
    <w:rsid w:val="00244A48"/>
    <w:rsid w:val="00257647"/>
    <w:rsid w:val="002604FF"/>
    <w:rsid w:val="00262DC9"/>
    <w:rsid w:val="00265311"/>
    <w:rsid w:val="00267E82"/>
    <w:rsid w:val="002717FB"/>
    <w:rsid w:val="00280D52"/>
    <w:rsid w:val="00283F41"/>
    <w:rsid w:val="00284FA6"/>
    <w:rsid w:val="00285560"/>
    <w:rsid w:val="00285C0D"/>
    <w:rsid w:val="00290924"/>
    <w:rsid w:val="00291F83"/>
    <w:rsid w:val="0029592F"/>
    <w:rsid w:val="002A064F"/>
    <w:rsid w:val="002A0C98"/>
    <w:rsid w:val="002A29CF"/>
    <w:rsid w:val="002A3549"/>
    <w:rsid w:val="002B17CE"/>
    <w:rsid w:val="002B298F"/>
    <w:rsid w:val="002B37AC"/>
    <w:rsid w:val="002B7B81"/>
    <w:rsid w:val="002C146F"/>
    <w:rsid w:val="002C7903"/>
    <w:rsid w:val="002D0908"/>
    <w:rsid w:val="002D7E2D"/>
    <w:rsid w:val="002E153C"/>
    <w:rsid w:val="002F09D8"/>
    <w:rsid w:val="002F6B99"/>
    <w:rsid w:val="002F771F"/>
    <w:rsid w:val="00301DCE"/>
    <w:rsid w:val="00304799"/>
    <w:rsid w:val="00305D9F"/>
    <w:rsid w:val="0031054A"/>
    <w:rsid w:val="00325A9C"/>
    <w:rsid w:val="0033474B"/>
    <w:rsid w:val="00340216"/>
    <w:rsid w:val="00342964"/>
    <w:rsid w:val="00352142"/>
    <w:rsid w:val="00354556"/>
    <w:rsid w:val="00360F3D"/>
    <w:rsid w:val="00364269"/>
    <w:rsid w:val="003703D1"/>
    <w:rsid w:val="00376DCD"/>
    <w:rsid w:val="00382BCD"/>
    <w:rsid w:val="003875E4"/>
    <w:rsid w:val="00387D29"/>
    <w:rsid w:val="003932A1"/>
    <w:rsid w:val="003A6CCF"/>
    <w:rsid w:val="003A6FEB"/>
    <w:rsid w:val="003A7861"/>
    <w:rsid w:val="003B420D"/>
    <w:rsid w:val="003D15FE"/>
    <w:rsid w:val="003E348F"/>
    <w:rsid w:val="003E5835"/>
    <w:rsid w:val="003F1B18"/>
    <w:rsid w:val="00402C0A"/>
    <w:rsid w:val="00403766"/>
    <w:rsid w:val="004076E9"/>
    <w:rsid w:val="0041402E"/>
    <w:rsid w:val="00414D05"/>
    <w:rsid w:val="00416098"/>
    <w:rsid w:val="00416270"/>
    <w:rsid w:val="00421DF8"/>
    <w:rsid w:val="00424009"/>
    <w:rsid w:val="004248A0"/>
    <w:rsid w:val="00425D64"/>
    <w:rsid w:val="004279BD"/>
    <w:rsid w:val="00427B9D"/>
    <w:rsid w:val="0043323A"/>
    <w:rsid w:val="00433509"/>
    <w:rsid w:val="00440D21"/>
    <w:rsid w:val="00445BB8"/>
    <w:rsid w:val="0044742E"/>
    <w:rsid w:val="00454705"/>
    <w:rsid w:val="00465DB3"/>
    <w:rsid w:val="00466C63"/>
    <w:rsid w:val="004715A0"/>
    <w:rsid w:val="0047207E"/>
    <w:rsid w:val="00480CB7"/>
    <w:rsid w:val="004867BC"/>
    <w:rsid w:val="0049126F"/>
    <w:rsid w:val="004B0628"/>
    <w:rsid w:val="004B2234"/>
    <w:rsid w:val="004B32C2"/>
    <w:rsid w:val="004B5526"/>
    <w:rsid w:val="004B5A8E"/>
    <w:rsid w:val="004B6272"/>
    <w:rsid w:val="004B6415"/>
    <w:rsid w:val="004C3F5D"/>
    <w:rsid w:val="004C60FF"/>
    <w:rsid w:val="004D43D5"/>
    <w:rsid w:val="004D6C91"/>
    <w:rsid w:val="004E699D"/>
    <w:rsid w:val="004F1A62"/>
    <w:rsid w:val="004F1C26"/>
    <w:rsid w:val="004F1E92"/>
    <w:rsid w:val="0050152B"/>
    <w:rsid w:val="00501798"/>
    <w:rsid w:val="00503C2E"/>
    <w:rsid w:val="005060F4"/>
    <w:rsid w:val="005126C2"/>
    <w:rsid w:val="00516C43"/>
    <w:rsid w:val="0052103B"/>
    <w:rsid w:val="00523480"/>
    <w:rsid w:val="00525CDB"/>
    <w:rsid w:val="00527267"/>
    <w:rsid w:val="00527970"/>
    <w:rsid w:val="00533698"/>
    <w:rsid w:val="00534A4B"/>
    <w:rsid w:val="00537185"/>
    <w:rsid w:val="005379FF"/>
    <w:rsid w:val="005473EF"/>
    <w:rsid w:val="0055136F"/>
    <w:rsid w:val="0055156D"/>
    <w:rsid w:val="00554502"/>
    <w:rsid w:val="00557E86"/>
    <w:rsid w:val="00567521"/>
    <w:rsid w:val="005716AB"/>
    <w:rsid w:val="005740F4"/>
    <w:rsid w:val="00576C80"/>
    <w:rsid w:val="00577B09"/>
    <w:rsid w:val="00583AA1"/>
    <w:rsid w:val="0058527F"/>
    <w:rsid w:val="00585859"/>
    <w:rsid w:val="005913EC"/>
    <w:rsid w:val="005921A2"/>
    <w:rsid w:val="00594C08"/>
    <w:rsid w:val="005967E6"/>
    <w:rsid w:val="005A05DD"/>
    <w:rsid w:val="005B024A"/>
    <w:rsid w:val="005B57D7"/>
    <w:rsid w:val="005B7F7F"/>
    <w:rsid w:val="005C1C85"/>
    <w:rsid w:val="005C5708"/>
    <w:rsid w:val="005D1825"/>
    <w:rsid w:val="005D26BD"/>
    <w:rsid w:val="005D2A74"/>
    <w:rsid w:val="005D4260"/>
    <w:rsid w:val="005D7367"/>
    <w:rsid w:val="005E0577"/>
    <w:rsid w:val="005E07BD"/>
    <w:rsid w:val="005E6243"/>
    <w:rsid w:val="005E7803"/>
    <w:rsid w:val="005F6F40"/>
    <w:rsid w:val="0063006F"/>
    <w:rsid w:val="00632C1A"/>
    <w:rsid w:val="006415FE"/>
    <w:rsid w:val="006454CF"/>
    <w:rsid w:val="0065198F"/>
    <w:rsid w:val="006521FF"/>
    <w:rsid w:val="00664FBF"/>
    <w:rsid w:val="00665F75"/>
    <w:rsid w:val="00666AFB"/>
    <w:rsid w:val="0066763B"/>
    <w:rsid w:val="0068164E"/>
    <w:rsid w:val="00681B38"/>
    <w:rsid w:val="00684B37"/>
    <w:rsid w:val="00692FB1"/>
    <w:rsid w:val="006A27FA"/>
    <w:rsid w:val="006B3907"/>
    <w:rsid w:val="006C4228"/>
    <w:rsid w:val="006D45A1"/>
    <w:rsid w:val="006D7242"/>
    <w:rsid w:val="006E24F6"/>
    <w:rsid w:val="006E7126"/>
    <w:rsid w:val="006F0CA6"/>
    <w:rsid w:val="006F281C"/>
    <w:rsid w:val="007024CA"/>
    <w:rsid w:val="007026D1"/>
    <w:rsid w:val="00706147"/>
    <w:rsid w:val="00711AB6"/>
    <w:rsid w:val="00715003"/>
    <w:rsid w:val="00716DD5"/>
    <w:rsid w:val="00720E5C"/>
    <w:rsid w:val="00726EF7"/>
    <w:rsid w:val="007345A6"/>
    <w:rsid w:val="00740CB3"/>
    <w:rsid w:val="00742EA1"/>
    <w:rsid w:val="00744772"/>
    <w:rsid w:val="00744C9A"/>
    <w:rsid w:val="007506E6"/>
    <w:rsid w:val="00762112"/>
    <w:rsid w:val="007626C5"/>
    <w:rsid w:val="00763FC1"/>
    <w:rsid w:val="007648E0"/>
    <w:rsid w:val="00765666"/>
    <w:rsid w:val="00772791"/>
    <w:rsid w:val="0078728B"/>
    <w:rsid w:val="00790130"/>
    <w:rsid w:val="00796513"/>
    <w:rsid w:val="007A060E"/>
    <w:rsid w:val="007A0F21"/>
    <w:rsid w:val="007A3E0C"/>
    <w:rsid w:val="007A407E"/>
    <w:rsid w:val="007B1945"/>
    <w:rsid w:val="007D3976"/>
    <w:rsid w:val="007D6927"/>
    <w:rsid w:val="007E0249"/>
    <w:rsid w:val="007F3A7C"/>
    <w:rsid w:val="00802ED4"/>
    <w:rsid w:val="00804E32"/>
    <w:rsid w:val="00805892"/>
    <w:rsid w:val="008076E9"/>
    <w:rsid w:val="0081072B"/>
    <w:rsid w:val="008248D3"/>
    <w:rsid w:val="00827311"/>
    <w:rsid w:val="00834FC0"/>
    <w:rsid w:val="00835A35"/>
    <w:rsid w:val="0084339B"/>
    <w:rsid w:val="008471C9"/>
    <w:rsid w:val="008507A2"/>
    <w:rsid w:val="00855B99"/>
    <w:rsid w:val="00861273"/>
    <w:rsid w:val="00862DDF"/>
    <w:rsid w:val="00862F74"/>
    <w:rsid w:val="00865770"/>
    <w:rsid w:val="00870FFE"/>
    <w:rsid w:val="00872C95"/>
    <w:rsid w:val="00872F5F"/>
    <w:rsid w:val="0087591D"/>
    <w:rsid w:val="008764C8"/>
    <w:rsid w:val="0088020C"/>
    <w:rsid w:val="00884570"/>
    <w:rsid w:val="0088517F"/>
    <w:rsid w:val="008903DE"/>
    <w:rsid w:val="00891EEA"/>
    <w:rsid w:val="008934ED"/>
    <w:rsid w:val="008976BA"/>
    <w:rsid w:val="008A51AB"/>
    <w:rsid w:val="008A5560"/>
    <w:rsid w:val="008B4862"/>
    <w:rsid w:val="008C44B0"/>
    <w:rsid w:val="008C4725"/>
    <w:rsid w:val="008D1A8E"/>
    <w:rsid w:val="008E0D82"/>
    <w:rsid w:val="008E0FC7"/>
    <w:rsid w:val="008E116B"/>
    <w:rsid w:val="008F75E7"/>
    <w:rsid w:val="0090596C"/>
    <w:rsid w:val="009075A9"/>
    <w:rsid w:val="009179BE"/>
    <w:rsid w:val="009212B4"/>
    <w:rsid w:val="00934C5B"/>
    <w:rsid w:val="00950EA7"/>
    <w:rsid w:val="0095198B"/>
    <w:rsid w:val="00952AD1"/>
    <w:rsid w:val="00956125"/>
    <w:rsid w:val="00970211"/>
    <w:rsid w:val="009760D0"/>
    <w:rsid w:val="00977270"/>
    <w:rsid w:val="0097728F"/>
    <w:rsid w:val="009773FE"/>
    <w:rsid w:val="00984AAE"/>
    <w:rsid w:val="00985A96"/>
    <w:rsid w:val="00990776"/>
    <w:rsid w:val="0099236A"/>
    <w:rsid w:val="009A6E64"/>
    <w:rsid w:val="009C0A38"/>
    <w:rsid w:val="009C1E3E"/>
    <w:rsid w:val="009C2FF2"/>
    <w:rsid w:val="009C542C"/>
    <w:rsid w:val="009C6EFB"/>
    <w:rsid w:val="009C7454"/>
    <w:rsid w:val="009C7804"/>
    <w:rsid w:val="009D0677"/>
    <w:rsid w:val="009D0798"/>
    <w:rsid w:val="009D429E"/>
    <w:rsid w:val="009E1FB1"/>
    <w:rsid w:val="009E52C9"/>
    <w:rsid w:val="009E6C29"/>
    <w:rsid w:val="009F016F"/>
    <w:rsid w:val="009F6E01"/>
    <w:rsid w:val="009F7D84"/>
    <w:rsid w:val="00A06317"/>
    <w:rsid w:val="00A11D7F"/>
    <w:rsid w:val="00A13766"/>
    <w:rsid w:val="00A14850"/>
    <w:rsid w:val="00A237ED"/>
    <w:rsid w:val="00A23F62"/>
    <w:rsid w:val="00A31197"/>
    <w:rsid w:val="00A5114A"/>
    <w:rsid w:val="00A613A1"/>
    <w:rsid w:val="00A62C9B"/>
    <w:rsid w:val="00A649A3"/>
    <w:rsid w:val="00A7113B"/>
    <w:rsid w:val="00A75CE3"/>
    <w:rsid w:val="00A8486F"/>
    <w:rsid w:val="00A87FE5"/>
    <w:rsid w:val="00A90655"/>
    <w:rsid w:val="00A92E8B"/>
    <w:rsid w:val="00A946ED"/>
    <w:rsid w:val="00AA65D6"/>
    <w:rsid w:val="00AB613B"/>
    <w:rsid w:val="00AC17EE"/>
    <w:rsid w:val="00AC20E5"/>
    <w:rsid w:val="00AC3CBC"/>
    <w:rsid w:val="00AE290A"/>
    <w:rsid w:val="00AF1983"/>
    <w:rsid w:val="00AF4845"/>
    <w:rsid w:val="00AF76A2"/>
    <w:rsid w:val="00B114B0"/>
    <w:rsid w:val="00B1324F"/>
    <w:rsid w:val="00B13741"/>
    <w:rsid w:val="00B13B26"/>
    <w:rsid w:val="00B15817"/>
    <w:rsid w:val="00B1680D"/>
    <w:rsid w:val="00B175D2"/>
    <w:rsid w:val="00B2286E"/>
    <w:rsid w:val="00B22993"/>
    <w:rsid w:val="00B22FA7"/>
    <w:rsid w:val="00B261B2"/>
    <w:rsid w:val="00B34064"/>
    <w:rsid w:val="00B3475C"/>
    <w:rsid w:val="00B451B0"/>
    <w:rsid w:val="00B50770"/>
    <w:rsid w:val="00B50997"/>
    <w:rsid w:val="00B6345C"/>
    <w:rsid w:val="00B66196"/>
    <w:rsid w:val="00B6637D"/>
    <w:rsid w:val="00B73242"/>
    <w:rsid w:val="00B75024"/>
    <w:rsid w:val="00B760B6"/>
    <w:rsid w:val="00B77530"/>
    <w:rsid w:val="00B80E74"/>
    <w:rsid w:val="00B84813"/>
    <w:rsid w:val="00B870E2"/>
    <w:rsid w:val="00B91F5A"/>
    <w:rsid w:val="00BA02EC"/>
    <w:rsid w:val="00BA1533"/>
    <w:rsid w:val="00BA1564"/>
    <w:rsid w:val="00BA7590"/>
    <w:rsid w:val="00BB523E"/>
    <w:rsid w:val="00BB730F"/>
    <w:rsid w:val="00BB7EE1"/>
    <w:rsid w:val="00BC0E3E"/>
    <w:rsid w:val="00BC6A51"/>
    <w:rsid w:val="00BD069C"/>
    <w:rsid w:val="00BD2864"/>
    <w:rsid w:val="00BD37FF"/>
    <w:rsid w:val="00BD62C0"/>
    <w:rsid w:val="00BE0165"/>
    <w:rsid w:val="00BE368B"/>
    <w:rsid w:val="00BE4FB5"/>
    <w:rsid w:val="00BF0354"/>
    <w:rsid w:val="00BF2B89"/>
    <w:rsid w:val="00BF4094"/>
    <w:rsid w:val="00BF7EB9"/>
    <w:rsid w:val="00C03EEC"/>
    <w:rsid w:val="00C10F24"/>
    <w:rsid w:val="00C24E59"/>
    <w:rsid w:val="00C2502A"/>
    <w:rsid w:val="00C30D7D"/>
    <w:rsid w:val="00C407A8"/>
    <w:rsid w:val="00C43D74"/>
    <w:rsid w:val="00C470A2"/>
    <w:rsid w:val="00C50BAE"/>
    <w:rsid w:val="00C55BF4"/>
    <w:rsid w:val="00C61048"/>
    <w:rsid w:val="00C74532"/>
    <w:rsid w:val="00C75072"/>
    <w:rsid w:val="00C828CB"/>
    <w:rsid w:val="00C850F9"/>
    <w:rsid w:val="00C8522D"/>
    <w:rsid w:val="00C91AC1"/>
    <w:rsid w:val="00C929A0"/>
    <w:rsid w:val="00C940C7"/>
    <w:rsid w:val="00C9577E"/>
    <w:rsid w:val="00CA5FDE"/>
    <w:rsid w:val="00CA64ED"/>
    <w:rsid w:val="00CA6FFC"/>
    <w:rsid w:val="00CB24C7"/>
    <w:rsid w:val="00CB3640"/>
    <w:rsid w:val="00CC19EF"/>
    <w:rsid w:val="00CD1A9A"/>
    <w:rsid w:val="00CD4117"/>
    <w:rsid w:val="00CE2C28"/>
    <w:rsid w:val="00CE73C2"/>
    <w:rsid w:val="00CF7BE5"/>
    <w:rsid w:val="00D13823"/>
    <w:rsid w:val="00D13901"/>
    <w:rsid w:val="00D13BD1"/>
    <w:rsid w:val="00D1596C"/>
    <w:rsid w:val="00D239B7"/>
    <w:rsid w:val="00D308D8"/>
    <w:rsid w:val="00D330A7"/>
    <w:rsid w:val="00D3468F"/>
    <w:rsid w:val="00D45365"/>
    <w:rsid w:val="00D61222"/>
    <w:rsid w:val="00D6322C"/>
    <w:rsid w:val="00D65E04"/>
    <w:rsid w:val="00D85AA9"/>
    <w:rsid w:val="00D904EB"/>
    <w:rsid w:val="00D94808"/>
    <w:rsid w:val="00DA1C75"/>
    <w:rsid w:val="00DA6374"/>
    <w:rsid w:val="00DA6729"/>
    <w:rsid w:val="00DB3534"/>
    <w:rsid w:val="00DB3B77"/>
    <w:rsid w:val="00DC5CF9"/>
    <w:rsid w:val="00DC7BB1"/>
    <w:rsid w:val="00DD3447"/>
    <w:rsid w:val="00DD5810"/>
    <w:rsid w:val="00DD6816"/>
    <w:rsid w:val="00DE10AB"/>
    <w:rsid w:val="00DE2B44"/>
    <w:rsid w:val="00DE3213"/>
    <w:rsid w:val="00DF1967"/>
    <w:rsid w:val="00DF21AF"/>
    <w:rsid w:val="00DF6B90"/>
    <w:rsid w:val="00E016C0"/>
    <w:rsid w:val="00E01E0B"/>
    <w:rsid w:val="00E051EF"/>
    <w:rsid w:val="00E14DBB"/>
    <w:rsid w:val="00E211D2"/>
    <w:rsid w:val="00E21377"/>
    <w:rsid w:val="00E26625"/>
    <w:rsid w:val="00E329E8"/>
    <w:rsid w:val="00E342CA"/>
    <w:rsid w:val="00E3487B"/>
    <w:rsid w:val="00E368C3"/>
    <w:rsid w:val="00E42C6A"/>
    <w:rsid w:val="00E50734"/>
    <w:rsid w:val="00E54CF5"/>
    <w:rsid w:val="00E57522"/>
    <w:rsid w:val="00E57793"/>
    <w:rsid w:val="00E578AD"/>
    <w:rsid w:val="00E60A33"/>
    <w:rsid w:val="00E61BCD"/>
    <w:rsid w:val="00E64C5B"/>
    <w:rsid w:val="00E65739"/>
    <w:rsid w:val="00E67C78"/>
    <w:rsid w:val="00E7291B"/>
    <w:rsid w:val="00E77518"/>
    <w:rsid w:val="00E96B4A"/>
    <w:rsid w:val="00EA0865"/>
    <w:rsid w:val="00EA2ACF"/>
    <w:rsid w:val="00EA74B3"/>
    <w:rsid w:val="00EB48AE"/>
    <w:rsid w:val="00EB6957"/>
    <w:rsid w:val="00EC00F0"/>
    <w:rsid w:val="00EC42F7"/>
    <w:rsid w:val="00EE217B"/>
    <w:rsid w:val="00EE4980"/>
    <w:rsid w:val="00EF2558"/>
    <w:rsid w:val="00F029CC"/>
    <w:rsid w:val="00F02A61"/>
    <w:rsid w:val="00F0545E"/>
    <w:rsid w:val="00F0747B"/>
    <w:rsid w:val="00F11E77"/>
    <w:rsid w:val="00F15E00"/>
    <w:rsid w:val="00F16438"/>
    <w:rsid w:val="00F16D23"/>
    <w:rsid w:val="00F2421E"/>
    <w:rsid w:val="00F279E3"/>
    <w:rsid w:val="00F3121A"/>
    <w:rsid w:val="00F35247"/>
    <w:rsid w:val="00F37846"/>
    <w:rsid w:val="00F43427"/>
    <w:rsid w:val="00F43B30"/>
    <w:rsid w:val="00F508B7"/>
    <w:rsid w:val="00F51F9C"/>
    <w:rsid w:val="00F52A04"/>
    <w:rsid w:val="00F5694D"/>
    <w:rsid w:val="00F579A0"/>
    <w:rsid w:val="00F607DD"/>
    <w:rsid w:val="00F6422C"/>
    <w:rsid w:val="00F672A4"/>
    <w:rsid w:val="00F67FF5"/>
    <w:rsid w:val="00F82B24"/>
    <w:rsid w:val="00F8345D"/>
    <w:rsid w:val="00F87375"/>
    <w:rsid w:val="00F920AB"/>
    <w:rsid w:val="00F9678D"/>
    <w:rsid w:val="00FA1E51"/>
    <w:rsid w:val="00FB19BE"/>
    <w:rsid w:val="00FB20D6"/>
    <w:rsid w:val="00FB74D4"/>
    <w:rsid w:val="00FC13A8"/>
    <w:rsid w:val="00FC2BD6"/>
    <w:rsid w:val="00FC50AD"/>
    <w:rsid w:val="00FC7365"/>
    <w:rsid w:val="00FC75AC"/>
    <w:rsid w:val="00FD0600"/>
    <w:rsid w:val="00FD3423"/>
    <w:rsid w:val="00FD6CCC"/>
    <w:rsid w:val="00FE5374"/>
    <w:rsid w:val="00FE628E"/>
    <w:rsid w:val="00FE65A7"/>
    <w:rsid w:val="00FF4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E6CF6EF"/>
  <w15:docId w15:val="{3BD57837-B969-43FC-9CEA-2971495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link w:val="KopfzeileZchn"/>
    <w:uiPriority w:val="99"/>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link w:val="TextkrperZchn"/>
    <w:uiPriority w:val="1"/>
    <w:qFormat/>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paragraph" w:styleId="StandardWeb">
    <w:name w:val="Normal (Web)"/>
    <w:basedOn w:val="Standard"/>
    <w:uiPriority w:val="99"/>
    <w:semiHidden/>
    <w:unhideWhenUsed/>
    <w:rsid w:val="00772791"/>
    <w:pPr>
      <w:spacing w:before="100" w:beforeAutospacing="1" w:after="100" w:afterAutospacing="1"/>
      <w:jc w:val="left"/>
    </w:pPr>
    <w:rPr>
      <w:rFonts w:ascii="Times New Roman" w:hAnsi="Times New Roman"/>
      <w:sz w:val="24"/>
      <w:szCs w:val="24"/>
    </w:rPr>
  </w:style>
  <w:style w:type="table" w:styleId="Gitternetztabelle4Akzent6">
    <w:name w:val="Grid Table 4 Accent 6"/>
    <w:basedOn w:val="NormaleTabelle"/>
    <w:uiPriority w:val="49"/>
    <w:rsid w:val="00666AFB"/>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16B"/>
    <w:pPr>
      <w:autoSpaceDE w:val="0"/>
      <w:autoSpaceDN w:val="0"/>
      <w:adjustRightInd w:val="0"/>
    </w:pPr>
    <w:rPr>
      <w:rFonts w:ascii="EUAlbertina" w:hAnsi="EUAlbertina" w:cs="EUAlbertina"/>
      <w:color w:val="000000"/>
      <w:sz w:val="24"/>
      <w:szCs w:val="24"/>
    </w:rPr>
  </w:style>
  <w:style w:type="character" w:customStyle="1" w:styleId="TextkrperZchn">
    <w:name w:val="Textkörper Zchn"/>
    <w:basedOn w:val="Absatz-Standardschriftart"/>
    <w:link w:val="Textkrper"/>
    <w:uiPriority w:val="1"/>
    <w:rsid w:val="00C03EEC"/>
    <w:rPr>
      <w:rFonts w:ascii="Century Gothic" w:hAnsi="Century Gothic"/>
      <w:sz w:val="22"/>
    </w:rPr>
  </w:style>
  <w:style w:type="paragraph" w:customStyle="1" w:styleId="TableParagraph">
    <w:name w:val="Table Paragraph"/>
    <w:basedOn w:val="Standard"/>
    <w:uiPriority w:val="1"/>
    <w:qFormat/>
    <w:rsid w:val="00C03EEC"/>
    <w:pPr>
      <w:autoSpaceDE w:val="0"/>
      <w:autoSpaceDN w:val="0"/>
      <w:adjustRightInd w:val="0"/>
      <w:spacing w:before="0"/>
      <w:jc w:val="left"/>
    </w:pPr>
    <w:rPr>
      <w:rFonts w:ascii="Cambria" w:hAnsi="Cambria" w:cs="Cambria"/>
      <w:sz w:val="24"/>
      <w:szCs w:val="24"/>
    </w:rPr>
  </w:style>
  <w:style w:type="character" w:customStyle="1" w:styleId="KopfzeileZchn">
    <w:name w:val="Kopfzeile Zchn"/>
    <w:basedOn w:val="Absatz-Standardschriftart"/>
    <w:link w:val="Kopfzeile"/>
    <w:uiPriority w:val="99"/>
    <w:rsid w:val="0031054A"/>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57576915">
      <w:bodyDiv w:val="1"/>
      <w:marLeft w:val="0"/>
      <w:marRight w:val="0"/>
      <w:marTop w:val="0"/>
      <w:marBottom w:val="0"/>
      <w:divBdr>
        <w:top w:val="none" w:sz="0" w:space="0" w:color="auto"/>
        <w:left w:val="none" w:sz="0" w:space="0" w:color="auto"/>
        <w:bottom w:val="none" w:sz="0" w:space="0" w:color="auto"/>
        <w:right w:val="none" w:sz="0" w:space="0" w:color="auto"/>
      </w:divBdr>
      <w:divsChild>
        <w:div w:id="2056659179">
          <w:marLeft w:val="547"/>
          <w:marRight w:val="0"/>
          <w:marTop w:val="120"/>
          <w:marBottom w:val="120"/>
          <w:divBdr>
            <w:top w:val="none" w:sz="0" w:space="0" w:color="auto"/>
            <w:left w:val="none" w:sz="0" w:space="0" w:color="auto"/>
            <w:bottom w:val="none" w:sz="0" w:space="0" w:color="auto"/>
            <w:right w:val="none" w:sz="0" w:space="0" w:color="auto"/>
          </w:divBdr>
        </w:div>
        <w:div w:id="2000039636">
          <w:marLeft w:val="547"/>
          <w:marRight w:val="0"/>
          <w:marTop w:val="120"/>
          <w:marBottom w:val="120"/>
          <w:divBdr>
            <w:top w:val="none" w:sz="0" w:space="0" w:color="auto"/>
            <w:left w:val="none" w:sz="0" w:space="0" w:color="auto"/>
            <w:bottom w:val="none" w:sz="0" w:space="0" w:color="auto"/>
            <w:right w:val="none" w:sz="0" w:space="0" w:color="auto"/>
          </w:divBdr>
        </w:div>
      </w:divsChild>
    </w:div>
    <w:div w:id="193857292">
      <w:bodyDiv w:val="1"/>
      <w:marLeft w:val="0"/>
      <w:marRight w:val="0"/>
      <w:marTop w:val="0"/>
      <w:marBottom w:val="0"/>
      <w:divBdr>
        <w:top w:val="none" w:sz="0" w:space="0" w:color="auto"/>
        <w:left w:val="none" w:sz="0" w:space="0" w:color="auto"/>
        <w:bottom w:val="none" w:sz="0" w:space="0" w:color="auto"/>
        <w:right w:val="none" w:sz="0" w:space="0" w:color="auto"/>
      </w:divBdr>
    </w:div>
    <w:div w:id="277689806">
      <w:bodyDiv w:val="1"/>
      <w:marLeft w:val="0"/>
      <w:marRight w:val="0"/>
      <w:marTop w:val="0"/>
      <w:marBottom w:val="0"/>
      <w:divBdr>
        <w:top w:val="none" w:sz="0" w:space="0" w:color="auto"/>
        <w:left w:val="none" w:sz="0" w:space="0" w:color="auto"/>
        <w:bottom w:val="none" w:sz="0" w:space="0" w:color="auto"/>
        <w:right w:val="none" w:sz="0" w:space="0" w:color="auto"/>
      </w:divBdr>
    </w:div>
    <w:div w:id="310525376">
      <w:bodyDiv w:val="1"/>
      <w:marLeft w:val="0"/>
      <w:marRight w:val="0"/>
      <w:marTop w:val="0"/>
      <w:marBottom w:val="0"/>
      <w:divBdr>
        <w:top w:val="none" w:sz="0" w:space="0" w:color="auto"/>
        <w:left w:val="none" w:sz="0" w:space="0" w:color="auto"/>
        <w:bottom w:val="none" w:sz="0" w:space="0" w:color="auto"/>
        <w:right w:val="none" w:sz="0" w:space="0" w:color="auto"/>
      </w:divBdr>
    </w:div>
    <w:div w:id="383604630">
      <w:bodyDiv w:val="1"/>
      <w:marLeft w:val="0"/>
      <w:marRight w:val="0"/>
      <w:marTop w:val="0"/>
      <w:marBottom w:val="0"/>
      <w:divBdr>
        <w:top w:val="none" w:sz="0" w:space="0" w:color="auto"/>
        <w:left w:val="none" w:sz="0" w:space="0" w:color="auto"/>
        <w:bottom w:val="none" w:sz="0" w:space="0" w:color="auto"/>
        <w:right w:val="none" w:sz="0" w:space="0" w:color="auto"/>
      </w:divBdr>
    </w:div>
    <w:div w:id="385373645">
      <w:bodyDiv w:val="1"/>
      <w:marLeft w:val="0"/>
      <w:marRight w:val="0"/>
      <w:marTop w:val="0"/>
      <w:marBottom w:val="0"/>
      <w:divBdr>
        <w:top w:val="none" w:sz="0" w:space="0" w:color="auto"/>
        <w:left w:val="none" w:sz="0" w:space="0" w:color="auto"/>
        <w:bottom w:val="none" w:sz="0" w:space="0" w:color="auto"/>
        <w:right w:val="none" w:sz="0" w:space="0" w:color="auto"/>
      </w:divBdr>
      <w:divsChild>
        <w:div w:id="674890893">
          <w:marLeft w:val="547"/>
          <w:marRight w:val="0"/>
          <w:marTop w:val="120"/>
          <w:marBottom w:val="120"/>
          <w:divBdr>
            <w:top w:val="none" w:sz="0" w:space="0" w:color="auto"/>
            <w:left w:val="none" w:sz="0" w:space="0" w:color="auto"/>
            <w:bottom w:val="none" w:sz="0" w:space="0" w:color="auto"/>
            <w:right w:val="none" w:sz="0" w:space="0" w:color="auto"/>
          </w:divBdr>
        </w:div>
      </w:divsChild>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509418341">
      <w:bodyDiv w:val="1"/>
      <w:marLeft w:val="0"/>
      <w:marRight w:val="0"/>
      <w:marTop w:val="0"/>
      <w:marBottom w:val="0"/>
      <w:divBdr>
        <w:top w:val="none" w:sz="0" w:space="0" w:color="auto"/>
        <w:left w:val="none" w:sz="0" w:space="0" w:color="auto"/>
        <w:bottom w:val="none" w:sz="0" w:space="0" w:color="auto"/>
        <w:right w:val="none" w:sz="0" w:space="0" w:color="auto"/>
      </w:divBdr>
    </w:div>
    <w:div w:id="561986683">
      <w:bodyDiv w:val="1"/>
      <w:marLeft w:val="0"/>
      <w:marRight w:val="0"/>
      <w:marTop w:val="0"/>
      <w:marBottom w:val="0"/>
      <w:divBdr>
        <w:top w:val="none" w:sz="0" w:space="0" w:color="auto"/>
        <w:left w:val="none" w:sz="0" w:space="0" w:color="auto"/>
        <w:bottom w:val="none" w:sz="0" w:space="0" w:color="auto"/>
        <w:right w:val="none" w:sz="0" w:space="0" w:color="auto"/>
      </w:divBdr>
    </w:div>
    <w:div w:id="582840497">
      <w:bodyDiv w:val="1"/>
      <w:marLeft w:val="0"/>
      <w:marRight w:val="0"/>
      <w:marTop w:val="0"/>
      <w:marBottom w:val="0"/>
      <w:divBdr>
        <w:top w:val="none" w:sz="0" w:space="0" w:color="auto"/>
        <w:left w:val="none" w:sz="0" w:space="0" w:color="auto"/>
        <w:bottom w:val="none" w:sz="0" w:space="0" w:color="auto"/>
        <w:right w:val="none" w:sz="0" w:space="0" w:color="auto"/>
      </w:divBdr>
    </w:div>
    <w:div w:id="626280626">
      <w:bodyDiv w:val="1"/>
      <w:marLeft w:val="0"/>
      <w:marRight w:val="0"/>
      <w:marTop w:val="0"/>
      <w:marBottom w:val="0"/>
      <w:divBdr>
        <w:top w:val="none" w:sz="0" w:space="0" w:color="auto"/>
        <w:left w:val="none" w:sz="0" w:space="0" w:color="auto"/>
        <w:bottom w:val="none" w:sz="0" w:space="0" w:color="auto"/>
        <w:right w:val="none" w:sz="0" w:space="0" w:color="auto"/>
      </w:divBdr>
    </w:div>
    <w:div w:id="632519784">
      <w:bodyDiv w:val="1"/>
      <w:marLeft w:val="0"/>
      <w:marRight w:val="0"/>
      <w:marTop w:val="0"/>
      <w:marBottom w:val="0"/>
      <w:divBdr>
        <w:top w:val="none" w:sz="0" w:space="0" w:color="auto"/>
        <w:left w:val="none" w:sz="0" w:space="0" w:color="auto"/>
        <w:bottom w:val="none" w:sz="0" w:space="0" w:color="auto"/>
        <w:right w:val="none" w:sz="0" w:space="0" w:color="auto"/>
      </w:divBdr>
    </w:div>
    <w:div w:id="635572108">
      <w:bodyDiv w:val="1"/>
      <w:marLeft w:val="0"/>
      <w:marRight w:val="0"/>
      <w:marTop w:val="0"/>
      <w:marBottom w:val="0"/>
      <w:divBdr>
        <w:top w:val="none" w:sz="0" w:space="0" w:color="auto"/>
        <w:left w:val="none" w:sz="0" w:space="0" w:color="auto"/>
        <w:bottom w:val="none" w:sz="0" w:space="0" w:color="auto"/>
        <w:right w:val="none" w:sz="0" w:space="0" w:color="auto"/>
      </w:divBdr>
    </w:div>
    <w:div w:id="647563397">
      <w:bodyDiv w:val="1"/>
      <w:marLeft w:val="0"/>
      <w:marRight w:val="0"/>
      <w:marTop w:val="0"/>
      <w:marBottom w:val="0"/>
      <w:divBdr>
        <w:top w:val="none" w:sz="0" w:space="0" w:color="auto"/>
        <w:left w:val="none" w:sz="0" w:space="0" w:color="auto"/>
        <w:bottom w:val="none" w:sz="0" w:space="0" w:color="auto"/>
        <w:right w:val="none" w:sz="0" w:space="0" w:color="auto"/>
      </w:divBdr>
    </w:div>
    <w:div w:id="720908529">
      <w:bodyDiv w:val="1"/>
      <w:marLeft w:val="0"/>
      <w:marRight w:val="0"/>
      <w:marTop w:val="0"/>
      <w:marBottom w:val="0"/>
      <w:divBdr>
        <w:top w:val="none" w:sz="0" w:space="0" w:color="auto"/>
        <w:left w:val="none" w:sz="0" w:space="0" w:color="auto"/>
        <w:bottom w:val="none" w:sz="0" w:space="0" w:color="auto"/>
        <w:right w:val="none" w:sz="0" w:space="0" w:color="auto"/>
      </w:divBdr>
    </w:div>
    <w:div w:id="753861612">
      <w:bodyDiv w:val="1"/>
      <w:marLeft w:val="0"/>
      <w:marRight w:val="0"/>
      <w:marTop w:val="0"/>
      <w:marBottom w:val="0"/>
      <w:divBdr>
        <w:top w:val="none" w:sz="0" w:space="0" w:color="auto"/>
        <w:left w:val="none" w:sz="0" w:space="0" w:color="auto"/>
        <w:bottom w:val="none" w:sz="0" w:space="0" w:color="auto"/>
        <w:right w:val="none" w:sz="0" w:space="0" w:color="auto"/>
      </w:divBdr>
    </w:div>
    <w:div w:id="778837890">
      <w:bodyDiv w:val="1"/>
      <w:marLeft w:val="0"/>
      <w:marRight w:val="0"/>
      <w:marTop w:val="0"/>
      <w:marBottom w:val="0"/>
      <w:divBdr>
        <w:top w:val="none" w:sz="0" w:space="0" w:color="auto"/>
        <w:left w:val="none" w:sz="0" w:space="0" w:color="auto"/>
        <w:bottom w:val="none" w:sz="0" w:space="0" w:color="auto"/>
        <w:right w:val="none" w:sz="0" w:space="0" w:color="auto"/>
      </w:divBdr>
    </w:div>
    <w:div w:id="854269504">
      <w:bodyDiv w:val="1"/>
      <w:marLeft w:val="0"/>
      <w:marRight w:val="0"/>
      <w:marTop w:val="0"/>
      <w:marBottom w:val="0"/>
      <w:divBdr>
        <w:top w:val="none" w:sz="0" w:space="0" w:color="auto"/>
        <w:left w:val="none" w:sz="0" w:space="0" w:color="auto"/>
        <w:bottom w:val="none" w:sz="0" w:space="0" w:color="auto"/>
        <w:right w:val="none" w:sz="0" w:space="0" w:color="auto"/>
      </w:divBdr>
      <w:divsChild>
        <w:div w:id="680820665">
          <w:marLeft w:val="446"/>
          <w:marRight w:val="0"/>
          <w:marTop w:val="120"/>
          <w:marBottom w:val="120"/>
          <w:divBdr>
            <w:top w:val="none" w:sz="0" w:space="0" w:color="auto"/>
            <w:left w:val="none" w:sz="0" w:space="0" w:color="auto"/>
            <w:bottom w:val="none" w:sz="0" w:space="0" w:color="auto"/>
            <w:right w:val="none" w:sz="0" w:space="0" w:color="auto"/>
          </w:divBdr>
        </w:div>
        <w:div w:id="2104950959">
          <w:marLeft w:val="446"/>
          <w:marRight w:val="0"/>
          <w:marTop w:val="120"/>
          <w:marBottom w:val="120"/>
          <w:divBdr>
            <w:top w:val="none" w:sz="0" w:space="0" w:color="auto"/>
            <w:left w:val="none" w:sz="0" w:space="0" w:color="auto"/>
            <w:bottom w:val="none" w:sz="0" w:space="0" w:color="auto"/>
            <w:right w:val="none" w:sz="0" w:space="0" w:color="auto"/>
          </w:divBdr>
        </w:div>
        <w:div w:id="1561214238">
          <w:marLeft w:val="446"/>
          <w:marRight w:val="0"/>
          <w:marTop w:val="120"/>
          <w:marBottom w:val="120"/>
          <w:divBdr>
            <w:top w:val="none" w:sz="0" w:space="0" w:color="auto"/>
            <w:left w:val="none" w:sz="0" w:space="0" w:color="auto"/>
            <w:bottom w:val="none" w:sz="0" w:space="0" w:color="auto"/>
            <w:right w:val="none" w:sz="0" w:space="0" w:color="auto"/>
          </w:divBdr>
        </w:div>
      </w:divsChild>
    </w:div>
    <w:div w:id="866218287">
      <w:bodyDiv w:val="1"/>
      <w:marLeft w:val="0"/>
      <w:marRight w:val="0"/>
      <w:marTop w:val="0"/>
      <w:marBottom w:val="0"/>
      <w:divBdr>
        <w:top w:val="none" w:sz="0" w:space="0" w:color="auto"/>
        <w:left w:val="none" w:sz="0" w:space="0" w:color="auto"/>
        <w:bottom w:val="none" w:sz="0" w:space="0" w:color="auto"/>
        <w:right w:val="none" w:sz="0" w:space="0" w:color="auto"/>
      </w:divBdr>
      <w:divsChild>
        <w:div w:id="143468328">
          <w:marLeft w:val="547"/>
          <w:marRight w:val="0"/>
          <w:marTop w:val="120"/>
          <w:marBottom w:val="120"/>
          <w:divBdr>
            <w:top w:val="none" w:sz="0" w:space="0" w:color="auto"/>
            <w:left w:val="none" w:sz="0" w:space="0" w:color="auto"/>
            <w:bottom w:val="none" w:sz="0" w:space="0" w:color="auto"/>
            <w:right w:val="none" w:sz="0" w:space="0" w:color="auto"/>
          </w:divBdr>
        </w:div>
      </w:divsChild>
    </w:div>
    <w:div w:id="878054453">
      <w:bodyDiv w:val="1"/>
      <w:marLeft w:val="0"/>
      <w:marRight w:val="0"/>
      <w:marTop w:val="0"/>
      <w:marBottom w:val="0"/>
      <w:divBdr>
        <w:top w:val="none" w:sz="0" w:space="0" w:color="auto"/>
        <w:left w:val="none" w:sz="0" w:space="0" w:color="auto"/>
        <w:bottom w:val="none" w:sz="0" w:space="0" w:color="auto"/>
        <w:right w:val="none" w:sz="0" w:space="0" w:color="auto"/>
      </w:divBdr>
      <w:divsChild>
        <w:div w:id="48574219">
          <w:marLeft w:val="547"/>
          <w:marRight w:val="0"/>
          <w:marTop w:val="120"/>
          <w:marBottom w:val="120"/>
          <w:divBdr>
            <w:top w:val="none" w:sz="0" w:space="0" w:color="auto"/>
            <w:left w:val="none" w:sz="0" w:space="0" w:color="auto"/>
            <w:bottom w:val="none" w:sz="0" w:space="0" w:color="auto"/>
            <w:right w:val="none" w:sz="0" w:space="0" w:color="auto"/>
          </w:divBdr>
        </w:div>
        <w:div w:id="498421721">
          <w:marLeft w:val="547"/>
          <w:marRight w:val="0"/>
          <w:marTop w:val="120"/>
          <w:marBottom w:val="120"/>
          <w:divBdr>
            <w:top w:val="none" w:sz="0" w:space="0" w:color="auto"/>
            <w:left w:val="none" w:sz="0" w:space="0" w:color="auto"/>
            <w:bottom w:val="none" w:sz="0" w:space="0" w:color="auto"/>
            <w:right w:val="none" w:sz="0" w:space="0" w:color="auto"/>
          </w:divBdr>
        </w:div>
        <w:div w:id="1069496819">
          <w:marLeft w:val="547"/>
          <w:marRight w:val="0"/>
          <w:marTop w:val="120"/>
          <w:marBottom w:val="120"/>
          <w:divBdr>
            <w:top w:val="none" w:sz="0" w:space="0" w:color="auto"/>
            <w:left w:val="none" w:sz="0" w:space="0" w:color="auto"/>
            <w:bottom w:val="none" w:sz="0" w:space="0" w:color="auto"/>
            <w:right w:val="none" w:sz="0" w:space="0" w:color="auto"/>
          </w:divBdr>
        </w:div>
      </w:divsChild>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108814218">
      <w:bodyDiv w:val="1"/>
      <w:marLeft w:val="0"/>
      <w:marRight w:val="0"/>
      <w:marTop w:val="0"/>
      <w:marBottom w:val="0"/>
      <w:divBdr>
        <w:top w:val="none" w:sz="0" w:space="0" w:color="auto"/>
        <w:left w:val="none" w:sz="0" w:space="0" w:color="auto"/>
        <w:bottom w:val="none" w:sz="0" w:space="0" w:color="auto"/>
        <w:right w:val="none" w:sz="0" w:space="0" w:color="auto"/>
      </w:divBdr>
    </w:div>
    <w:div w:id="1156802477">
      <w:bodyDiv w:val="1"/>
      <w:marLeft w:val="0"/>
      <w:marRight w:val="0"/>
      <w:marTop w:val="0"/>
      <w:marBottom w:val="0"/>
      <w:divBdr>
        <w:top w:val="none" w:sz="0" w:space="0" w:color="auto"/>
        <w:left w:val="none" w:sz="0" w:space="0" w:color="auto"/>
        <w:bottom w:val="none" w:sz="0" w:space="0" w:color="auto"/>
        <w:right w:val="none" w:sz="0" w:space="0" w:color="auto"/>
      </w:divBdr>
    </w:div>
    <w:div w:id="1187478410">
      <w:bodyDiv w:val="1"/>
      <w:marLeft w:val="0"/>
      <w:marRight w:val="0"/>
      <w:marTop w:val="0"/>
      <w:marBottom w:val="0"/>
      <w:divBdr>
        <w:top w:val="none" w:sz="0" w:space="0" w:color="auto"/>
        <w:left w:val="none" w:sz="0" w:space="0" w:color="auto"/>
        <w:bottom w:val="none" w:sz="0" w:space="0" w:color="auto"/>
        <w:right w:val="none" w:sz="0" w:space="0" w:color="auto"/>
      </w:divBdr>
    </w:div>
    <w:div w:id="1251618758">
      <w:bodyDiv w:val="1"/>
      <w:marLeft w:val="0"/>
      <w:marRight w:val="0"/>
      <w:marTop w:val="0"/>
      <w:marBottom w:val="0"/>
      <w:divBdr>
        <w:top w:val="none" w:sz="0" w:space="0" w:color="auto"/>
        <w:left w:val="none" w:sz="0" w:space="0" w:color="auto"/>
        <w:bottom w:val="none" w:sz="0" w:space="0" w:color="auto"/>
        <w:right w:val="none" w:sz="0" w:space="0" w:color="auto"/>
      </w:divBdr>
      <w:divsChild>
        <w:div w:id="1144852883">
          <w:marLeft w:val="1008"/>
          <w:marRight w:val="0"/>
          <w:marTop w:val="0"/>
          <w:marBottom w:val="0"/>
          <w:divBdr>
            <w:top w:val="none" w:sz="0" w:space="0" w:color="auto"/>
            <w:left w:val="none" w:sz="0" w:space="0" w:color="auto"/>
            <w:bottom w:val="none" w:sz="0" w:space="0" w:color="auto"/>
            <w:right w:val="none" w:sz="0" w:space="0" w:color="auto"/>
          </w:divBdr>
        </w:div>
        <w:div w:id="1360468365">
          <w:marLeft w:val="1008"/>
          <w:marRight w:val="0"/>
          <w:marTop w:val="0"/>
          <w:marBottom w:val="0"/>
          <w:divBdr>
            <w:top w:val="none" w:sz="0" w:space="0" w:color="auto"/>
            <w:left w:val="none" w:sz="0" w:space="0" w:color="auto"/>
            <w:bottom w:val="none" w:sz="0" w:space="0" w:color="auto"/>
            <w:right w:val="none" w:sz="0" w:space="0" w:color="auto"/>
          </w:divBdr>
        </w:div>
      </w:divsChild>
    </w:div>
    <w:div w:id="1252085741">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389189034">
      <w:bodyDiv w:val="1"/>
      <w:marLeft w:val="0"/>
      <w:marRight w:val="0"/>
      <w:marTop w:val="0"/>
      <w:marBottom w:val="0"/>
      <w:divBdr>
        <w:top w:val="none" w:sz="0" w:space="0" w:color="auto"/>
        <w:left w:val="none" w:sz="0" w:space="0" w:color="auto"/>
        <w:bottom w:val="none" w:sz="0" w:space="0" w:color="auto"/>
        <w:right w:val="none" w:sz="0" w:space="0" w:color="auto"/>
      </w:divBdr>
      <w:divsChild>
        <w:div w:id="1622028497">
          <w:marLeft w:val="547"/>
          <w:marRight w:val="0"/>
          <w:marTop w:val="120"/>
          <w:marBottom w:val="120"/>
          <w:divBdr>
            <w:top w:val="none" w:sz="0" w:space="0" w:color="auto"/>
            <w:left w:val="none" w:sz="0" w:space="0" w:color="auto"/>
            <w:bottom w:val="none" w:sz="0" w:space="0" w:color="auto"/>
            <w:right w:val="none" w:sz="0" w:space="0" w:color="auto"/>
          </w:divBdr>
        </w:div>
        <w:div w:id="624116817">
          <w:marLeft w:val="547"/>
          <w:marRight w:val="0"/>
          <w:marTop w:val="120"/>
          <w:marBottom w:val="120"/>
          <w:divBdr>
            <w:top w:val="none" w:sz="0" w:space="0" w:color="auto"/>
            <w:left w:val="none" w:sz="0" w:space="0" w:color="auto"/>
            <w:bottom w:val="none" w:sz="0" w:space="0" w:color="auto"/>
            <w:right w:val="none" w:sz="0" w:space="0" w:color="auto"/>
          </w:divBdr>
        </w:div>
        <w:div w:id="709496798">
          <w:marLeft w:val="547"/>
          <w:marRight w:val="0"/>
          <w:marTop w:val="120"/>
          <w:marBottom w:val="120"/>
          <w:divBdr>
            <w:top w:val="none" w:sz="0" w:space="0" w:color="auto"/>
            <w:left w:val="none" w:sz="0" w:space="0" w:color="auto"/>
            <w:bottom w:val="none" w:sz="0" w:space="0" w:color="auto"/>
            <w:right w:val="none" w:sz="0" w:space="0" w:color="auto"/>
          </w:divBdr>
        </w:div>
      </w:divsChild>
    </w:div>
    <w:div w:id="1428379387">
      <w:bodyDiv w:val="1"/>
      <w:marLeft w:val="0"/>
      <w:marRight w:val="0"/>
      <w:marTop w:val="0"/>
      <w:marBottom w:val="0"/>
      <w:divBdr>
        <w:top w:val="none" w:sz="0" w:space="0" w:color="auto"/>
        <w:left w:val="none" w:sz="0" w:space="0" w:color="auto"/>
        <w:bottom w:val="none" w:sz="0" w:space="0" w:color="auto"/>
        <w:right w:val="none" w:sz="0" w:space="0" w:color="auto"/>
      </w:divBdr>
    </w:div>
    <w:div w:id="1508786317">
      <w:bodyDiv w:val="1"/>
      <w:marLeft w:val="0"/>
      <w:marRight w:val="0"/>
      <w:marTop w:val="0"/>
      <w:marBottom w:val="0"/>
      <w:divBdr>
        <w:top w:val="none" w:sz="0" w:space="0" w:color="auto"/>
        <w:left w:val="none" w:sz="0" w:space="0" w:color="auto"/>
        <w:bottom w:val="none" w:sz="0" w:space="0" w:color="auto"/>
        <w:right w:val="none" w:sz="0" w:space="0" w:color="auto"/>
      </w:divBdr>
    </w:div>
    <w:div w:id="1525635538">
      <w:bodyDiv w:val="1"/>
      <w:marLeft w:val="0"/>
      <w:marRight w:val="0"/>
      <w:marTop w:val="0"/>
      <w:marBottom w:val="0"/>
      <w:divBdr>
        <w:top w:val="none" w:sz="0" w:space="0" w:color="auto"/>
        <w:left w:val="none" w:sz="0" w:space="0" w:color="auto"/>
        <w:bottom w:val="none" w:sz="0" w:space="0" w:color="auto"/>
        <w:right w:val="none" w:sz="0" w:space="0" w:color="auto"/>
      </w:divBdr>
      <w:divsChild>
        <w:div w:id="1587570832">
          <w:marLeft w:val="547"/>
          <w:marRight w:val="0"/>
          <w:marTop w:val="120"/>
          <w:marBottom w:val="120"/>
          <w:divBdr>
            <w:top w:val="none" w:sz="0" w:space="0" w:color="auto"/>
            <w:left w:val="none" w:sz="0" w:space="0" w:color="auto"/>
            <w:bottom w:val="none" w:sz="0" w:space="0" w:color="auto"/>
            <w:right w:val="none" w:sz="0" w:space="0" w:color="auto"/>
          </w:divBdr>
        </w:div>
        <w:div w:id="583995540">
          <w:marLeft w:val="547"/>
          <w:marRight w:val="0"/>
          <w:marTop w:val="120"/>
          <w:marBottom w:val="120"/>
          <w:divBdr>
            <w:top w:val="none" w:sz="0" w:space="0" w:color="auto"/>
            <w:left w:val="none" w:sz="0" w:space="0" w:color="auto"/>
            <w:bottom w:val="none" w:sz="0" w:space="0" w:color="auto"/>
            <w:right w:val="none" w:sz="0" w:space="0" w:color="auto"/>
          </w:divBdr>
        </w:div>
        <w:div w:id="1476145681">
          <w:marLeft w:val="547"/>
          <w:marRight w:val="0"/>
          <w:marTop w:val="120"/>
          <w:marBottom w:val="120"/>
          <w:divBdr>
            <w:top w:val="none" w:sz="0" w:space="0" w:color="auto"/>
            <w:left w:val="none" w:sz="0" w:space="0" w:color="auto"/>
            <w:bottom w:val="none" w:sz="0" w:space="0" w:color="auto"/>
            <w:right w:val="none" w:sz="0" w:space="0" w:color="auto"/>
          </w:divBdr>
        </w:div>
      </w:divsChild>
    </w:div>
    <w:div w:id="1608779796">
      <w:bodyDiv w:val="1"/>
      <w:marLeft w:val="0"/>
      <w:marRight w:val="0"/>
      <w:marTop w:val="0"/>
      <w:marBottom w:val="0"/>
      <w:divBdr>
        <w:top w:val="none" w:sz="0" w:space="0" w:color="auto"/>
        <w:left w:val="none" w:sz="0" w:space="0" w:color="auto"/>
        <w:bottom w:val="none" w:sz="0" w:space="0" w:color="auto"/>
        <w:right w:val="none" w:sz="0" w:space="0" w:color="auto"/>
      </w:divBdr>
    </w:div>
    <w:div w:id="1620799852">
      <w:bodyDiv w:val="1"/>
      <w:marLeft w:val="0"/>
      <w:marRight w:val="0"/>
      <w:marTop w:val="0"/>
      <w:marBottom w:val="0"/>
      <w:divBdr>
        <w:top w:val="none" w:sz="0" w:space="0" w:color="auto"/>
        <w:left w:val="none" w:sz="0" w:space="0" w:color="auto"/>
        <w:bottom w:val="none" w:sz="0" w:space="0" w:color="auto"/>
        <w:right w:val="none" w:sz="0" w:space="0" w:color="auto"/>
      </w:divBdr>
    </w:div>
    <w:div w:id="1667972912">
      <w:bodyDiv w:val="1"/>
      <w:marLeft w:val="0"/>
      <w:marRight w:val="0"/>
      <w:marTop w:val="0"/>
      <w:marBottom w:val="0"/>
      <w:divBdr>
        <w:top w:val="none" w:sz="0" w:space="0" w:color="auto"/>
        <w:left w:val="none" w:sz="0" w:space="0" w:color="auto"/>
        <w:bottom w:val="none" w:sz="0" w:space="0" w:color="auto"/>
        <w:right w:val="none" w:sz="0" w:space="0" w:color="auto"/>
      </w:divBdr>
    </w:div>
    <w:div w:id="1670596374">
      <w:bodyDiv w:val="1"/>
      <w:marLeft w:val="0"/>
      <w:marRight w:val="0"/>
      <w:marTop w:val="0"/>
      <w:marBottom w:val="0"/>
      <w:divBdr>
        <w:top w:val="none" w:sz="0" w:space="0" w:color="auto"/>
        <w:left w:val="none" w:sz="0" w:space="0" w:color="auto"/>
        <w:bottom w:val="none" w:sz="0" w:space="0" w:color="auto"/>
        <w:right w:val="none" w:sz="0" w:space="0" w:color="auto"/>
      </w:divBdr>
    </w:div>
    <w:div w:id="1679038461">
      <w:bodyDiv w:val="1"/>
      <w:marLeft w:val="0"/>
      <w:marRight w:val="0"/>
      <w:marTop w:val="0"/>
      <w:marBottom w:val="0"/>
      <w:divBdr>
        <w:top w:val="none" w:sz="0" w:space="0" w:color="auto"/>
        <w:left w:val="none" w:sz="0" w:space="0" w:color="auto"/>
        <w:bottom w:val="none" w:sz="0" w:space="0" w:color="auto"/>
        <w:right w:val="none" w:sz="0" w:space="0" w:color="auto"/>
      </w:divBdr>
    </w:div>
    <w:div w:id="1686322693">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75398459">
      <w:bodyDiv w:val="1"/>
      <w:marLeft w:val="0"/>
      <w:marRight w:val="0"/>
      <w:marTop w:val="0"/>
      <w:marBottom w:val="0"/>
      <w:divBdr>
        <w:top w:val="none" w:sz="0" w:space="0" w:color="auto"/>
        <w:left w:val="none" w:sz="0" w:space="0" w:color="auto"/>
        <w:bottom w:val="none" w:sz="0" w:space="0" w:color="auto"/>
        <w:right w:val="none" w:sz="0" w:space="0" w:color="auto"/>
      </w:divBdr>
    </w:div>
    <w:div w:id="1847553823">
      <w:bodyDiv w:val="1"/>
      <w:marLeft w:val="0"/>
      <w:marRight w:val="0"/>
      <w:marTop w:val="0"/>
      <w:marBottom w:val="0"/>
      <w:divBdr>
        <w:top w:val="none" w:sz="0" w:space="0" w:color="auto"/>
        <w:left w:val="none" w:sz="0" w:space="0" w:color="auto"/>
        <w:bottom w:val="none" w:sz="0" w:space="0" w:color="auto"/>
        <w:right w:val="none" w:sz="0" w:space="0" w:color="auto"/>
      </w:divBdr>
    </w:div>
    <w:div w:id="1854416320">
      <w:bodyDiv w:val="1"/>
      <w:marLeft w:val="0"/>
      <w:marRight w:val="0"/>
      <w:marTop w:val="0"/>
      <w:marBottom w:val="0"/>
      <w:divBdr>
        <w:top w:val="none" w:sz="0" w:space="0" w:color="auto"/>
        <w:left w:val="none" w:sz="0" w:space="0" w:color="auto"/>
        <w:bottom w:val="none" w:sz="0" w:space="0" w:color="auto"/>
        <w:right w:val="none" w:sz="0" w:space="0" w:color="auto"/>
      </w:divBdr>
    </w:div>
    <w:div w:id="1884753020">
      <w:bodyDiv w:val="1"/>
      <w:marLeft w:val="0"/>
      <w:marRight w:val="0"/>
      <w:marTop w:val="0"/>
      <w:marBottom w:val="0"/>
      <w:divBdr>
        <w:top w:val="none" w:sz="0" w:space="0" w:color="auto"/>
        <w:left w:val="none" w:sz="0" w:space="0" w:color="auto"/>
        <w:bottom w:val="none" w:sz="0" w:space="0" w:color="auto"/>
        <w:right w:val="none" w:sz="0" w:space="0" w:color="auto"/>
      </w:divBdr>
    </w:div>
    <w:div w:id="1889295408">
      <w:bodyDiv w:val="1"/>
      <w:marLeft w:val="0"/>
      <w:marRight w:val="0"/>
      <w:marTop w:val="0"/>
      <w:marBottom w:val="0"/>
      <w:divBdr>
        <w:top w:val="none" w:sz="0" w:space="0" w:color="auto"/>
        <w:left w:val="none" w:sz="0" w:space="0" w:color="auto"/>
        <w:bottom w:val="none" w:sz="0" w:space="0" w:color="auto"/>
        <w:right w:val="none" w:sz="0" w:space="0" w:color="auto"/>
      </w:divBdr>
      <w:divsChild>
        <w:div w:id="105587367">
          <w:marLeft w:val="547"/>
          <w:marRight w:val="0"/>
          <w:marTop w:val="120"/>
          <w:marBottom w:val="120"/>
          <w:divBdr>
            <w:top w:val="none" w:sz="0" w:space="0" w:color="auto"/>
            <w:left w:val="none" w:sz="0" w:space="0" w:color="auto"/>
            <w:bottom w:val="none" w:sz="0" w:space="0" w:color="auto"/>
            <w:right w:val="none" w:sz="0" w:space="0" w:color="auto"/>
          </w:divBdr>
        </w:div>
        <w:div w:id="1645618355">
          <w:marLeft w:val="547"/>
          <w:marRight w:val="0"/>
          <w:marTop w:val="120"/>
          <w:marBottom w:val="120"/>
          <w:divBdr>
            <w:top w:val="none" w:sz="0" w:space="0" w:color="auto"/>
            <w:left w:val="none" w:sz="0" w:space="0" w:color="auto"/>
            <w:bottom w:val="none" w:sz="0" w:space="0" w:color="auto"/>
            <w:right w:val="none" w:sz="0" w:space="0" w:color="auto"/>
          </w:divBdr>
        </w:div>
      </w:divsChild>
    </w:div>
    <w:div w:id="1905984878">
      <w:bodyDiv w:val="1"/>
      <w:marLeft w:val="0"/>
      <w:marRight w:val="0"/>
      <w:marTop w:val="0"/>
      <w:marBottom w:val="0"/>
      <w:divBdr>
        <w:top w:val="none" w:sz="0" w:space="0" w:color="auto"/>
        <w:left w:val="none" w:sz="0" w:space="0" w:color="auto"/>
        <w:bottom w:val="none" w:sz="0" w:space="0" w:color="auto"/>
        <w:right w:val="none" w:sz="0" w:space="0" w:color="auto"/>
      </w:divBdr>
    </w:div>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214">
      <w:bodyDiv w:val="1"/>
      <w:marLeft w:val="0"/>
      <w:marRight w:val="0"/>
      <w:marTop w:val="0"/>
      <w:marBottom w:val="0"/>
      <w:divBdr>
        <w:top w:val="none" w:sz="0" w:space="0" w:color="auto"/>
        <w:left w:val="none" w:sz="0" w:space="0" w:color="auto"/>
        <w:bottom w:val="none" w:sz="0" w:space="0" w:color="auto"/>
        <w:right w:val="none" w:sz="0" w:space="0" w:color="auto"/>
      </w:divBdr>
    </w:div>
    <w:div w:id="1959488113">
      <w:bodyDiv w:val="1"/>
      <w:marLeft w:val="0"/>
      <w:marRight w:val="0"/>
      <w:marTop w:val="0"/>
      <w:marBottom w:val="0"/>
      <w:divBdr>
        <w:top w:val="none" w:sz="0" w:space="0" w:color="auto"/>
        <w:left w:val="none" w:sz="0" w:space="0" w:color="auto"/>
        <w:bottom w:val="none" w:sz="0" w:space="0" w:color="auto"/>
        <w:right w:val="none" w:sz="0" w:space="0" w:color="auto"/>
      </w:divBdr>
    </w:div>
    <w:div w:id="1972907198">
      <w:bodyDiv w:val="1"/>
      <w:marLeft w:val="0"/>
      <w:marRight w:val="0"/>
      <w:marTop w:val="0"/>
      <w:marBottom w:val="0"/>
      <w:divBdr>
        <w:top w:val="none" w:sz="0" w:space="0" w:color="auto"/>
        <w:left w:val="none" w:sz="0" w:space="0" w:color="auto"/>
        <w:bottom w:val="none" w:sz="0" w:space="0" w:color="auto"/>
        <w:right w:val="none" w:sz="0" w:space="0" w:color="auto"/>
      </w:divBdr>
    </w:div>
    <w:div w:id="2133666194">
      <w:bodyDiv w:val="1"/>
      <w:marLeft w:val="0"/>
      <w:marRight w:val="0"/>
      <w:marTop w:val="0"/>
      <w:marBottom w:val="0"/>
      <w:divBdr>
        <w:top w:val="none" w:sz="0" w:space="0" w:color="auto"/>
        <w:left w:val="none" w:sz="0" w:space="0" w:color="auto"/>
        <w:bottom w:val="none" w:sz="0" w:space="0" w:color="auto"/>
        <w:right w:val="none" w:sz="0" w:space="0" w:color="auto"/>
      </w:divBdr>
    </w:div>
    <w:div w:id="2133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W2K19SRV\AUDfIT_Redaktion\AUD_61_Ablauforganisation\AUD_QMA_61_G_Redaktionsarbeit\_1%20Handbuch\AUD_61_G_Redaktionsarbeit%20FORTLAUFEND\G_4._Skriptentwicklung\G_4._ANLAGENBAND\_320_Muster_JAE-JAP_Sachverhalt,%20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5780AA66-803F-4D5E-8F02-8E8EDD44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_320_Muster_JAE-JAP_Sachverhalt, Frage</Template>
  <TotalTime>0</TotalTime>
  <Pages>8</Pages>
  <Words>2843</Words>
  <Characters>19635</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Klein, Paula - LÖSLE</dc:creator>
  <cp:lastModifiedBy>Sauer, Timo - LÖSLE</cp:lastModifiedBy>
  <cp:revision>48</cp:revision>
  <cp:lastPrinted>2024-08-08T14:50:00Z</cp:lastPrinted>
  <dcterms:created xsi:type="dcterms:W3CDTF">2024-06-13T06:39:00Z</dcterms:created>
  <dcterms:modified xsi:type="dcterms:W3CDTF">2024-09-16T12:59:00Z</dcterms:modified>
</cp:coreProperties>
</file>