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07A83E3E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2D133A3" w14:textId="77777777" w:rsidR="00AF76A2" w:rsidRPr="007D6927" w:rsidRDefault="009B33D9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L</w:t>
            </w:r>
            <w:r w:rsidR="00C1681F" w:rsidRPr="0099576B">
              <w:rPr>
                <w:rFonts w:ascii="Century Gothic" w:hAnsi="Century Gothic"/>
                <w:color w:val="00B0F0"/>
                <w:sz w:val="28"/>
              </w:rPr>
              <w:t>ösungshinweise zu Praxisfall</w:t>
            </w:r>
            <w:r w:rsidR="005E0577" w:rsidRPr="0099576B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3B673F" w:rsidRPr="0099576B">
              <w:rPr>
                <w:rFonts w:ascii="Century Gothic" w:hAnsi="Century Gothic"/>
                <w:color w:val="00B0F0"/>
                <w:sz w:val="28"/>
              </w:rPr>
              <w:t>Währungsumrechnung Kasse/Bank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EB6D8CE" w14:textId="77777777" w:rsidR="00AF76A2" w:rsidRPr="00F44928" w:rsidRDefault="00AF76A2" w:rsidP="00DE6006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5C68771C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72090BA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2EAE5BEB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316BDC75" w14:textId="77777777" w:rsidTr="00CA64ED">
        <w:tc>
          <w:tcPr>
            <w:tcW w:w="9072" w:type="dxa"/>
          </w:tcPr>
          <w:p w14:paraId="6011ECB9" w14:textId="77777777" w:rsidR="003B673F" w:rsidRPr="00514CFE" w:rsidRDefault="003B673F" w:rsidP="003B673F">
            <w:pPr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>Zum 31.12. recherchieren wir folgende Kurse:</w:t>
            </w:r>
          </w:p>
          <w:p w14:paraId="2AB35F3B" w14:textId="77777777" w:rsidR="003B673F" w:rsidRPr="00514CFE" w:rsidRDefault="003B673F" w:rsidP="003B673F">
            <w:pPr>
              <w:spacing w:before="0"/>
              <w:rPr>
                <w:sz w:val="20"/>
              </w:rPr>
            </w:pPr>
          </w:p>
          <w:p w14:paraId="3E593519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>Devisenkurs</w:t>
            </w:r>
            <w:r w:rsidRPr="00514CFE">
              <w:rPr>
                <w:sz w:val="20"/>
              </w:rPr>
              <w:tab/>
              <w:t>Geldkurs</w:t>
            </w:r>
            <w:r w:rsidRPr="00514CFE">
              <w:rPr>
                <w:sz w:val="20"/>
              </w:rPr>
              <w:tab/>
              <w:t>1,3857 USD</w:t>
            </w:r>
            <w:r w:rsidRPr="00514CFE">
              <w:rPr>
                <w:sz w:val="20"/>
              </w:rPr>
              <w:tab/>
              <w:t>für 1 EUR</w:t>
            </w:r>
          </w:p>
          <w:p w14:paraId="7F56D1AD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ab/>
              <w:t>Briefkurs</w:t>
            </w:r>
            <w:r w:rsidRPr="00514CFE">
              <w:rPr>
                <w:sz w:val="20"/>
              </w:rPr>
              <w:tab/>
              <w:t>1,3917 USD</w:t>
            </w:r>
            <w:bookmarkStart w:id="0" w:name="_GoBack"/>
            <w:bookmarkEnd w:id="0"/>
            <w:r w:rsidRPr="00514CFE">
              <w:rPr>
                <w:sz w:val="20"/>
              </w:rPr>
              <w:tab/>
              <w:t>für 1 EUR</w:t>
            </w:r>
          </w:p>
          <w:p w14:paraId="40B6D2A2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40BB6333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>Sortenkurs</w:t>
            </w:r>
            <w:r w:rsidRPr="00514CFE">
              <w:rPr>
                <w:sz w:val="20"/>
              </w:rPr>
              <w:tab/>
              <w:t>Ankauf</w:t>
            </w:r>
            <w:r w:rsidRPr="00514CFE">
              <w:rPr>
                <w:sz w:val="20"/>
              </w:rPr>
              <w:tab/>
              <w:t>0,70 EUR</w:t>
            </w:r>
            <w:r w:rsidRPr="00514CFE">
              <w:rPr>
                <w:sz w:val="20"/>
              </w:rPr>
              <w:tab/>
              <w:t>für 1 USD</w:t>
            </w:r>
          </w:p>
          <w:p w14:paraId="6FD966E7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ab/>
              <w:t>Verkauf</w:t>
            </w:r>
            <w:r w:rsidRPr="00514CFE">
              <w:rPr>
                <w:sz w:val="20"/>
              </w:rPr>
              <w:tab/>
              <w:t>0,74 EUR</w:t>
            </w:r>
            <w:r w:rsidRPr="00514CFE">
              <w:rPr>
                <w:sz w:val="20"/>
              </w:rPr>
              <w:tab/>
              <w:t>für 1 USD</w:t>
            </w:r>
          </w:p>
          <w:p w14:paraId="024DA1C9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774444DA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>Von der letzten Dienstreise hat ein Mitarbeiter USD 500 zurückgebracht, die zum 31.12. noch in der Kasse verfügbar sind. Im Kassenbestand von EUR 3.795,66 sind diese USD 500 mit EUR</w:t>
            </w:r>
            <w:r w:rsidR="008B0C6B">
              <w:rPr>
                <w:sz w:val="20"/>
              </w:rPr>
              <w:t> </w:t>
            </w:r>
            <w:r w:rsidRPr="00514CFE">
              <w:rPr>
                <w:sz w:val="20"/>
              </w:rPr>
              <w:t>366,37 enthalten.</w:t>
            </w:r>
          </w:p>
          <w:p w14:paraId="11125F2E" w14:textId="77777777" w:rsidR="003B673F" w:rsidRPr="00514CFE" w:rsidRDefault="003B673F" w:rsidP="003B673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0"/>
              </w:rPr>
            </w:pPr>
          </w:p>
          <w:p w14:paraId="08DA1532" w14:textId="77777777" w:rsidR="00354556" w:rsidRPr="00E65739" w:rsidRDefault="003B673F" w:rsidP="003B673F">
            <w:pPr>
              <w:spacing w:before="0"/>
              <w:rPr>
                <w:sz w:val="24"/>
                <w:szCs w:val="28"/>
              </w:rPr>
            </w:pPr>
            <w:r w:rsidRPr="00514CFE">
              <w:rPr>
                <w:sz w:val="20"/>
              </w:rPr>
              <w:t>Auf dem USD-Konto bei der Kreissparkasse besteht ein Guthaben i. H. v. USD 210.000,00. Im Guthabenbestand von EUR 8.317.128,20 sind die TUSD 210 mit EUR 152.173,91 berücksichtigt.</w:t>
            </w:r>
          </w:p>
        </w:tc>
      </w:tr>
      <w:tr w:rsidR="00D13823" w:rsidRPr="00E65739" w14:paraId="08643352" w14:textId="77777777" w:rsidTr="00CA64ED">
        <w:tc>
          <w:tcPr>
            <w:tcW w:w="9072" w:type="dxa"/>
          </w:tcPr>
          <w:p w14:paraId="11F53E50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45E977E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0711835F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35522E7F" w14:textId="77777777" w:rsidTr="00CA64ED">
        <w:tc>
          <w:tcPr>
            <w:tcW w:w="9072" w:type="dxa"/>
          </w:tcPr>
          <w:p w14:paraId="28AAA394" w14:textId="77777777" w:rsidR="00DF63E5" w:rsidRPr="00514CFE" w:rsidRDefault="003B673F" w:rsidP="00334642">
            <w:pPr>
              <w:spacing w:before="0"/>
              <w:rPr>
                <w:sz w:val="20"/>
              </w:rPr>
            </w:pPr>
            <w:r w:rsidRPr="00514CFE">
              <w:rPr>
                <w:sz w:val="20"/>
              </w:rPr>
              <w:t>Berechnen Sie den Wertansatz der flüssigen Mittel und passen Sie ggf. durch Umbuchung die bilanzierten Werte an.</w:t>
            </w:r>
          </w:p>
        </w:tc>
      </w:tr>
      <w:tr w:rsidR="009B1E9B" w:rsidRPr="009B1E9B" w14:paraId="0B223516" w14:textId="77777777" w:rsidTr="00CA64ED">
        <w:tc>
          <w:tcPr>
            <w:tcW w:w="9072" w:type="dxa"/>
          </w:tcPr>
          <w:p w14:paraId="2CCE8DC9" w14:textId="77777777" w:rsidR="009B1E9B" w:rsidRPr="009B1E9B" w:rsidRDefault="009B1E9B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9B1E9B" w:rsidRPr="009B1E9B" w14:paraId="5774E7E8" w14:textId="77777777" w:rsidTr="009B1E9B">
        <w:tc>
          <w:tcPr>
            <w:tcW w:w="9072" w:type="dxa"/>
            <w:shd w:val="clear" w:color="auto" w:fill="D9D9D9" w:themeFill="background1" w:themeFillShade="D9"/>
          </w:tcPr>
          <w:p w14:paraId="3A5B3109" w14:textId="77777777" w:rsidR="009B1E9B" w:rsidRPr="009B1E9B" w:rsidRDefault="009B1E9B" w:rsidP="008A5560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3B673F" w:rsidRPr="003B673F" w14:paraId="5C9B0053" w14:textId="77777777" w:rsidTr="003B673F">
        <w:tc>
          <w:tcPr>
            <w:tcW w:w="9072" w:type="dxa"/>
            <w:shd w:val="clear" w:color="auto" w:fill="auto"/>
          </w:tcPr>
          <w:tbl>
            <w:tblPr>
              <w:tblStyle w:val="Tabellenraster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1946"/>
              <w:gridCol w:w="1554"/>
              <w:gridCol w:w="1364"/>
              <w:gridCol w:w="1333"/>
              <w:gridCol w:w="1364"/>
              <w:gridCol w:w="1085"/>
            </w:tblGrid>
            <w:tr w:rsidR="003B673F" w:rsidRPr="00404EB1" w14:paraId="5FD2B42C" w14:textId="77777777" w:rsidTr="003B673F">
              <w:trPr>
                <w:trHeight w:val="72"/>
              </w:trPr>
              <w:tc>
                <w:tcPr>
                  <w:tcW w:w="8959" w:type="dxa"/>
                  <w:gridSpan w:val="7"/>
                </w:tcPr>
                <w:p w14:paraId="3AF18D9E" w14:textId="77777777" w:rsidR="003B673F" w:rsidRPr="00AF1FB9" w:rsidRDefault="003B673F" w:rsidP="003B673F">
                  <w:pPr>
                    <w:spacing w:before="0"/>
                    <w:jc w:val="center"/>
                    <w:rPr>
                      <w:b/>
                      <w:sz w:val="2"/>
                      <w:szCs w:val="32"/>
                    </w:rPr>
                  </w:pPr>
                </w:p>
              </w:tc>
            </w:tr>
            <w:tr w:rsidR="003B673F" w:rsidRPr="00514CFE" w14:paraId="0BE494A5" w14:textId="77777777" w:rsidTr="003B673F">
              <w:tc>
                <w:tcPr>
                  <w:tcW w:w="3813" w:type="dxa"/>
                  <w:gridSpan w:val="3"/>
                </w:tcPr>
                <w:p w14:paraId="3156EAA8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bottom w:val="single" w:sz="4" w:space="0" w:color="auto"/>
                  </w:tcBorders>
                </w:tcPr>
                <w:p w14:paraId="6E74ED5E" w14:textId="77777777" w:rsidR="003B673F" w:rsidRPr="00514CFE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Anschaffungswert</w:t>
                  </w:r>
                </w:p>
                <w:p w14:paraId="16C33426" w14:textId="77777777" w:rsidR="003B673F" w:rsidRPr="00514CFE" w:rsidRDefault="00514CFE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  <w:r w:rsidR="003B673F" w:rsidRPr="00514CFE">
                    <w:rPr>
                      <w:b/>
                      <w:sz w:val="20"/>
                    </w:rPr>
                    <w:t>€</w:t>
                  </w:r>
                </w:p>
              </w:tc>
              <w:tc>
                <w:tcPr>
                  <w:tcW w:w="1333" w:type="dxa"/>
                  <w:tcBorders>
                    <w:bottom w:val="single" w:sz="4" w:space="0" w:color="auto"/>
                  </w:tcBorders>
                </w:tcPr>
                <w:p w14:paraId="59B4592A" w14:textId="77777777" w:rsidR="003B673F" w:rsidRPr="00514CFE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Umrechnungskurs</w:t>
                  </w:r>
                </w:p>
                <w:p w14:paraId="76CD8568" w14:textId="77777777" w:rsidR="003B673F" w:rsidRPr="00514CFE" w:rsidRDefault="00514CFE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364" w:type="dxa"/>
                  <w:tcBorders>
                    <w:bottom w:val="single" w:sz="4" w:space="0" w:color="auto"/>
                  </w:tcBorders>
                </w:tcPr>
                <w:p w14:paraId="4583EF3A" w14:textId="77777777" w:rsidR="003B673F" w:rsidRPr="00514CFE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Wert</w:t>
                  </w:r>
                </w:p>
                <w:p w14:paraId="717D5511" w14:textId="77777777" w:rsidR="003B673F" w:rsidRPr="00514CFE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31.12.</w:t>
                  </w:r>
                </w:p>
                <w:p w14:paraId="70355493" w14:textId="77777777" w:rsidR="003B673F" w:rsidRPr="00514CFE" w:rsidRDefault="00514CFE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085" w:type="dxa"/>
                  <w:tcBorders>
                    <w:bottom w:val="single" w:sz="4" w:space="0" w:color="auto"/>
                  </w:tcBorders>
                </w:tcPr>
                <w:p w14:paraId="48FA7EB7" w14:textId="77777777" w:rsidR="003B673F" w:rsidRPr="00514CFE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Kurs-</w:t>
                  </w:r>
                </w:p>
                <w:p w14:paraId="4CDC214D" w14:textId="77777777" w:rsidR="003B673F" w:rsidRPr="00514CFE" w:rsidRDefault="003B673F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ergebnis</w:t>
                  </w:r>
                </w:p>
                <w:p w14:paraId="33F65340" w14:textId="77777777" w:rsidR="003B673F" w:rsidRPr="00514CFE" w:rsidRDefault="00514CFE" w:rsidP="003B673F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</w:p>
              </w:tc>
            </w:tr>
            <w:tr w:rsidR="003B673F" w:rsidRPr="00514CFE" w14:paraId="4AF3EB42" w14:textId="77777777" w:rsidTr="003B673F">
              <w:tc>
                <w:tcPr>
                  <w:tcW w:w="3813" w:type="dxa"/>
                  <w:gridSpan w:val="3"/>
                </w:tcPr>
                <w:p w14:paraId="5B2741FA" w14:textId="77777777" w:rsidR="003B673F" w:rsidRPr="00514CFE" w:rsidRDefault="003B673F" w:rsidP="003B673F">
                  <w:pPr>
                    <w:spacing w:before="0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1. Kassenbestand in Fremdwährung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</w:tcBorders>
                </w:tcPr>
                <w:p w14:paraId="0C1AEAF7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</w:tcBorders>
                </w:tcPr>
                <w:p w14:paraId="7FB4C2B8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</w:tcBorders>
                </w:tcPr>
                <w:p w14:paraId="549F0780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085" w:type="dxa"/>
                  <w:tcBorders>
                    <w:top w:val="single" w:sz="4" w:space="0" w:color="auto"/>
                  </w:tcBorders>
                </w:tcPr>
                <w:p w14:paraId="73EFA0AC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</w:tr>
            <w:tr w:rsidR="003B673F" w:rsidRPr="00514CFE" w14:paraId="2D661AC8" w14:textId="77777777" w:rsidTr="00C669F3">
              <w:tc>
                <w:tcPr>
                  <w:tcW w:w="313" w:type="dxa"/>
                </w:tcPr>
                <w:p w14:paraId="0A9517B9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46" w:type="dxa"/>
                </w:tcPr>
                <w:p w14:paraId="14BBD865" w14:textId="77777777" w:rsidR="003B673F" w:rsidRPr="00514CFE" w:rsidRDefault="003B673F" w:rsidP="000F0D87">
                  <w:pPr>
                    <w:spacing w:before="0"/>
                    <w:jc w:val="lef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Kassenbestand</w:t>
                  </w:r>
                </w:p>
              </w:tc>
              <w:tc>
                <w:tcPr>
                  <w:tcW w:w="1554" w:type="dxa"/>
                </w:tcPr>
                <w:p w14:paraId="05695969" w14:textId="77777777" w:rsidR="003B673F" w:rsidRPr="00514CFE" w:rsidRDefault="003B673F" w:rsidP="00C669F3">
                  <w:pPr>
                    <w:spacing w:before="0"/>
                    <w:jc w:val="lef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500 USD</w:t>
                  </w:r>
                </w:p>
              </w:tc>
              <w:tc>
                <w:tcPr>
                  <w:tcW w:w="1364" w:type="dxa"/>
                </w:tcPr>
                <w:p w14:paraId="3597C5E5" w14:textId="77777777" w:rsidR="003B673F" w:rsidRPr="00514CFE" w:rsidRDefault="003B673F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366,37</w:t>
                  </w:r>
                </w:p>
              </w:tc>
              <w:tc>
                <w:tcPr>
                  <w:tcW w:w="1333" w:type="dxa"/>
                </w:tcPr>
                <w:p w14:paraId="1A8FB73D" w14:textId="77777777" w:rsidR="003B673F" w:rsidRPr="00514CFE" w:rsidRDefault="003B673F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0,70000</w:t>
                  </w:r>
                </w:p>
              </w:tc>
              <w:tc>
                <w:tcPr>
                  <w:tcW w:w="1364" w:type="dxa"/>
                </w:tcPr>
                <w:p w14:paraId="167558DC" w14:textId="77777777" w:rsidR="003B673F" w:rsidRPr="00514CFE" w:rsidRDefault="003B673F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350,00</w:t>
                  </w:r>
                </w:p>
              </w:tc>
              <w:tc>
                <w:tcPr>
                  <w:tcW w:w="1085" w:type="dxa"/>
                </w:tcPr>
                <w:p w14:paraId="2EDE9E27" w14:textId="77777777" w:rsidR="003B673F" w:rsidRPr="00514CFE" w:rsidRDefault="003B673F" w:rsidP="000F0D87">
                  <w:pPr>
                    <w:spacing w:before="0"/>
                    <w:jc w:val="center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- 16,37</w:t>
                  </w:r>
                </w:p>
              </w:tc>
            </w:tr>
            <w:tr w:rsidR="003B673F" w:rsidRPr="00514CFE" w14:paraId="6956C63B" w14:textId="77777777" w:rsidTr="003B673F">
              <w:tc>
                <w:tcPr>
                  <w:tcW w:w="3813" w:type="dxa"/>
                  <w:gridSpan w:val="3"/>
                </w:tcPr>
                <w:p w14:paraId="411E319D" w14:textId="77777777" w:rsidR="003B673F" w:rsidRPr="00514CFE" w:rsidRDefault="003B673F" w:rsidP="003B673F">
                  <w:pPr>
                    <w:spacing w:before="0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2. Fremdwährungsguthaben bei Bank</w:t>
                  </w:r>
                </w:p>
              </w:tc>
              <w:tc>
                <w:tcPr>
                  <w:tcW w:w="1364" w:type="dxa"/>
                </w:tcPr>
                <w:p w14:paraId="3E622E66" w14:textId="77777777" w:rsidR="003B673F" w:rsidRPr="00514CFE" w:rsidRDefault="003B673F" w:rsidP="003B673F">
                  <w:pPr>
                    <w:spacing w:before="0"/>
                    <w:jc w:val="right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33" w:type="dxa"/>
                </w:tcPr>
                <w:p w14:paraId="579ADB24" w14:textId="77777777" w:rsidR="003B673F" w:rsidRPr="00514CFE" w:rsidRDefault="003B673F" w:rsidP="003B673F">
                  <w:pPr>
                    <w:spacing w:before="0"/>
                    <w:jc w:val="right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64" w:type="dxa"/>
                </w:tcPr>
                <w:p w14:paraId="6AD5D6FB" w14:textId="77777777" w:rsidR="003B673F" w:rsidRPr="00514CFE" w:rsidRDefault="003B673F" w:rsidP="003B673F">
                  <w:pPr>
                    <w:spacing w:before="0"/>
                    <w:jc w:val="right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85" w:type="dxa"/>
                </w:tcPr>
                <w:p w14:paraId="28A55265" w14:textId="77777777" w:rsidR="003B673F" w:rsidRPr="00514CFE" w:rsidRDefault="003B673F" w:rsidP="003B673F">
                  <w:pPr>
                    <w:spacing w:before="0"/>
                    <w:jc w:val="right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B673F" w:rsidRPr="00514CFE" w14:paraId="00F7A8A4" w14:textId="77777777" w:rsidTr="00C669F3">
              <w:tc>
                <w:tcPr>
                  <w:tcW w:w="313" w:type="dxa"/>
                </w:tcPr>
                <w:p w14:paraId="40FFA198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46" w:type="dxa"/>
                </w:tcPr>
                <w:p w14:paraId="29E72E18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Guthaben</w:t>
                  </w:r>
                </w:p>
              </w:tc>
              <w:tc>
                <w:tcPr>
                  <w:tcW w:w="1554" w:type="dxa"/>
                  <w:vAlign w:val="center"/>
                </w:tcPr>
                <w:p w14:paraId="24E01B73" w14:textId="77777777" w:rsidR="003B673F" w:rsidRPr="00514CFE" w:rsidRDefault="003B673F" w:rsidP="00C669F3">
                  <w:pPr>
                    <w:spacing w:before="0"/>
                    <w:jc w:val="lef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210.000 USD</w:t>
                  </w:r>
                </w:p>
              </w:tc>
              <w:tc>
                <w:tcPr>
                  <w:tcW w:w="1364" w:type="dxa"/>
                  <w:vAlign w:val="center"/>
                </w:tcPr>
                <w:p w14:paraId="4489BE41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  <w:r w:rsidRPr="00514CFE">
                    <w:rPr>
                      <w:color w:val="000000" w:themeColor="text1"/>
                      <w:sz w:val="20"/>
                    </w:rPr>
                    <w:t>152.173,91</w:t>
                  </w:r>
                </w:p>
              </w:tc>
              <w:tc>
                <w:tcPr>
                  <w:tcW w:w="1333" w:type="dxa"/>
                  <w:vAlign w:val="center"/>
                </w:tcPr>
                <w:p w14:paraId="73549548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  <w:r w:rsidRPr="00514CFE">
                    <w:rPr>
                      <w:color w:val="000000" w:themeColor="text1"/>
                      <w:sz w:val="20"/>
                    </w:rPr>
                    <w:t>1,38870</w:t>
                  </w:r>
                </w:p>
              </w:tc>
              <w:tc>
                <w:tcPr>
                  <w:tcW w:w="1364" w:type="dxa"/>
                  <w:vAlign w:val="center"/>
                </w:tcPr>
                <w:p w14:paraId="0EEFEAEA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  <w:r w:rsidRPr="00514CFE">
                    <w:rPr>
                      <w:color w:val="000000" w:themeColor="text1"/>
                      <w:sz w:val="20"/>
                    </w:rPr>
                    <w:t>151,220,57</w:t>
                  </w:r>
                </w:p>
              </w:tc>
              <w:tc>
                <w:tcPr>
                  <w:tcW w:w="1085" w:type="dxa"/>
                  <w:vAlign w:val="center"/>
                </w:tcPr>
                <w:p w14:paraId="2513BAF2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  <w:r w:rsidRPr="00514CFE">
                    <w:rPr>
                      <w:color w:val="000000" w:themeColor="text1"/>
                      <w:sz w:val="20"/>
                    </w:rPr>
                    <w:t>- 953,34</w:t>
                  </w:r>
                </w:p>
              </w:tc>
            </w:tr>
            <w:tr w:rsidR="003B673F" w:rsidRPr="00514CFE" w14:paraId="471A896F" w14:textId="77777777" w:rsidTr="000F0D87">
              <w:tc>
                <w:tcPr>
                  <w:tcW w:w="313" w:type="dxa"/>
                </w:tcPr>
                <w:p w14:paraId="380D3D12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946" w:type="dxa"/>
                </w:tcPr>
                <w:p w14:paraId="6EECBCCB" w14:textId="77777777" w:rsidR="003B673F" w:rsidRPr="00514CFE" w:rsidRDefault="003B673F" w:rsidP="003B673F">
                  <w:pPr>
                    <w:spacing w:before="0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Anmerkung:</w:t>
                  </w:r>
                </w:p>
              </w:tc>
              <w:tc>
                <w:tcPr>
                  <w:tcW w:w="1554" w:type="dxa"/>
                </w:tcPr>
                <w:p w14:paraId="0B13BA93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0EE95293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14:paraId="28119B95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468A7639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48E65368" w14:textId="77777777" w:rsidR="003B673F" w:rsidRPr="00514CFE" w:rsidRDefault="003B673F" w:rsidP="003B673F">
                  <w:pPr>
                    <w:spacing w:before="0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B673F" w:rsidRPr="00514CFE" w14:paraId="53F44105" w14:textId="77777777" w:rsidTr="000F0D87">
              <w:tc>
                <w:tcPr>
                  <w:tcW w:w="313" w:type="dxa"/>
                </w:tcPr>
                <w:p w14:paraId="60173A31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8646" w:type="dxa"/>
                  <w:gridSpan w:val="6"/>
                  <w:vAlign w:val="center"/>
                </w:tcPr>
                <w:p w14:paraId="762065F4" w14:textId="77777777" w:rsidR="003B673F" w:rsidRPr="00514CFE" w:rsidRDefault="003B673F" w:rsidP="003B673F">
                  <w:pPr>
                    <w:spacing w:before="0"/>
                    <w:jc w:val="left"/>
                    <w:rPr>
                      <w:color w:val="000000" w:themeColor="text1"/>
                      <w:sz w:val="20"/>
                    </w:rPr>
                  </w:pPr>
                  <w:r w:rsidRPr="00514CFE">
                    <w:rPr>
                      <w:color w:val="000000" w:themeColor="text1"/>
                      <w:sz w:val="20"/>
                    </w:rPr>
                    <w:t>Devisenkassamittelkurs = (Geldkurs + Briefkurs) / 2 = (1,3857 + 1,3917) / 2 = 1,38870</w:t>
                  </w:r>
                </w:p>
              </w:tc>
            </w:tr>
            <w:tr w:rsidR="000F0D87" w:rsidRPr="00514CFE" w14:paraId="0E23D298" w14:textId="77777777" w:rsidTr="000F0D87">
              <w:tc>
                <w:tcPr>
                  <w:tcW w:w="313" w:type="dxa"/>
                </w:tcPr>
                <w:p w14:paraId="5C6F2E90" w14:textId="77777777" w:rsidR="000F0D87" w:rsidRPr="00514CFE" w:rsidRDefault="000F0D87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8646" w:type="dxa"/>
                  <w:gridSpan w:val="6"/>
                  <w:vAlign w:val="center"/>
                </w:tcPr>
                <w:p w14:paraId="305A2AAC" w14:textId="77777777" w:rsidR="000F0D87" w:rsidRPr="00514CFE" w:rsidRDefault="000F0D87" w:rsidP="003B673F">
                  <w:pPr>
                    <w:spacing w:before="0"/>
                    <w:jc w:val="left"/>
                    <w:rPr>
                      <w:color w:val="000000" w:themeColor="text1"/>
                      <w:sz w:val="20"/>
                    </w:rPr>
                  </w:pPr>
                </w:p>
              </w:tc>
            </w:tr>
          </w:tbl>
          <w:p w14:paraId="0F52B6FC" w14:textId="77777777" w:rsidR="003B673F" w:rsidRPr="00514CFE" w:rsidRDefault="003B673F" w:rsidP="008A5560">
            <w:pPr>
              <w:spacing w:before="0"/>
              <w:rPr>
                <w:sz w:val="20"/>
              </w:rPr>
            </w:pPr>
            <w:r w:rsidRPr="00514CFE">
              <w:rPr>
                <w:b/>
                <w:sz w:val="20"/>
              </w:rPr>
              <w:t>3. Buchungssätze</w:t>
            </w:r>
          </w:p>
          <w:tbl>
            <w:tblPr>
              <w:tblStyle w:val="Tabellenraster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6168"/>
              <w:gridCol w:w="1400"/>
              <w:gridCol w:w="1391"/>
            </w:tblGrid>
            <w:tr w:rsidR="003B673F" w:rsidRPr="00514CFE" w14:paraId="52564D3C" w14:textId="77777777" w:rsidTr="00E43370">
              <w:tc>
                <w:tcPr>
                  <w:tcW w:w="6168" w:type="dxa"/>
                  <w:shd w:val="clear" w:color="auto" w:fill="auto"/>
                </w:tcPr>
                <w:p w14:paraId="7342AA00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5F80B4A4" w14:textId="77777777" w:rsidR="003B673F" w:rsidRPr="00514CFE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Soll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79ECE1E" w14:textId="77777777" w:rsidR="003B673F" w:rsidRPr="00514CFE" w:rsidRDefault="003B673F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Haben</w:t>
                  </w:r>
                </w:p>
              </w:tc>
            </w:tr>
            <w:tr w:rsidR="003B673F" w:rsidRPr="00514CFE" w14:paraId="7D54E940" w14:textId="77777777" w:rsidTr="00E43370">
              <w:tc>
                <w:tcPr>
                  <w:tcW w:w="6168" w:type="dxa"/>
                  <w:shd w:val="clear" w:color="auto" w:fill="auto"/>
                </w:tcPr>
                <w:p w14:paraId="53DDC5B2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F621C4" w14:textId="77777777" w:rsidR="003B673F" w:rsidRPr="00514CFE" w:rsidRDefault="00514CFE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7A4FD1" w14:textId="77777777" w:rsidR="003B673F" w:rsidRPr="00514CFE" w:rsidRDefault="00514CFE" w:rsidP="003B673F">
                  <w:pPr>
                    <w:spacing w:before="0"/>
                    <w:jc w:val="center"/>
                    <w:rPr>
                      <w:b/>
                      <w:sz w:val="20"/>
                    </w:rPr>
                  </w:pPr>
                  <w:r w:rsidRPr="00514CFE">
                    <w:rPr>
                      <w:b/>
                      <w:sz w:val="20"/>
                    </w:rPr>
                    <w:t>EUR</w:t>
                  </w:r>
                </w:p>
              </w:tc>
            </w:tr>
            <w:tr w:rsidR="003B673F" w:rsidRPr="00514CFE" w14:paraId="2F41A428" w14:textId="77777777" w:rsidTr="00E43370">
              <w:tc>
                <w:tcPr>
                  <w:tcW w:w="6168" w:type="dxa"/>
                  <w:shd w:val="clear" w:color="auto" w:fill="auto"/>
                </w:tcPr>
                <w:p w14:paraId="3D8544C5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Sonstiger betrieblicher Aufwand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AC119C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969,71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2C518F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</w:tr>
            <w:tr w:rsidR="003B673F" w:rsidRPr="00514CFE" w14:paraId="537B69B2" w14:textId="77777777" w:rsidTr="00E43370">
              <w:tc>
                <w:tcPr>
                  <w:tcW w:w="6168" w:type="dxa"/>
                  <w:shd w:val="clear" w:color="auto" w:fill="auto"/>
                </w:tcPr>
                <w:p w14:paraId="044357C5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Kasse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68ACDC0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</w:tcPr>
                <w:p w14:paraId="36040688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16,37</w:t>
                  </w:r>
                </w:p>
              </w:tc>
            </w:tr>
            <w:tr w:rsidR="003B673F" w:rsidRPr="00514CFE" w14:paraId="4692A058" w14:textId="77777777" w:rsidTr="00E43370">
              <w:tc>
                <w:tcPr>
                  <w:tcW w:w="6168" w:type="dxa"/>
                  <w:shd w:val="clear" w:color="auto" w:fill="auto"/>
                </w:tcPr>
                <w:p w14:paraId="4092A6C8" w14:textId="77777777" w:rsidR="003B673F" w:rsidRPr="00514CFE" w:rsidRDefault="003B673F" w:rsidP="003B673F">
                  <w:pPr>
                    <w:spacing w:before="0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Bank (Fremdwährungskonto USD)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5152DAF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</w:tcPr>
                <w:p w14:paraId="2886630D" w14:textId="77777777" w:rsidR="003B673F" w:rsidRPr="00514CFE" w:rsidRDefault="003B673F" w:rsidP="003B673F">
                  <w:pPr>
                    <w:spacing w:before="0"/>
                    <w:jc w:val="right"/>
                    <w:rPr>
                      <w:sz w:val="20"/>
                    </w:rPr>
                  </w:pPr>
                  <w:r w:rsidRPr="00514CFE">
                    <w:rPr>
                      <w:sz w:val="20"/>
                    </w:rPr>
                    <w:t>953,34</w:t>
                  </w:r>
                </w:p>
              </w:tc>
            </w:tr>
          </w:tbl>
          <w:p w14:paraId="021E39C6" w14:textId="77777777" w:rsidR="003B673F" w:rsidRPr="003B673F" w:rsidRDefault="003B673F" w:rsidP="008A5560">
            <w:pPr>
              <w:spacing w:before="0"/>
              <w:rPr>
                <w:sz w:val="24"/>
                <w:szCs w:val="28"/>
              </w:rPr>
            </w:pPr>
          </w:p>
        </w:tc>
      </w:tr>
    </w:tbl>
    <w:p w14:paraId="41684E1D" w14:textId="77777777" w:rsidR="00127438" w:rsidRPr="00514CFE" w:rsidRDefault="00127438" w:rsidP="000F77DB">
      <w:pPr>
        <w:spacing w:before="0"/>
        <w:rPr>
          <w:b/>
          <w:sz w:val="20"/>
          <w:szCs w:val="32"/>
        </w:rPr>
      </w:pPr>
    </w:p>
    <w:sectPr w:rsidR="00127438" w:rsidRPr="00514CFE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90DB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4685E41C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4986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41495F89" wp14:editId="36E2CF68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3B673F">
      <w:rPr>
        <w:rFonts w:eastAsiaTheme="minorHAnsi" w:cstheme="minorBidi"/>
        <w:b/>
        <w:color w:val="00B0F0"/>
        <w:sz w:val="20"/>
        <w:lang w:eastAsia="en-US"/>
      </w:rPr>
      <w:t>5</w:t>
    </w:r>
    <w:r w:rsidR="00127438">
      <w:rPr>
        <w:rFonts w:eastAsiaTheme="minorHAnsi" w:cstheme="minorBidi"/>
        <w:b/>
        <w:color w:val="00B0F0"/>
        <w:sz w:val="20"/>
        <w:lang w:eastAsia="en-US"/>
      </w:rPr>
      <w:t>/</w:t>
    </w:r>
    <w:r w:rsidR="003B673F">
      <w:rPr>
        <w:rFonts w:eastAsiaTheme="minorHAnsi" w:cstheme="minorBidi"/>
        <w:b/>
        <w:color w:val="00B0F0"/>
        <w:sz w:val="20"/>
        <w:lang w:eastAsia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B47F" w14:textId="77777777" w:rsidR="007506E6" w:rsidRPr="009B33D9" w:rsidRDefault="009B33D9" w:rsidP="009B33D9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363B8AF2" wp14:editId="254E284D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5/2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32E08" w14:textId="77777777" w:rsidR="009773FE" w:rsidRDefault="009773FE" w:rsidP="00EE217B">
      <w:pPr>
        <w:pStyle w:val="Fuzeile"/>
      </w:pPr>
    </w:p>
    <w:p w14:paraId="4D499B7B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8E5B922" w14:textId="77777777" w:rsidR="009773FE" w:rsidRDefault="009773FE" w:rsidP="00711AB6">
      <w:pPr>
        <w:spacing w:before="0"/>
        <w:jc w:val="center"/>
      </w:pPr>
    </w:p>
    <w:p w14:paraId="2FFC1715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EB3A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CEA2C3" wp14:editId="2846DAEC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CE944" w14:textId="7DD4A0F0" w:rsidR="000F0D87" w:rsidRPr="000F0D87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1F98" w:rsidRPr="00621F9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842CC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842CC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2842CC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2842CC" w:rsidRPr="002842CC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Lösungshinweise zu Praxisfall </w:t>
                          </w:r>
                          <w:r w:rsidR="000F0D87">
                            <w:rPr>
                              <w:b/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="002842CC" w:rsidRPr="002842CC">
                            <w:rPr>
                              <w:b/>
                              <w:color w:val="FFFFFF" w:themeColor="background1"/>
                              <w:sz w:val="28"/>
                            </w:rPr>
                            <w:t>:</w:t>
                          </w:r>
                          <w:r w:rsidR="000F0D87">
                            <w:rPr>
                              <w:b/>
                              <w:color w:val="FFFFFF" w:themeColor="background1"/>
                              <w:sz w:val="28"/>
                            </w:rPr>
                            <w:t>Währungsumrechnung Kasse/Bank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EA2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426CE944" w14:textId="7DD4A0F0" w:rsidR="000F0D87" w:rsidRPr="000F0D87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21F98" w:rsidRPr="00621F9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842CC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842CC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2842CC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2842CC" w:rsidRPr="002842CC">
                      <w:rPr>
                        <w:b/>
                        <w:color w:val="FFFFFF" w:themeColor="background1"/>
                        <w:sz w:val="28"/>
                      </w:rPr>
                      <w:t xml:space="preserve"> Lösungshinweise zu Praxisfall </w:t>
                    </w:r>
                    <w:r w:rsidR="000F0D87">
                      <w:rPr>
                        <w:b/>
                        <w:color w:val="FFFFFF" w:themeColor="background1"/>
                        <w:sz w:val="28"/>
                      </w:rPr>
                      <w:t>1</w:t>
                    </w:r>
                    <w:r w:rsidR="002842CC" w:rsidRPr="002842CC">
                      <w:rPr>
                        <w:b/>
                        <w:color w:val="FFFFFF" w:themeColor="background1"/>
                        <w:sz w:val="28"/>
                      </w:rPr>
                      <w:t>:</w:t>
                    </w:r>
                    <w:r w:rsidR="000F0D87">
                      <w:rPr>
                        <w:b/>
                        <w:color w:val="FFFFFF" w:themeColor="background1"/>
                        <w:sz w:val="28"/>
                      </w:rPr>
                      <w:t>Währungsumrechnung Kasse/Bank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7A75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57848"/>
    <w:multiLevelType w:val="hybridMultilevel"/>
    <w:tmpl w:val="8F3A3C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14945"/>
    <w:multiLevelType w:val="hybridMultilevel"/>
    <w:tmpl w:val="26E47A26"/>
    <w:lvl w:ilvl="0" w:tplc="AB3C941C">
      <w:start w:val="1"/>
      <w:numFmt w:val="bullet"/>
      <w:lvlText w:val="=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64928"/>
    <w:multiLevelType w:val="hybridMultilevel"/>
    <w:tmpl w:val="715C4C22"/>
    <w:lvl w:ilvl="0" w:tplc="AB3C941C">
      <w:start w:val="1"/>
      <w:numFmt w:val="bullet"/>
      <w:lvlText w:val="=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E563C"/>
    <w:rsid w:val="000F0D87"/>
    <w:rsid w:val="000F77DB"/>
    <w:rsid w:val="00111AC6"/>
    <w:rsid w:val="001205E2"/>
    <w:rsid w:val="00127438"/>
    <w:rsid w:val="00143F11"/>
    <w:rsid w:val="00165A53"/>
    <w:rsid w:val="00173DC7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2CC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3F3B"/>
    <w:rsid w:val="002D7E2D"/>
    <w:rsid w:val="002F09D8"/>
    <w:rsid w:val="002F6B99"/>
    <w:rsid w:val="002F771F"/>
    <w:rsid w:val="00304799"/>
    <w:rsid w:val="00334642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B673F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4CFE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6FAA"/>
    <w:rsid w:val="00621F98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B0C6B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9576B"/>
    <w:rsid w:val="009A6E64"/>
    <w:rsid w:val="009B1E9B"/>
    <w:rsid w:val="009B33D9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AF7B84"/>
    <w:rsid w:val="00B1355E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681F"/>
    <w:rsid w:val="00C24E59"/>
    <w:rsid w:val="00C30D7D"/>
    <w:rsid w:val="00C43D74"/>
    <w:rsid w:val="00C470A2"/>
    <w:rsid w:val="00C61048"/>
    <w:rsid w:val="00C669F3"/>
    <w:rsid w:val="00C8522D"/>
    <w:rsid w:val="00C91AC1"/>
    <w:rsid w:val="00C940C7"/>
    <w:rsid w:val="00C978D9"/>
    <w:rsid w:val="00CA5FDE"/>
    <w:rsid w:val="00CA64ED"/>
    <w:rsid w:val="00CA6FFC"/>
    <w:rsid w:val="00CB24C7"/>
    <w:rsid w:val="00CB3593"/>
    <w:rsid w:val="00CC19EF"/>
    <w:rsid w:val="00CD1A9A"/>
    <w:rsid w:val="00CD4117"/>
    <w:rsid w:val="00CE73C2"/>
    <w:rsid w:val="00D13035"/>
    <w:rsid w:val="00D13823"/>
    <w:rsid w:val="00D13BD1"/>
    <w:rsid w:val="00D45365"/>
    <w:rsid w:val="00D61222"/>
    <w:rsid w:val="00D92FAC"/>
    <w:rsid w:val="00DA6374"/>
    <w:rsid w:val="00DB3534"/>
    <w:rsid w:val="00DB3B77"/>
    <w:rsid w:val="00DC5CF9"/>
    <w:rsid w:val="00DD3447"/>
    <w:rsid w:val="00DD5810"/>
    <w:rsid w:val="00DE10AB"/>
    <w:rsid w:val="00DE2B44"/>
    <w:rsid w:val="00DE6006"/>
    <w:rsid w:val="00DF63E5"/>
    <w:rsid w:val="00E016C0"/>
    <w:rsid w:val="00E211D2"/>
    <w:rsid w:val="00E342CA"/>
    <w:rsid w:val="00E368C3"/>
    <w:rsid w:val="00E43370"/>
    <w:rsid w:val="00E50734"/>
    <w:rsid w:val="00E54CF5"/>
    <w:rsid w:val="00E57522"/>
    <w:rsid w:val="00E57793"/>
    <w:rsid w:val="00E61BCD"/>
    <w:rsid w:val="00E65739"/>
    <w:rsid w:val="00E77518"/>
    <w:rsid w:val="00E85E29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121A"/>
    <w:rsid w:val="00F35247"/>
    <w:rsid w:val="00F40455"/>
    <w:rsid w:val="00F43427"/>
    <w:rsid w:val="00F44928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47FD"/>
    <w:rsid w:val="00FD0600"/>
    <w:rsid w:val="00FD6CCC"/>
    <w:rsid w:val="00FE5374"/>
    <w:rsid w:val="00FE65A7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EC4E8F7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2E13A52-3AEE-4BB1-BDDF-AEDC0E90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182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19</cp:revision>
  <cp:lastPrinted>2025-10-08T08:42:00Z</cp:lastPrinted>
  <dcterms:created xsi:type="dcterms:W3CDTF">2023-03-27T12:32:00Z</dcterms:created>
  <dcterms:modified xsi:type="dcterms:W3CDTF">2025-10-08T08:43:00Z</dcterms:modified>
</cp:coreProperties>
</file>