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13892"/>
        <w:gridCol w:w="425"/>
      </w:tblGrid>
      <w:tr w:rsidR="00961CFA" w:rsidRPr="000503CF" w:rsidTr="00225CBB">
        <w:trPr>
          <w:cantSplit/>
          <w:trHeight w:val="733"/>
        </w:trPr>
        <w:tc>
          <w:tcPr>
            <w:tcW w:w="13892" w:type="dxa"/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961CFA" w:rsidRPr="00114EA5" w:rsidRDefault="003A7695" w:rsidP="00E20EDC">
            <w:pPr>
              <w:pStyle w:val="berschrift1"/>
              <w:numPr>
                <w:ilvl w:val="0"/>
                <w:numId w:val="0"/>
              </w:numPr>
              <w:outlineLvl w:val="0"/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Beispielhafte Darstellung von k</w:t>
            </w:r>
            <w:r w:rsidR="00E20EDC">
              <w:rPr>
                <w:rFonts w:ascii="Century Gothic" w:hAnsi="Century Gothic"/>
                <w:color w:val="228B22"/>
                <w:sz w:val="28"/>
              </w:rPr>
              <w:t>limabedingte</w:t>
            </w:r>
            <w:r>
              <w:rPr>
                <w:rFonts w:ascii="Century Gothic" w:hAnsi="Century Gothic"/>
                <w:color w:val="228B22"/>
                <w:sz w:val="28"/>
              </w:rPr>
              <w:t>n</w:t>
            </w:r>
            <w:r w:rsidR="00E20EDC">
              <w:rPr>
                <w:rFonts w:ascii="Century Gothic" w:hAnsi="Century Gothic"/>
                <w:color w:val="228B22"/>
                <w:sz w:val="28"/>
              </w:rPr>
              <w:t xml:space="preserve"> Risiken und Chancen</w:t>
            </w:r>
          </w:p>
        </w:tc>
        <w:tc>
          <w:tcPr>
            <w:tcW w:w="425" w:type="dxa"/>
            <w:shd w:val="clear" w:color="auto" w:fill="C5F1C5"/>
            <w:textDirection w:val="btLr"/>
            <w:vAlign w:val="center"/>
          </w:tcPr>
          <w:p w:rsidR="00961CFA" w:rsidRPr="006615CE" w:rsidRDefault="00961CFA" w:rsidP="00064096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Century Gothic" w:hAnsi="Century Gothic"/>
                <w:b w:val="0"/>
                <w:sz w:val="12"/>
                <w:szCs w:val="12"/>
              </w:rPr>
            </w:pPr>
            <w:r w:rsidRPr="006615CE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1D3E59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8</w:t>
            </w:r>
            <w:r w:rsidRPr="006615CE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/2024</w:t>
            </w:r>
          </w:p>
        </w:tc>
      </w:tr>
    </w:tbl>
    <w:tbl>
      <w:tblPr>
        <w:tblStyle w:val="Tabellenraster"/>
        <w:tblpPr w:leftFromText="141" w:rightFromText="141" w:vertAnchor="page" w:horzAnchor="margin" w:tblpY="3017"/>
        <w:tblW w:w="0" w:type="auto"/>
        <w:tblLook w:val="04A0" w:firstRow="1" w:lastRow="0" w:firstColumn="1" w:lastColumn="0" w:noHBand="0" w:noVBand="1"/>
      </w:tblPr>
      <w:tblGrid>
        <w:gridCol w:w="4673"/>
        <w:gridCol w:w="4961"/>
        <w:gridCol w:w="4643"/>
      </w:tblGrid>
      <w:tr w:rsidR="00644A8D" w:rsidRPr="00961CFA" w:rsidTr="00276AF2">
        <w:tc>
          <w:tcPr>
            <w:tcW w:w="1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</w:tcPr>
          <w:p w:rsidR="00644A8D" w:rsidRPr="00276AF2" w:rsidRDefault="00644A8D" w:rsidP="008100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6"/>
              </w:rPr>
            </w:pPr>
          </w:p>
          <w:p w:rsidR="00644A8D" w:rsidRPr="00285125" w:rsidRDefault="00644A8D" w:rsidP="008100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285125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Übersicht zum Aufbau ohne Inhalte</w:t>
            </w:r>
          </w:p>
          <w:p w:rsidR="00644A8D" w:rsidRPr="00276AF2" w:rsidRDefault="00644A8D" w:rsidP="0006409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810040" w:rsidRPr="00961CFA" w:rsidTr="00285125">
        <w:trPr>
          <w:trHeight w:val="454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040" w:rsidRPr="00285125" w:rsidRDefault="00E20EDC" w:rsidP="00D56D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85125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 w:rsidR="00810040" w:rsidRPr="00285125">
              <w:rPr>
                <w:rFonts w:ascii="Century Gothic" w:hAnsi="Century Gothic"/>
                <w:b/>
                <w:sz w:val="24"/>
                <w:szCs w:val="24"/>
              </w:rPr>
              <w:t>hysische Risiken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040" w:rsidRPr="00285125" w:rsidRDefault="00810040" w:rsidP="00D56D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85125">
              <w:rPr>
                <w:rFonts w:ascii="Century Gothic" w:hAnsi="Century Gothic"/>
                <w:b/>
                <w:sz w:val="24"/>
                <w:szCs w:val="24"/>
              </w:rPr>
              <w:t>Übergangsrisiken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040" w:rsidRPr="00285125" w:rsidRDefault="00810040" w:rsidP="00D56D1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85125">
              <w:rPr>
                <w:rFonts w:ascii="Century Gothic" w:hAnsi="Century Gothic"/>
                <w:b/>
                <w:sz w:val="24"/>
                <w:szCs w:val="24"/>
              </w:rPr>
              <w:t>Chancen</w:t>
            </w:r>
          </w:p>
        </w:tc>
      </w:tr>
      <w:tr w:rsidR="00961CFA" w:rsidRPr="00961CFA" w:rsidTr="003B5A40">
        <w:trPr>
          <w:trHeight w:val="5378"/>
        </w:trPr>
        <w:tc>
          <w:tcPr>
            <w:tcW w:w="4673" w:type="dxa"/>
          </w:tcPr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285125" w:rsidP="00064096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53C4C" wp14:editId="35071AD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46990</wp:posOffset>
                      </wp:positionV>
                      <wp:extent cx="2578100" cy="488950"/>
                      <wp:effectExtent l="0" t="0" r="0" b="63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125" w:rsidRPr="00285125" w:rsidRDefault="00285125" w:rsidP="00285125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85125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Klassifikation von Klimagefahren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53C4C" id="Rechteck 2" o:spid="_x0000_s1026" style="position:absolute;margin-left:9.65pt;margin-top:3.7pt;width:203pt;height:3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" fillcolor="#c5f1c5" stroked="f" strokeweight="1pt">
                      <v:textbox inset="0,0,0,0">
                        <w:txbxContent>
                          <w:p w:rsidR="00285125" w:rsidRPr="00285125" w:rsidRDefault="00285125" w:rsidP="0028512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51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Klassifikation von Klimagefahren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1CFA" w:rsidRPr="00961CFA" w:rsidRDefault="00961CFA" w:rsidP="00285125">
            <w:pPr>
              <w:rPr>
                <w:rFonts w:ascii="Century Gothic" w:hAnsi="Century Gothic"/>
                <w:sz w:val="18"/>
                <w:szCs w:val="16"/>
                <w:u w:val="single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207"/>
              <w:gridCol w:w="664"/>
              <w:gridCol w:w="833"/>
              <w:gridCol w:w="1017"/>
            </w:tblGrid>
            <w:tr w:rsidR="00961CFA" w:rsidRPr="00961CFA" w:rsidTr="00A023CB">
              <w:trPr>
                <w:trHeight w:val="498"/>
              </w:trPr>
              <w:tc>
                <w:tcPr>
                  <w:tcW w:w="108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Temperatur</w:t>
                  </w:r>
                </w:p>
              </w:tc>
              <w:tc>
                <w:tcPr>
                  <w:tcW w:w="907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Wind</w:t>
                  </w:r>
                </w:p>
              </w:tc>
              <w:tc>
                <w:tcPr>
                  <w:tcW w:w="907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Wasser</w:t>
                  </w:r>
                </w:p>
              </w:tc>
              <w:tc>
                <w:tcPr>
                  <w:tcW w:w="1030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Feststoffe</w:t>
                  </w:r>
                </w:p>
              </w:tc>
            </w:tr>
            <w:tr w:rsidR="00961CFA" w:rsidRPr="00961CFA" w:rsidTr="00067B3F">
              <w:tc>
                <w:tcPr>
                  <w:tcW w:w="108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proofErr w:type="spellStart"/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Chro</w:t>
                  </w:r>
                  <w:proofErr w:type="spellEnd"/>
                  <w:r w:rsidR="00D56D1C">
                    <w:rPr>
                      <w:rFonts w:ascii="Century Gothic" w:hAnsi="Century Gothic"/>
                      <w:sz w:val="18"/>
                      <w:szCs w:val="16"/>
                    </w:rPr>
                    <w:t>-</w:t>
                  </w:r>
                  <w:r w:rsidR="00D56D1C">
                    <w:rPr>
                      <w:rFonts w:ascii="Century Gothic" w:hAnsi="Century Gothic"/>
                      <w:sz w:val="18"/>
                      <w:szCs w:val="16"/>
                    </w:rPr>
                    <w:br/>
                  </w:r>
                  <w:proofErr w:type="spellStart"/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nisch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030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961CFA" w:rsidRPr="00961CFA" w:rsidTr="00067B3F">
              <w:trPr>
                <w:trHeight w:val="1578"/>
              </w:trPr>
              <w:tc>
                <w:tcPr>
                  <w:tcW w:w="108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Akut</w:t>
                  </w:r>
                </w:p>
              </w:tc>
              <w:tc>
                <w:tcPr>
                  <w:tcW w:w="1220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030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</w:tbl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4961" w:type="dxa"/>
          </w:tcPr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285125" w:rsidP="00064096">
            <w:pPr>
              <w:rPr>
                <w:rFonts w:ascii="Century Gothic" w:hAnsi="Century Gothic"/>
                <w:sz w:val="18"/>
                <w:szCs w:val="16"/>
              </w:rPr>
            </w:pPr>
            <w:r w:rsidRPr="00285125">
              <w:rPr>
                <w:rFonts w:ascii="Century Gothic" w:hAnsi="Century Gothic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8CDF63" wp14:editId="5362C76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46990</wp:posOffset>
                      </wp:positionV>
                      <wp:extent cx="2863850" cy="501650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F1C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5125" w:rsidRPr="00285125" w:rsidRDefault="00285125" w:rsidP="00285125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Beispiele für klimabezogene Übergangsereignisse (auf der Grundlage der TCFD-Klassifizierung)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DF63" id="Rechteck 4" o:spid="_x0000_s1027" style="position:absolute;margin-left:5.5pt;margin-top:3.7pt;width:225.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" fillcolor="#c5f1c5" stroked="f" strokeweight="1pt">
                      <v:textbox inset="1mm,0,1mm,0">
                        <w:txbxContent>
                          <w:p w:rsidR="00285125" w:rsidRPr="00285125" w:rsidRDefault="00285125" w:rsidP="0028512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Beispiele für klimabezogene Übergangsereignisse (auf der Grundlage der TCFD-Klassifizierung)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285125" w:rsidRDefault="00285125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285125" w:rsidRPr="00961CFA" w:rsidRDefault="00285125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33"/>
              <w:gridCol w:w="1289"/>
              <w:gridCol w:w="1133"/>
              <w:gridCol w:w="1134"/>
            </w:tblGrid>
            <w:tr w:rsidR="00961CFA" w:rsidRPr="00961CFA" w:rsidTr="00067B3F">
              <w:trPr>
                <w:trHeight w:val="498"/>
              </w:trPr>
              <w:tc>
                <w:tcPr>
                  <w:tcW w:w="1133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Politik und Recht</w:t>
                  </w:r>
                </w:p>
              </w:tc>
              <w:tc>
                <w:tcPr>
                  <w:tcW w:w="1133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Technologie</w:t>
                  </w:r>
                </w:p>
              </w:tc>
              <w:tc>
                <w:tcPr>
                  <w:tcW w:w="1133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Markt</w:t>
                  </w:r>
                </w:p>
              </w:tc>
              <w:tc>
                <w:tcPr>
                  <w:tcW w:w="1134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Ansehen</w:t>
                  </w:r>
                </w:p>
              </w:tc>
            </w:tr>
            <w:tr w:rsidR="00961CFA" w:rsidRPr="00961CFA" w:rsidTr="00954139">
              <w:trPr>
                <w:trHeight w:val="3368"/>
              </w:trPr>
              <w:tc>
                <w:tcPr>
                  <w:tcW w:w="1133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133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133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</w:tbl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4643" w:type="dxa"/>
          </w:tcPr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285125" w:rsidP="00064096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50E7EB" wp14:editId="5BDDEF1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53340</wp:posOffset>
                      </wp:positionV>
                      <wp:extent cx="2578100" cy="508000"/>
                      <wp:effectExtent l="0" t="0" r="0" b="63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125" w:rsidRPr="00285125" w:rsidRDefault="00285125" w:rsidP="00285125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Klimawandelbezogene Chancen für Unternehmen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0E7EB" id="Rechteck 5" o:spid="_x0000_s1028" style="position:absolute;margin-left:9.95pt;margin-top:4.2pt;width:203pt;height:4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" fillcolor="#c5f1c5" stroked="f" strokeweight="1pt">
                      <v:textbox inset="0,0,0,0">
                        <w:txbxContent>
                          <w:p w:rsidR="00285125" w:rsidRPr="00285125" w:rsidRDefault="00285125" w:rsidP="0028512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Klimawandelbezogene Chancen für Unternehmen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125" w:rsidRDefault="00285125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2204"/>
            </w:tblGrid>
            <w:tr w:rsidR="00961CFA" w:rsidRPr="00961CFA" w:rsidTr="00067B3F">
              <w:trPr>
                <w:trHeight w:val="498"/>
              </w:trPr>
              <w:tc>
                <w:tcPr>
                  <w:tcW w:w="2266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Kategorien von Klimachancen</w:t>
                  </w:r>
                </w:p>
              </w:tc>
              <w:tc>
                <w:tcPr>
                  <w:tcW w:w="2267" w:type="dxa"/>
                  <w:vAlign w:val="center"/>
                </w:tcPr>
                <w:p w:rsidR="00961CFA" w:rsidRPr="00A023CB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A023CB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Mögliche Chancen für Unternehmen</w:t>
                  </w:r>
                </w:p>
              </w:tc>
            </w:tr>
            <w:tr w:rsidR="00961CFA" w:rsidRPr="00961CFA" w:rsidTr="00067B3F">
              <w:trPr>
                <w:trHeight w:val="845"/>
              </w:trPr>
              <w:tc>
                <w:tcPr>
                  <w:tcW w:w="2266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Ressourcen-</w:t>
                  </w: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proofErr w:type="spellStart"/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effizienz</w:t>
                  </w:r>
                  <w:proofErr w:type="spellEnd"/>
                </w:p>
              </w:tc>
              <w:tc>
                <w:tcPr>
                  <w:tcW w:w="226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961CFA" w:rsidRPr="00961CFA" w:rsidTr="00067B3F">
              <w:trPr>
                <w:trHeight w:val="557"/>
              </w:trPr>
              <w:tc>
                <w:tcPr>
                  <w:tcW w:w="2266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Energiequellen</w:t>
                  </w:r>
                </w:p>
              </w:tc>
              <w:tc>
                <w:tcPr>
                  <w:tcW w:w="226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961CFA" w:rsidRPr="00961CFA" w:rsidTr="00067B3F">
              <w:trPr>
                <w:trHeight w:val="835"/>
              </w:trPr>
              <w:tc>
                <w:tcPr>
                  <w:tcW w:w="2266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Produkte und Dienst-</w:t>
                  </w:r>
                </w:p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Leistungen</w:t>
                  </w:r>
                </w:p>
              </w:tc>
              <w:tc>
                <w:tcPr>
                  <w:tcW w:w="226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961CFA" w:rsidRPr="00961CFA" w:rsidTr="00067B3F">
              <w:trPr>
                <w:trHeight w:val="563"/>
              </w:trPr>
              <w:tc>
                <w:tcPr>
                  <w:tcW w:w="2266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Märkte</w:t>
                  </w:r>
                </w:p>
              </w:tc>
              <w:tc>
                <w:tcPr>
                  <w:tcW w:w="226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  <w:tr w:rsidR="00961CFA" w:rsidRPr="00961CFA" w:rsidTr="00067B3F">
              <w:trPr>
                <w:trHeight w:val="558"/>
              </w:trPr>
              <w:tc>
                <w:tcPr>
                  <w:tcW w:w="2266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/>
                      <w:sz w:val="18"/>
                      <w:szCs w:val="16"/>
                    </w:rPr>
                    <w:t>Resilienz</w:t>
                  </w:r>
                </w:p>
              </w:tc>
              <w:tc>
                <w:tcPr>
                  <w:tcW w:w="2267" w:type="dxa"/>
                  <w:vAlign w:val="center"/>
                </w:tcPr>
                <w:p w:rsidR="00961CFA" w:rsidRPr="00961CFA" w:rsidRDefault="00961CFA" w:rsidP="00037F64">
                  <w:pPr>
                    <w:framePr w:hSpace="141" w:wrap="around" w:vAnchor="page" w:hAnchor="margin" w:y="3017"/>
                    <w:jc w:val="center"/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</w:tbl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961CFA" w:rsidRPr="00961CFA" w:rsidRDefault="00961CFA" w:rsidP="00064096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:rsidR="009C37D9" w:rsidRPr="00961CFA" w:rsidRDefault="009C37D9" w:rsidP="00037F64">
      <w:pPr>
        <w:spacing w:after="0"/>
        <w:rPr>
          <w:sz w:val="18"/>
          <w:szCs w:val="16"/>
        </w:rPr>
      </w:pPr>
    </w:p>
    <w:p w:rsidR="003B5A40" w:rsidRDefault="003B5A40">
      <w:r>
        <w:br w:type="page"/>
      </w:r>
      <w:bookmarkStart w:id="0" w:name="_GoBack"/>
      <w:bookmarkEnd w:id="0"/>
    </w:p>
    <w:p w:rsidR="002D5647" w:rsidRDefault="002D5647"/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B5A40" w:rsidRPr="00961CFA" w:rsidTr="00EA34F2">
        <w:tc>
          <w:tcPr>
            <w:tcW w:w="14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A40" w:rsidRPr="00961CFA" w:rsidRDefault="003B5A40" w:rsidP="0070627D">
            <w:pPr>
              <w:jc w:val="center"/>
              <w:rPr>
                <w:rFonts w:ascii="Century Gothic" w:hAnsi="Century Gothic" w:cstheme="minorHAnsi"/>
                <w:b/>
                <w:sz w:val="18"/>
                <w:szCs w:val="16"/>
              </w:rPr>
            </w:pPr>
          </w:p>
        </w:tc>
      </w:tr>
      <w:tr w:rsidR="002D5647" w:rsidRPr="00961CFA" w:rsidTr="00EA34F2">
        <w:trPr>
          <w:trHeight w:val="448"/>
        </w:trPr>
        <w:tc>
          <w:tcPr>
            <w:tcW w:w="1431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D5647" w:rsidRPr="00285125" w:rsidRDefault="00285125" w:rsidP="00285125">
            <w:pPr>
              <w:jc w:val="center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 w:rsidRPr="00285125">
              <w:rPr>
                <w:rFonts w:ascii="Century Gothic" w:hAnsi="Century Gothic" w:cstheme="minorHAnsi"/>
                <w:b/>
                <w:sz w:val="28"/>
                <w:szCs w:val="28"/>
              </w:rPr>
              <w:t>P</w:t>
            </w:r>
            <w:r w:rsidR="002D5647" w:rsidRPr="00285125">
              <w:rPr>
                <w:rFonts w:ascii="Century Gothic" w:hAnsi="Century Gothic" w:cstheme="minorHAnsi"/>
                <w:b/>
                <w:sz w:val="28"/>
                <w:szCs w:val="28"/>
              </w:rPr>
              <w:t>hysische Risiken</w:t>
            </w:r>
          </w:p>
        </w:tc>
      </w:tr>
      <w:tr w:rsidR="002D5647" w:rsidRPr="00961CFA" w:rsidTr="00EA34F2">
        <w:tc>
          <w:tcPr>
            <w:tcW w:w="14312" w:type="dxa"/>
            <w:tcBorders>
              <w:top w:val="nil"/>
            </w:tcBorders>
          </w:tcPr>
          <w:p w:rsidR="002D5647" w:rsidRPr="00961CFA" w:rsidRDefault="002D5647" w:rsidP="0070627D">
            <w:pPr>
              <w:rPr>
                <w:rFonts w:ascii="Century Gothic" w:hAnsi="Century Gothic" w:cstheme="minorHAnsi"/>
                <w:sz w:val="18"/>
                <w:szCs w:val="16"/>
              </w:rPr>
            </w:pPr>
          </w:p>
          <w:p w:rsidR="002D5647" w:rsidRPr="00961CFA" w:rsidRDefault="00285125" w:rsidP="0070627D">
            <w:pPr>
              <w:rPr>
                <w:rFonts w:ascii="Century Gothic" w:hAnsi="Century Gothic" w:cstheme="minorHAnsi"/>
                <w:sz w:val="18"/>
                <w:szCs w:val="16"/>
              </w:rPr>
            </w:pPr>
            <w:r>
              <w:rPr>
                <w:rFonts w:ascii="Century Gothic" w:hAnsi="Century Gothic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13970</wp:posOffset>
                      </wp:positionV>
                      <wp:extent cx="2578100" cy="292100"/>
                      <wp:effectExtent l="0" t="0" r="0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125" w:rsidRPr="00285125" w:rsidRDefault="00285125" w:rsidP="00285125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85125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Klassifikation von Klimagefahren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9" style="position:absolute;margin-left:254.15pt;margin-top:1.1pt;width:203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" fillcolor="#c5f1c5" stroked="f" strokeweight="1pt">
                      <v:textbox inset="0,0,0,0">
                        <w:txbxContent>
                          <w:p w:rsidR="00285125" w:rsidRPr="00285125" w:rsidRDefault="00285125" w:rsidP="0028512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51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Klassifikation von Klimagefahren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5647" w:rsidRPr="00961CFA" w:rsidRDefault="002D5647" w:rsidP="0070627D">
            <w:pPr>
              <w:rPr>
                <w:rFonts w:ascii="Century Gothic" w:hAnsi="Century Gothic" w:cstheme="minorHAnsi"/>
                <w:sz w:val="18"/>
                <w:szCs w:val="16"/>
              </w:rPr>
            </w:pPr>
          </w:p>
          <w:p w:rsidR="002D5647" w:rsidRPr="00961CFA" w:rsidRDefault="002D5647" w:rsidP="0070627D">
            <w:pPr>
              <w:rPr>
                <w:rFonts w:ascii="Century Gothic" w:hAnsi="Century Gothic" w:cstheme="minorHAnsi"/>
                <w:sz w:val="18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2716"/>
              <w:gridCol w:w="2832"/>
              <w:gridCol w:w="3827"/>
              <w:gridCol w:w="3402"/>
            </w:tblGrid>
            <w:tr w:rsidR="002D5647" w:rsidRPr="00961CFA" w:rsidTr="00285528">
              <w:trPr>
                <w:trHeight w:val="428"/>
              </w:trPr>
              <w:tc>
                <w:tcPr>
                  <w:tcW w:w="1280" w:type="dxa"/>
                  <w:vAlign w:val="center"/>
                </w:tcPr>
                <w:p w:rsidR="002D5647" w:rsidRPr="00285125" w:rsidRDefault="002D5647" w:rsidP="00285125">
                  <w:pPr>
                    <w:jc w:val="center"/>
                    <w:rPr>
                      <w:rFonts w:ascii="Century Gothic" w:hAnsi="Century Gothic" w:cstheme="minorHAnsi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:rsidR="002D5647" w:rsidRPr="00285528" w:rsidRDefault="002D5647" w:rsidP="001542D3">
                  <w:pPr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</w:pPr>
                  <w:r w:rsidRPr="00285528"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  <w:t>Temperatur</w:t>
                  </w:r>
                </w:p>
              </w:tc>
              <w:tc>
                <w:tcPr>
                  <w:tcW w:w="2832" w:type="dxa"/>
                  <w:vAlign w:val="center"/>
                </w:tcPr>
                <w:p w:rsidR="002D5647" w:rsidRPr="00285528" w:rsidRDefault="002D5647" w:rsidP="001542D3">
                  <w:pPr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</w:pPr>
                  <w:r w:rsidRPr="00285528"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  <w:t>Wind</w:t>
                  </w:r>
                </w:p>
              </w:tc>
              <w:tc>
                <w:tcPr>
                  <w:tcW w:w="3827" w:type="dxa"/>
                  <w:vAlign w:val="center"/>
                </w:tcPr>
                <w:p w:rsidR="002D5647" w:rsidRPr="00285528" w:rsidRDefault="002D5647" w:rsidP="001542D3">
                  <w:pPr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</w:pPr>
                  <w:r w:rsidRPr="00285528"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  <w:t>Wasser</w:t>
                  </w:r>
                </w:p>
              </w:tc>
              <w:tc>
                <w:tcPr>
                  <w:tcW w:w="3402" w:type="dxa"/>
                  <w:vAlign w:val="center"/>
                </w:tcPr>
                <w:p w:rsidR="002D5647" w:rsidRPr="00285528" w:rsidRDefault="002D5647" w:rsidP="001542D3">
                  <w:pPr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</w:pPr>
                  <w:r w:rsidRPr="00285528">
                    <w:rPr>
                      <w:rFonts w:ascii="Century Gothic" w:hAnsi="Century Gothic" w:cstheme="minorHAnsi"/>
                      <w:b/>
                      <w:color w:val="000000" w:themeColor="text1"/>
                      <w:sz w:val="18"/>
                      <w:szCs w:val="16"/>
                    </w:rPr>
                    <w:t>Feststoffe</w:t>
                  </w:r>
                </w:p>
              </w:tc>
            </w:tr>
            <w:tr w:rsidR="002D5647" w:rsidRPr="00961CFA" w:rsidTr="00285528">
              <w:tc>
                <w:tcPr>
                  <w:tcW w:w="1280" w:type="dxa"/>
                </w:tcPr>
                <w:p w:rsidR="002D5647" w:rsidRPr="00285528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b/>
                      <w:color w:val="FF0000"/>
                      <w:sz w:val="18"/>
                      <w:szCs w:val="16"/>
                    </w:rPr>
                  </w:pPr>
                  <w:r w:rsidRPr="00285528">
                    <w:rPr>
                      <w:rFonts w:ascii="Century Gothic" w:hAnsi="Century Gothic" w:cstheme="minorHAnsi"/>
                      <w:b/>
                      <w:color w:val="FF0000"/>
                      <w:sz w:val="18"/>
                      <w:szCs w:val="16"/>
                    </w:rPr>
                    <w:t xml:space="preserve">Chronisch </w:t>
                  </w:r>
                </w:p>
              </w:tc>
              <w:tc>
                <w:tcPr>
                  <w:tcW w:w="2716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Temperaturänderung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(Luft, Wasser, Süßwasser, Meerwasser)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Hitzestress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Temperaturvariabilität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Abtauen von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Permafrost</w:t>
                  </w:r>
                </w:p>
              </w:tc>
              <w:tc>
                <w:tcPr>
                  <w:tcW w:w="2832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Änderung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der Windverhältnisse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Änderung der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Niederschlagsmuster und -arten (Regen, Hagel, Schnee / Eis)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Variabilität von Niederschlägen oder der Hydrologie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Versauerung der Ozeane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Salzwasserintrusion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Anstieg des Meeresspiegels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Wasserknappheit </w:t>
                  </w:r>
                </w:p>
                <w:p w:rsidR="00266237" w:rsidRPr="00961CFA" w:rsidRDefault="0026623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Küstenerosion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Bodendegradation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Bodenerosion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Solifluktion </w:t>
                  </w:r>
                </w:p>
              </w:tc>
            </w:tr>
            <w:tr w:rsidR="002D5647" w:rsidRPr="00961CFA" w:rsidTr="00285528">
              <w:tc>
                <w:tcPr>
                  <w:tcW w:w="1280" w:type="dxa"/>
                </w:tcPr>
                <w:p w:rsidR="002D5647" w:rsidRPr="00285528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b/>
                      <w:color w:val="FF0000"/>
                      <w:sz w:val="18"/>
                      <w:szCs w:val="16"/>
                    </w:rPr>
                  </w:pPr>
                  <w:r w:rsidRPr="00285528">
                    <w:rPr>
                      <w:rFonts w:ascii="Century Gothic" w:hAnsi="Century Gothic" w:cstheme="minorHAnsi"/>
                      <w:b/>
                      <w:color w:val="FF0000"/>
                      <w:sz w:val="18"/>
                      <w:szCs w:val="16"/>
                    </w:rPr>
                    <w:t>Akut</w:t>
                  </w:r>
                </w:p>
              </w:tc>
              <w:tc>
                <w:tcPr>
                  <w:tcW w:w="2716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Hitzewelle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Kältewelle / Frost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Wald- und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Flächenbrände</w:t>
                  </w:r>
                </w:p>
              </w:tc>
              <w:tc>
                <w:tcPr>
                  <w:tcW w:w="2832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Zyklon, Hurrikan, Taifun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Sturm (einschließlich Schnee-, Staub- und Sandstürme)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Tornado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Dürre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starke Niederschläge 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(Regen, Hagel, Schnee / Eis)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Hochwasser (Küsten-, Flusshochwasser, pluviales Hochwasser, Grundhochwasser)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Überlaufen von Gletscherseen</w:t>
                  </w:r>
                </w:p>
                <w:p w:rsidR="00266237" w:rsidRPr="00961CFA" w:rsidRDefault="0026623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2D5647" w:rsidRPr="00961CFA" w:rsidRDefault="002D5647" w:rsidP="007B43C7">
                  <w:pPr>
                    <w:spacing w:before="120"/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Lawine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>Erdrutsch</w:t>
                  </w: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</w:p>
                <w:p w:rsidR="002D5647" w:rsidRPr="00961CFA" w:rsidRDefault="002D5647" w:rsidP="0070627D">
                  <w:pPr>
                    <w:rPr>
                      <w:rFonts w:ascii="Century Gothic" w:hAnsi="Century Gothic" w:cstheme="minorHAnsi"/>
                      <w:sz w:val="18"/>
                      <w:szCs w:val="16"/>
                    </w:rPr>
                  </w:pPr>
                  <w:r w:rsidRPr="00961CFA">
                    <w:rPr>
                      <w:rFonts w:ascii="Century Gothic" w:hAnsi="Century Gothic" w:cstheme="minorHAnsi"/>
                      <w:sz w:val="18"/>
                      <w:szCs w:val="16"/>
                    </w:rPr>
                    <w:t xml:space="preserve">Bodenabsenkung </w:t>
                  </w:r>
                </w:p>
              </w:tc>
            </w:tr>
          </w:tbl>
          <w:p w:rsidR="002D5647" w:rsidRPr="00961CFA" w:rsidRDefault="002D5647" w:rsidP="0070627D">
            <w:pPr>
              <w:rPr>
                <w:rFonts w:ascii="Century Gothic" w:hAnsi="Century Gothic" w:cstheme="minorHAnsi"/>
                <w:sz w:val="18"/>
                <w:szCs w:val="16"/>
              </w:rPr>
            </w:pPr>
          </w:p>
        </w:tc>
      </w:tr>
    </w:tbl>
    <w:p w:rsidR="00811402" w:rsidRDefault="00811402"/>
    <w:p w:rsidR="00811402" w:rsidRDefault="00811402" w:rsidP="00811402">
      <w:pPr>
        <w:pStyle w:val="Standardeinzug"/>
      </w:pPr>
      <w:r>
        <w:br w:type="page"/>
      </w:r>
    </w:p>
    <w:p w:rsidR="008D0F9D" w:rsidRDefault="008D0F9D"/>
    <w:p w:rsidR="008D0F9D" w:rsidRPr="00811402" w:rsidRDefault="008D0F9D" w:rsidP="00811402">
      <w:pPr>
        <w:spacing w:after="0" w:line="240" w:lineRule="auto"/>
        <w:jc w:val="center"/>
        <w:rPr>
          <w:rFonts w:ascii="Century Gothic" w:hAnsi="Century Gothic" w:cstheme="minorHAnsi"/>
          <w:b/>
          <w:sz w:val="18"/>
          <w:szCs w:val="16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11402" w:rsidRPr="00961CFA" w:rsidTr="00EA34F2">
        <w:trPr>
          <w:trHeight w:val="448"/>
        </w:trPr>
        <w:tc>
          <w:tcPr>
            <w:tcW w:w="14312" w:type="dxa"/>
            <w:shd w:val="clear" w:color="auto" w:fill="D9D9D9" w:themeFill="background1" w:themeFillShade="D9"/>
            <w:vAlign w:val="center"/>
          </w:tcPr>
          <w:p w:rsidR="00811402" w:rsidRPr="00285125" w:rsidRDefault="00811402" w:rsidP="006908D5">
            <w:pPr>
              <w:jc w:val="center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sz w:val="28"/>
                <w:szCs w:val="28"/>
              </w:rPr>
              <w:t>Übergangsr</w:t>
            </w:r>
            <w:r w:rsidRPr="00285125">
              <w:rPr>
                <w:rFonts w:ascii="Century Gothic" w:hAnsi="Century Gothic" w:cstheme="minorHAnsi"/>
                <w:b/>
                <w:sz w:val="28"/>
                <w:szCs w:val="28"/>
              </w:rPr>
              <w:t>isiken</w:t>
            </w:r>
          </w:p>
        </w:tc>
      </w:tr>
      <w:tr w:rsidR="002D5647" w:rsidRPr="008D0F9D" w:rsidTr="00EA34F2">
        <w:trPr>
          <w:trHeight w:val="5799"/>
        </w:trPr>
        <w:tc>
          <w:tcPr>
            <w:tcW w:w="14312" w:type="dxa"/>
          </w:tcPr>
          <w:p w:rsidR="002D5647" w:rsidRPr="008D0F9D" w:rsidRDefault="001F4336" w:rsidP="0070627D">
            <w:pPr>
              <w:rPr>
                <w:rFonts w:ascii="Century Gothic" w:hAnsi="Century Gothic"/>
                <w:sz w:val="18"/>
                <w:szCs w:val="16"/>
              </w:rPr>
            </w:pPr>
            <w:r w:rsidRPr="00285125">
              <w:rPr>
                <w:rFonts w:ascii="Century Gothic" w:hAnsi="Century Gothic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CAA779" wp14:editId="0887A5C0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103505</wp:posOffset>
                      </wp:positionV>
                      <wp:extent cx="5334000" cy="501650"/>
                      <wp:effectExtent l="0" t="0" r="0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F1C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4336" w:rsidRPr="00285125" w:rsidRDefault="001F4336" w:rsidP="001F4336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Beispiele für klimabezogene Übergangsereignisse (auf der Grundlage der TCFD-Klassifizierung)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A779" id="Rechteck 6" o:spid="_x0000_s1030" style="position:absolute;margin-left:132.15pt;margin-top:8.15pt;width:420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" fillcolor="#c5f1c5" stroked="f" strokeweight="1pt">
                      <v:textbox inset="1mm,0,1mm,0">
                        <w:txbxContent>
                          <w:p w:rsidR="001F4336" w:rsidRPr="00285125" w:rsidRDefault="001F4336" w:rsidP="001F433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Beispiele für klimabezogene Übergangsereignisse (auf der Grundlage der TCFD-Klassifizierung)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5647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1F4336" w:rsidRPr="008D0F9D" w:rsidRDefault="001F4336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2D5647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1F4336" w:rsidRPr="008D0F9D" w:rsidRDefault="001F4336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3521"/>
              <w:gridCol w:w="3521"/>
              <w:gridCol w:w="3522"/>
              <w:gridCol w:w="3522"/>
            </w:tblGrid>
            <w:tr w:rsidR="002D5647" w:rsidRPr="008D0F9D" w:rsidTr="00EA34F2">
              <w:trPr>
                <w:trHeight w:val="584"/>
              </w:trPr>
              <w:tc>
                <w:tcPr>
                  <w:tcW w:w="1250" w:type="pct"/>
                  <w:vAlign w:val="center"/>
                </w:tcPr>
                <w:p w:rsidR="002D5647" w:rsidRPr="00652DD8" w:rsidRDefault="002D5647" w:rsidP="001542D3">
                  <w:pPr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652DD8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Politik und Recht</w:t>
                  </w:r>
                </w:p>
              </w:tc>
              <w:tc>
                <w:tcPr>
                  <w:tcW w:w="1250" w:type="pct"/>
                  <w:vAlign w:val="center"/>
                </w:tcPr>
                <w:p w:rsidR="002D5647" w:rsidRPr="00652DD8" w:rsidRDefault="002D5647" w:rsidP="001542D3">
                  <w:pPr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652DD8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Technologie</w:t>
                  </w:r>
                </w:p>
              </w:tc>
              <w:tc>
                <w:tcPr>
                  <w:tcW w:w="1250" w:type="pct"/>
                  <w:vAlign w:val="center"/>
                </w:tcPr>
                <w:p w:rsidR="002D5647" w:rsidRPr="00652DD8" w:rsidRDefault="002D5647" w:rsidP="001542D3">
                  <w:pPr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652DD8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Markt</w:t>
                  </w:r>
                </w:p>
              </w:tc>
              <w:tc>
                <w:tcPr>
                  <w:tcW w:w="1250" w:type="pct"/>
                  <w:vAlign w:val="center"/>
                </w:tcPr>
                <w:p w:rsidR="002D5647" w:rsidRPr="00652DD8" w:rsidRDefault="002D5647" w:rsidP="001542D3">
                  <w:pPr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652DD8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Ansehen</w:t>
                  </w:r>
                </w:p>
              </w:tc>
            </w:tr>
            <w:tr w:rsidR="002D5647" w:rsidRPr="008D0F9D" w:rsidTr="00EA34F2">
              <w:trPr>
                <w:trHeight w:val="4031"/>
              </w:trPr>
              <w:tc>
                <w:tcPr>
                  <w:tcW w:w="1250" w:type="pct"/>
                </w:tcPr>
                <w:p w:rsidR="002D5647" w:rsidRPr="008D0F9D" w:rsidRDefault="002D5647" w:rsidP="00652DD8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Höhere Bepreisung von Treibhausgasemissionen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Verstärkte Emissions-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berichterstattungspflichten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Mandate und Regulierung in Bezug auf bestehende Produktionsverfahren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Klagen gegen Unternehmen als Mit-Verursacher des Klimawandels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Klagen bei Nicht-Einhaltung politischer Vorhaben</w:t>
                  </w:r>
                </w:p>
              </w:tc>
              <w:tc>
                <w:tcPr>
                  <w:tcW w:w="1250" w:type="pct"/>
                </w:tcPr>
                <w:p w:rsidR="002D5647" w:rsidRPr="008D0F9D" w:rsidRDefault="002D5647" w:rsidP="00652DD8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Ersetzung bestehender Produkte und Dienstleistungen durch emissionsärmere Optionen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Erfolglose Investitionen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 xml:space="preserve">in neue Technologien 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 xml:space="preserve">Kosten des Übergangs zu emissionsärmeren Technologien 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p w:rsidR="002D5647" w:rsidRPr="008D0F9D" w:rsidRDefault="002D5647" w:rsidP="00652DD8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Änderung des Verbraucher-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proofErr w:type="spellStart"/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verhaltens</w:t>
                  </w:r>
                  <w:proofErr w:type="spellEnd"/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 xml:space="preserve">Unsicherheit in Bezug auf Marktsignale 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Steigende oder volatile Rohstoffkosten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Kostenveränderungen in Folge von Regulierung (z.B. Energiebesteuerung)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p w:rsidR="002D5647" w:rsidRPr="008D0F9D" w:rsidRDefault="002D5647" w:rsidP="00652DD8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Veränderungen der Verbraucher-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proofErr w:type="spellStart"/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präferenzen</w:t>
                  </w:r>
                  <w:proofErr w:type="spellEnd"/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 xml:space="preserve">Stigmatisierung des Sektors, Produkte und Dienstleistungen 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 xml:space="preserve">Zunehmende Besorgnis der Interessenträger 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Negative Rückmeldungen der Interessenträger</w:t>
                  </w:r>
                </w:p>
                <w:p w:rsidR="002D5647" w:rsidRPr="008D0F9D" w:rsidRDefault="002D5647" w:rsidP="0070627D">
                  <w:pPr>
                    <w:rPr>
                      <w:rFonts w:ascii="Century Gothic" w:hAnsi="Century Gothic"/>
                      <w:sz w:val="18"/>
                      <w:szCs w:val="16"/>
                    </w:rPr>
                  </w:pPr>
                </w:p>
              </w:tc>
            </w:tr>
          </w:tbl>
          <w:p w:rsidR="002D5647" w:rsidRPr="008D0F9D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2D5647" w:rsidRPr="008D0F9D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:rsidR="00652DD8" w:rsidRDefault="00652DD8"/>
    <w:p w:rsidR="00652DD8" w:rsidRDefault="00652DD8" w:rsidP="00652DD8">
      <w:pPr>
        <w:pStyle w:val="Standardeinzug"/>
      </w:pPr>
      <w:r>
        <w:br w:type="page"/>
      </w:r>
    </w:p>
    <w:p w:rsidR="008D0F9D" w:rsidRPr="00037F64" w:rsidRDefault="008D0F9D">
      <w:pPr>
        <w:rPr>
          <w:sz w:val="8"/>
          <w:szCs w:val="8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4277"/>
        <w:gridCol w:w="35"/>
      </w:tblGrid>
      <w:tr w:rsidR="000F17AD" w:rsidRPr="00961CFA" w:rsidTr="000F17AD">
        <w:trPr>
          <w:trHeight w:val="448"/>
        </w:trPr>
        <w:tc>
          <w:tcPr>
            <w:tcW w:w="14312" w:type="dxa"/>
            <w:gridSpan w:val="2"/>
            <w:shd w:val="clear" w:color="auto" w:fill="D9D9D9" w:themeFill="background1" w:themeFillShade="D9"/>
            <w:vAlign w:val="center"/>
          </w:tcPr>
          <w:p w:rsidR="000F17AD" w:rsidRPr="00285125" w:rsidRDefault="000F17AD" w:rsidP="006908D5">
            <w:pPr>
              <w:jc w:val="center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sz w:val="28"/>
                <w:szCs w:val="28"/>
              </w:rPr>
              <w:t>Chancen</w:t>
            </w:r>
          </w:p>
        </w:tc>
      </w:tr>
      <w:tr w:rsidR="002D5647" w:rsidRPr="008D0F9D" w:rsidTr="000F17AD">
        <w:trPr>
          <w:gridAfter w:val="1"/>
          <w:wAfter w:w="35" w:type="dxa"/>
        </w:trPr>
        <w:tc>
          <w:tcPr>
            <w:tcW w:w="14277" w:type="dxa"/>
          </w:tcPr>
          <w:p w:rsidR="002D5647" w:rsidRPr="008D0F9D" w:rsidRDefault="000F17AD" w:rsidP="0070627D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15D593" wp14:editId="3EAF60D0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60325</wp:posOffset>
                      </wp:positionV>
                      <wp:extent cx="2971800" cy="444500"/>
                      <wp:effectExtent l="0" t="0" r="0" b="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F1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17AD" w:rsidRPr="00285125" w:rsidRDefault="000F17AD" w:rsidP="000F17AD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Klimawandelbezogene Chancen für Unternehmen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5D593" id="Rechteck 7" o:spid="_x0000_s1031" style="position:absolute;margin-left:234.65pt;margin-top:4.75pt;width:234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" fillcolor="#c5f1c5" stroked="f" strokeweight="1pt">
                      <v:textbox inset="0,0,0,0">
                        <w:txbxContent>
                          <w:p w:rsidR="000F17AD" w:rsidRPr="00285125" w:rsidRDefault="000F17AD" w:rsidP="000F17A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Klimawandelbezogene Chancen für Unternehmen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5647" w:rsidRPr="008D0F9D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0F17AD" w:rsidRPr="008D0F9D" w:rsidRDefault="000F17AD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p w:rsidR="002D5647" w:rsidRPr="008D0F9D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02"/>
              <w:gridCol w:w="9349"/>
            </w:tblGrid>
            <w:tr w:rsidR="002D5647" w:rsidRPr="00FE7CED" w:rsidTr="00FE7CED">
              <w:trPr>
                <w:trHeight w:val="584"/>
              </w:trPr>
              <w:tc>
                <w:tcPr>
                  <w:tcW w:w="4702" w:type="dxa"/>
                  <w:vAlign w:val="center"/>
                </w:tcPr>
                <w:p w:rsidR="002D5647" w:rsidRPr="00FE7CED" w:rsidRDefault="002D5647" w:rsidP="001542D3">
                  <w:pPr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E7CE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Kategorien von Klimachancen</w:t>
                  </w:r>
                </w:p>
              </w:tc>
              <w:tc>
                <w:tcPr>
                  <w:tcW w:w="9349" w:type="dxa"/>
                  <w:vAlign w:val="center"/>
                </w:tcPr>
                <w:p w:rsidR="002D5647" w:rsidRPr="00FE7CED" w:rsidRDefault="002D5647" w:rsidP="001542D3">
                  <w:pPr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FE7CE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Mögliche Chancen für Unternehmen</w:t>
                  </w:r>
                </w:p>
              </w:tc>
            </w:tr>
            <w:tr w:rsidR="002D5647" w:rsidRPr="008D0F9D" w:rsidTr="00035D35">
              <w:trPr>
                <w:trHeight w:val="1341"/>
              </w:trPr>
              <w:tc>
                <w:tcPr>
                  <w:tcW w:w="4702" w:type="dxa"/>
                </w:tcPr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b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 xml:space="preserve">Ressourceneffizienz </w:t>
                  </w:r>
                </w:p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Reduktion von Betriebskosten aus verbesserter Ressourceneffizienz</w:t>
                  </w:r>
                </w:p>
              </w:tc>
              <w:tc>
                <w:tcPr>
                  <w:tcW w:w="9349" w:type="dxa"/>
                  <w:vAlign w:val="center"/>
                </w:tcPr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1"/>
                    </w:numPr>
                    <w:ind w:left="714" w:hanging="357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Verwendung effizienter Trabsportmittel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Gesteigerte Effizienz von Produktions- und Vertriebsprozessen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Recycling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Effizientere Gebäude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Reduzierter Wasserverbrauch</w:t>
                  </w:r>
                </w:p>
              </w:tc>
            </w:tr>
            <w:tr w:rsidR="002D5647" w:rsidRPr="008D0F9D" w:rsidTr="00035D35">
              <w:trPr>
                <w:trHeight w:val="1402"/>
              </w:trPr>
              <w:tc>
                <w:tcPr>
                  <w:tcW w:w="4702" w:type="dxa"/>
                </w:tcPr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Energiequellen</w:t>
                  </w:r>
                </w:p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Kosten-Vorteile durch den Umstieg auf alternative Energiequellen</w:t>
                  </w:r>
                </w:p>
              </w:tc>
              <w:tc>
                <w:tcPr>
                  <w:tcW w:w="9349" w:type="dxa"/>
                  <w:vAlign w:val="center"/>
                </w:tcPr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2"/>
                    </w:numPr>
                    <w:ind w:left="714" w:hanging="357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Verwendung von emissionsarmen Energiequellen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Vorteile aus der Wahrnehmung von Politikanreizen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Verwendung neuer Technologien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Teilnahme an Kohlenstoffmärkten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Umstieg auf dezentrale Energieerzeugung</w:t>
                  </w:r>
                </w:p>
              </w:tc>
            </w:tr>
            <w:tr w:rsidR="002D5647" w:rsidRPr="008D0F9D" w:rsidTr="00035D35">
              <w:trPr>
                <w:trHeight w:val="1302"/>
              </w:trPr>
              <w:tc>
                <w:tcPr>
                  <w:tcW w:w="4702" w:type="dxa"/>
                </w:tcPr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Produkte und Dienstleistungen</w:t>
                  </w:r>
                </w:p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 xml:space="preserve">Verbesserte Wettbewerbsposition durch Veränderungen des Produkts- und Dienstleistungsportfolios </w:t>
                  </w:r>
                </w:p>
              </w:tc>
              <w:tc>
                <w:tcPr>
                  <w:tcW w:w="9349" w:type="dxa"/>
                  <w:vAlign w:val="center"/>
                </w:tcPr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3"/>
                    </w:numPr>
                    <w:ind w:left="714" w:hanging="357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Entwicklung und Ausweitung (emissionsarmer) Produkt- und Dienstleistungsangebote durch Innovation, Forschung und Entwicklung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Fähigkeit zur Weiterentwicklung und Diversifizierung des Geschäftsmodells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Entwicklung von Klimaanpassungs- oder Versicherungsrisikolösungen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Veränderte Konsumentenpräferenzen</w:t>
                  </w:r>
                </w:p>
              </w:tc>
            </w:tr>
            <w:tr w:rsidR="002D5647" w:rsidRPr="008D0F9D" w:rsidTr="00035D35">
              <w:trPr>
                <w:trHeight w:val="1123"/>
              </w:trPr>
              <w:tc>
                <w:tcPr>
                  <w:tcW w:w="4702" w:type="dxa"/>
                </w:tcPr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Märkte</w:t>
                  </w:r>
                </w:p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Vorteile aus der Diversifizierung von Aktivitäten und Erschließung neuer Absatzmöglichkeiten</w:t>
                  </w:r>
                </w:p>
              </w:tc>
              <w:tc>
                <w:tcPr>
                  <w:tcW w:w="9349" w:type="dxa"/>
                  <w:vAlign w:val="center"/>
                </w:tcPr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4"/>
                    </w:numPr>
                    <w:ind w:left="714" w:hanging="357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Zugang zu neuen Absatzmärkten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Zeichnung oder Finanzierung von grünen Anleihen und Infrastrukturen</w:t>
                  </w:r>
                </w:p>
              </w:tc>
            </w:tr>
            <w:tr w:rsidR="002D5647" w:rsidRPr="008D0F9D" w:rsidTr="00035D35">
              <w:trPr>
                <w:trHeight w:val="1137"/>
              </w:trPr>
              <w:tc>
                <w:tcPr>
                  <w:tcW w:w="4702" w:type="dxa"/>
                </w:tcPr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b/>
                      <w:sz w:val="18"/>
                      <w:szCs w:val="16"/>
                    </w:rPr>
                    <w:t>Resilienz</w:t>
                  </w:r>
                </w:p>
                <w:p w:rsidR="002D5647" w:rsidRPr="008D0F9D" w:rsidRDefault="002D5647" w:rsidP="00FE7CED">
                  <w:pPr>
                    <w:spacing w:before="120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Vorteile aus gesteigerter Resilienz gegenüber den Auswirkungen des Klimawandels</w:t>
                  </w:r>
                </w:p>
              </w:tc>
              <w:tc>
                <w:tcPr>
                  <w:tcW w:w="9349" w:type="dxa"/>
                  <w:vAlign w:val="center"/>
                </w:tcPr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5"/>
                    </w:numPr>
                    <w:ind w:left="714" w:hanging="357"/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Substitution und Diversifizierung eingesetzter Rohmaterialien</w:t>
                  </w:r>
                </w:p>
                <w:p w:rsidR="002D5647" w:rsidRPr="008D0F9D" w:rsidRDefault="002D5647" w:rsidP="00035D3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sz w:val="18"/>
                      <w:szCs w:val="16"/>
                    </w:rPr>
                  </w:pPr>
                  <w:r w:rsidRPr="008D0F9D">
                    <w:rPr>
                      <w:rFonts w:ascii="Century Gothic" w:hAnsi="Century Gothic"/>
                      <w:sz w:val="18"/>
                      <w:szCs w:val="16"/>
                    </w:rPr>
                    <w:t>Einkauf von erneuerbaren Energien und Umsetzung von Energieeffizienzmaßnahmen</w:t>
                  </w:r>
                </w:p>
              </w:tc>
            </w:tr>
          </w:tbl>
          <w:p w:rsidR="002D5647" w:rsidRPr="008D0F9D" w:rsidRDefault="002D5647" w:rsidP="0070627D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:rsidR="002D5647" w:rsidRDefault="002D5647" w:rsidP="001542D3"/>
    <w:sectPr w:rsidR="002D5647" w:rsidSect="00037F64">
      <w:footerReference w:type="default" r:id="rId7"/>
      <w:pgSz w:w="16838" w:h="11906" w:orient="landscape"/>
      <w:pgMar w:top="1417" w:right="1417" w:bottom="1417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8D" w:rsidRDefault="00644A8D" w:rsidP="00644A8D">
      <w:pPr>
        <w:spacing w:after="0" w:line="240" w:lineRule="auto"/>
      </w:pPr>
      <w:r>
        <w:separator/>
      </w:r>
    </w:p>
  </w:endnote>
  <w:endnote w:type="continuationSeparator" w:id="0">
    <w:p w:rsidR="00644A8D" w:rsidRDefault="00644A8D" w:rsidP="006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579"/>
      <w:gridCol w:w="3579"/>
      <w:gridCol w:w="3579"/>
      <w:gridCol w:w="3580"/>
    </w:tblGrid>
    <w:tr w:rsidR="00037F64" w:rsidTr="00037F64">
      <w:trPr>
        <w:trHeight w:hRule="exact" w:val="1191"/>
      </w:trPr>
      <w:tc>
        <w:tcPr>
          <w:tcW w:w="3579" w:type="dxa"/>
          <w:vAlign w:val="bottom"/>
          <w:hideMark/>
        </w:tcPr>
        <w:p w:rsidR="00037F64" w:rsidRDefault="00037F64" w:rsidP="00037F64">
          <w:pPr>
            <w:tabs>
              <w:tab w:val="left" w:pos="2100"/>
            </w:tabs>
            <w:rPr>
              <w:rFonts w:ascii="Century Gothic" w:hAnsi="Century Gothic"/>
              <w:sz w:val="20"/>
            </w:rPr>
          </w:pPr>
          <w:r>
            <w:rPr>
              <w:sz w:val="20"/>
            </w:rPr>
            <w:t xml:space="preserve">Seite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 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  <w:sdt>
            <w:sdtPr>
              <w:rPr>
                <w:sz w:val="20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20"/>
                </w:rPr>
                <w:t xml:space="preserve">von </w:t>
              </w:r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NUMPAGES  \* Arabic  \* MERGEFORMAT </w:instrText>
              </w:r>
              <w:r>
                <w:rPr>
                  <w:sz w:val="20"/>
                </w:rPr>
                <w:fldChar w:fldCharType="separate"/>
              </w:r>
              <w:r>
                <w:rPr>
                  <w:sz w:val="20"/>
                </w:rPr>
                <w:t>26</w:t>
              </w:r>
              <w:r>
                <w:rPr>
                  <w:sz w:val="20"/>
                </w:rPr>
                <w:fldChar w:fldCharType="end"/>
              </w:r>
            </w:sdtContent>
          </w:sdt>
        </w:p>
        <w:p w:rsidR="00037F64" w:rsidRDefault="00037F64" w:rsidP="00037F64">
          <w:pPr>
            <w:tabs>
              <w:tab w:val="left" w:pos="2100"/>
            </w:tabs>
            <w:rPr>
              <w:rFonts w:eastAsia="Times New Roman" w:cs="Times New Roman"/>
              <w:sz w:val="20"/>
              <w:lang w:eastAsia="de-DE"/>
            </w:rPr>
          </w:pPr>
          <w:r>
            <w:rPr>
              <w:b/>
              <w:color w:val="228B22"/>
              <w:sz w:val="20"/>
            </w:rPr>
            <w:t>ESG 4 2024</w:t>
          </w:r>
        </w:p>
      </w:tc>
      <w:tc>
        <w:tcPr>
          <w:tcW w:w="3579" w:type="dxa"/>
          <w:vAlign w:val="bottom"/>
          <w:hideMark/>
        </w:tcPr>
        <w:p w:rsidR="00037F64" w:rsidRDefault="00037F64" w:rsidP="00037F64">
          <w:pPr>
            <w:tabs>
              <w:tab w:val="center" w:pos="4536"/>
              <w:tab w:val="right" w:pos="9072"/>
              <w:tab w:val="left" w:pos="9781"/>
            </w:tabs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08A9551" wp14:editId="2F8F0B9C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9" w:type="dxa"/>
          <w:vAlign w:val="bottom"/>
          <w:hideMark/>
        </w:tcPr>
        <w:p w:rsidR="00037F64" w:rsidRDefault="00037F64" w:rsidP="00037F64">
          <w:pPr>
            <w:tabs>
              <w:tab w:val="left" w:pos="2100"/>
            </w:tabs>
            <w:jc w:val="center"/>
            <w:rPr>
              <w:b/>
              <w:color w:val="228B22"/>
              <w:sz w:val="20"/>
            </w:rPr>
          </w:pPr>
          <w:r>
            <w:rPr>
              <w:b/>
              <w:noProof/>
              <w:color w:val="228B22"/>
              <w:sz w:val="20"/>
            </w:rPr>
            <w:drawing>
              <wp:inline distT="0" distB="0" distL="0" distR="0" wp14:anchorId="1DBD2894" wp14:editId="7CCA857C">
                <wp:extent cx="1151255" cy="431800"/>
                <wp:effectExtent l="0" t="0" r="0" b="635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0" w:type="dxa"/>
          <w:vAlign w:val="bottom"/>
          <w:hideMark/>
        </w:tcPr>
        <w:p w:rsidR="00037F64" w:rsidRDefault="00037F64" w:rsidP="00037F64">
          <w:pPr>
            <w:tabs>
              <w:tab w:val="left" w:pos="2100"/>
            </w:tabs>
            <w:jc w:val="right"/>
            <w:rPr>
              <w:b/>
              <w:color w:val="228B22"/>
              <w:sz w:val="20"/>
            </w:rPr>
          </w:pPr>
          <w:r>
            <w:rPr>
              <w:b/>
              <w:color w:val="228B22"/>
              <w:sz w:val="20"/>
            </w:rPr>
            <w:t xml:space="preserve">Praxishilfe </w:t>
          </w:r>
          <w:r>
            <w:rPr>
              <w:b/>
              <w:color w:val="228B22"/>
              <w:sz w:val="20"/>
            </w:rPr>
            <w:t>5</w:t>
          </w:r>
          <w:r>
            <w:rPr>
              <w:b/>
              <w:color w:val="228B22"/>
              <w:sz w:val="20"/>
            </w:rPr>
            <w:t>/</w:t>
          </w:r>
          <w:r>
            <w:rPr>
              <w:b/>
              <w:color w:val="228B22"/>
              <w:sz w:val="20"/>
            </w:rPr>
            <w:t>6</w:t>
          </w:r>
        </w:p>
        <w:p w:rsidR="00037F64" w:rsidRDefault="00037F64" w:rsidP="00037F64">
          <w:pPr>
            <w:tabs>
              <w:tab w:val="left" w:pos="2100"/>
            </w:tabs>
            <w:jc w:val="right"/>
            <w:rPr>
              <w:rFonts w:eastAsia="Times New Roman" w:cs="Times New Roman"/>
              <w:sz w:val="20"/>
              <w:lang w:eastAsia="de-DE"/>
            </w:rPr>
          </w:pPr>
          <w:r>
            <w:rPr>
              <w:sz w:val="20"/>
            </w:rPr>
            <w:t>Stand: 01.08.2024</w:t>
          </w:r>
        </w:p>
      </w:tc>
    </w:tr>
  </w:tbl>
  <w:p w:rsidR="00644A8D" w:rsidRPr="00037F64" w:rsidRDefault="00644A8D" w:rsidP="00037F64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8D" w:rsidRDefault="00644A8D" w:rsidP="00644A8D">
      <w:pPr>
        <w:spacing w:after="0" w:line="240" w:lineRule="auto"/>
      </w:pPr>
      <w:r>
        <w:separator/>
      </w:r>
    </w:p>
  </w:footnote>
  <w:footnote w:type="continuationSeparator" w:id="0">
    <w:p w:rsidR="00644A8D" w:rsidRDefault="00644A8D" w:rsidP="0064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1584"/>
    <w:multiLevelType w:val="hybridMultilevel"/>
    <w:tmpl w:val="2D128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788E"/>
    <w:multiLevelType w:val="hybridMultilevel"/>
    <w:tmpl w:val="63624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239B"/>
    <w:multiLevelType w:val="hybridMultilevel"/>
    <w:tmpl w:val="47700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01D21"/>
    <w:multiLevelType w:val="hybridMultilevel"/>
    <w:tmpl w:val="62B42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730B7"/>
    <w:multiLevelType w:val="hybridMultilevel"/>
    <w:tmpl w:val="54F00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47"/>
    <w:rsid w:val="00035D35"/>
    <w:rsid w:val="00037F64"/>
    <w:rsid w:val="00067B3F"/>
    <w:rsid w:val="000F17AD"/>
    <w:rsid w:val="001542D3"/>
    <w:rsid w:val="001D3E59"/>
    <w:rsid w:val="001F4336"/>
    <w:rsid w:val="00225CBB"/>
    <w:rsid w:val="00266237"/>
    <w:rsid w:val="00276AF2"/>
    <w:rsid w:val="00285125"/>
    <w:rsid w:val="00285528"/>
    <w:rsid w:val="002D5647"/>
    <w:rsid w:val="002F40D2"/>
    <w:rsid w:val="003A7695"/>
    <w:rsid w:val="003B5A40"/>
    <w:rsid w:val="00515A1E"/>
    <w:rsid w:val="005F7E61"/>
    <w:rsid w:val="00610E48"/>
    <w:rsid w:val="00644A8D"/>
    <w:rsid w:val="00652DD8"/>
    <w:rsid w:val="007B43C7"/>
    <w:rsid w:val="00810040"/>
    <w:rsid w:val="00811402"/>
    <w:rsid w:val="00820BB1"/>
    <w:rsid w:val="008D0F9D"/>
    <w:rsid w:val="00954139"/>
    <w:rsid w:val="00961CFA"/>
    <w:rsid w:val="009A1C7C"/>
    <w:rsid w:val="009C37D9"/>
    <w:rsid w:val="00A023CB"/>
    <w:rsid w:val="00A86860"/>
    <w:rsid w:val="00B9125D"/>
    <w:rsid w:val="00BD27B4"/>
    <w:rsid w:val="00D56D1C"/>
    <w:rsid w:val="00D57691"/>
    <w:rsid w:val="00E20EDC"/>
    <w:rsid w:val="00EA34F2"/>
    <w:rsid w:val="00ED107A"/>
    <w:rsid w:val="00F3693F"/>
    <w:rsid w:val="00F93567"/>
    <w:rsid w:val="00FE1D08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E48A"/>
  <w15:chartTrackingRefBased/>
  <w15:docId w15:val="{6D014F1D-D948-4845-937C-32415AD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5647"/>
  </w:style>
  <w:style w:type="paragraph" w:styleId="berschrift1">
    <w:name w:val="heading 1"/>
    <w:basedOn w:val="Standard"/>
    <w:next w:val="Standardeinzug"/>
    <w:link w:val="berschrift1Zchn"/>
    <w:qFormat/>
    <w:rsid w:val="00961CFA"/>
    <w:pPr>
      <w:keepNext/>
      <w:pageBreakBefore/>
      <w:numPr>
        <w:numId w:val="6"/>
      </w:numPr>
      <w:tabs>
        <w:tab w:val="num" w:pos="709"/>
      </w:tabs>
      <w:suppressAutoHyphens/>
      <w:spacing w:after="0" w:line="240" w:lineRule="auto"/>
      <w:ind w:left="709" w:hanging="709"/>
      <w:outlineLvl w:val="0"/>
    </w:pPr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Standardeinzug"/>
    <w:link w:val="berschrift2Zchn"/>
    <w:qFormat/>
    <w:rsid w:val="00961CFA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link w:val="berschrift3Zchn"/>
    <w:qFormat/>
    <w:rsid w:val="00961CFA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link w:val="berschrift4Zchn"/>
    <w:qFormat/>
    <w:rsid w:val="00961CFA"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961CFA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link w:val="berschrift6Zchn"/>
    <w:rsid w:val="00961CFA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link w:val="berschrift7Zchn"/>
    <w:rsid w:val="00961CFA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link w:val="berschrift8Zchn"/>
    <w:rsid w:val="00961CFA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link w:val="berschrift9Zchn"/>
    <w:rsid w:val="00961CFA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564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61CFA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61CFA"/>
    <w:rPr>
      <w:rFonts w:ascii="Futura Md BT" w:eastAsia="Times New Roman" w:hAnsi="Futura Md BT" w:cs="Times New Roman"/>
      <w:b/>
      <w:color w:val="00A7DE"/>
      <w:kern w:val="28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61CFA"/>
    <w:rPr>
      <w:rFonts w:ascii="Futura Md BT" w:eastAsia="Times New Roman" w:hAnsi="Futura Md BT" w:cs="Times New Roman"/>
      <w:b/>
      <w:color w:val="00A7DE"/>
      <w:kern w:val="28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61CFA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61CFA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61CFA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61CFA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61CFA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61CFA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paragraph" w:styleId="Standardeinzug">
    <w:name w:val="Normal Indent"/>
    <w:basedOn w:val="Standard"/>
    <w:uiPriority w:val="99"/>
    <w:unhideWhenUsed/>
    <w:rsid w:val="00961CF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07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4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A8D"/>
  </w:style>
  <w:style w:type="paragraph" w:styleId="Fuzeile">
    <w:name w:val="footer"/>
    <w:basedOn w:val="Standard"/>
    <w:link w:val="FuzeileZchn"/>
    <w:uiPriority w:val="99"/>
    <w:unhideWhenUsed/>
    <w:rsid w:val="0064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Sascha - LÖSLE</dc:creator>
  <cp:keywords/>
  <dc:description/>
  <cp:lastModifiedBy>Sauer, Timo - LÖSLE</cp:lastModifiedBy>
  <cp:revision>54</cp:revision>
  <cp:lastPrinted>2024-08-09T07:24:00Z</cp:lastPrinted>
  <dcterms:created xsi:type="dcterms:W3CDTF">2024-05-03T07:07:00Z</dcterms:created>
  <dcterms:modified xsi:type="dcterms:W3CDTF">2024-09-16T12:26:00Z</dcterms:modified>
</cp:coreProperties>
</file>