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114EA5">
        <w:trPr>
          <w:cantSplit/>
          <w:trHeight w:val="83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AF76A2" w:rsidRPr="00114EA5" w:rsidRDefault="00A62C9B" w:rsidP="00A62C9B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proofErr w:type="spellStart"/>
            <w:r>
              <w:rPr>
                <w:rFonts w:ascii="Century Gothic" w:hAnsi="Century Gothic"/>
                <w:color w:val="228B22"/>
                <w:sz w:val="28"/>
              </w:rPr>
              <w:t>Angabepflicht</w:t>
            </w:r>
            <w:proofErr w:type="spellEnd"/>
            <w:r>
              <w:rPr>
                <w:rFonts w:ascii="Century Gothic" w:hAnsi="Century Gothic"/>
                <w:color w:val="228B22"/>
                <w:sz w:val="28"/>
              </w:rPr>
              <w:t xml:space="preserve"> </w:t>
            </w:r>
            <w:r w:rsidR="00E94F04">
              <w:rPr>
                <w:rFonts w:ascii="Century Gothic" w:hAnsi="Century Gothic"/>
                <w:color w:val="228B22"/>
                <w:sz w:val="28"/>
              </w:rPr>
              <w:t xml:space="preserve">zu ESRS E1 </w:t>
            </w:r>
            <w:r w:rsidR="00F62A1C">
              <w:rPr>
                <w:rFonts w:ascii="Century Gothic" w:hAnsi="Century Gothic"/>
                <w:color w:val="228B22"/>
                <w:sz w:val="28"/>
              </w:rPr>
              <w:t>im Zusammenhang mit ESRS 2 SBM-3 – Wesentliche Auswirkungen, Risiken und Chancen und ihr Zusammenspiel mit Strategie und Geschäftsmodell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Default="00F37FAD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3E638B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8</w:t>
            </w:r>
            <w:r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/2024</w:t>
            </w:r>
          </w:p>
          <w:p w:rsidR="000D0B32" w:rsidRPr="000D0B32" w:rsidRDefault="000D0B32" w:rsidP="000D0B32">
            <w:pPr>
              <w:pStyle w:val="Standardeinzug"/>
            </w:pPr>
          </w:p>
        </w:tc>
      </w:tr>
    </w:tbl>
    <w:p w:rsidR="009571B1" w:rsidRDefault="009571B1" w:rsidP="009571B1">
      <w:pPr>
        <w:spacing w:before="0"/>
      </w:pPr>
    </w:p>
    <w:tbl>
      <w:tblPr>
        <w:tblStyle w:val="Gitternetztabelle4Akzent6"/>
        <w:tblW w:w="908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BDDE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"/>
        <w:gridCol w:w="978"/>
        <w:gridCol w:w="10"/>
        <w:gridCol w:w="6226"/>
        <w:gridCol w:w="724"/>
        <w:gridCol w:w="567"/>
        <w:gridCol w:w="567"/>
      </w:tblGrid>
      <w:tr w:rsidR="009571B1" w:rsidRPr="002E58EC" w:rsidTr="009571B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/>
            <w:vAlign w:val="center"/>
          </w:tcPr>
          <w:p w:rsidR="009571B1" w:rsidRPr="002E58EC" w:rsidRDefault="003E638B" w:rsidP="00C86E04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ESRS 2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9571B1">
              <w:rPr>
                <w:color w:val="000000" w:themeColor="text1"/>
                <w:sz w:val="20"/>
                <w:szCs w:val="20"/>
              </w:rPr>
              <w:t>SBM-3</w:t>
            </w:r>
          </w:p>
        </w:tc>
        <w:tc>
          <w:tcPr>
            <w:tcW w:w="69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/>
            <w:vAlign w:val="center"/>
          </w:tcPr>
          <w:p w:rsidR="009571B1" w:rsidRPr="002E58EC" w:rsidRDefault="009571B1" w:rsidP="009571B1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571B1">
              <w:rPr>
                <w:color w:val="000000" w:themeColor="text1"/>
                <w:sz w:val="20"/>
                <w:szCs w:val="20"/>
              </w:rPr>
              <w:t>Angabepflicht</w:t>
            </w:r>
            <w:r w:rsidR="00E94F04">
              <w:rPr>
                <w:color w:val="000000" w:themeColor="text1"/>
                <w:sz w:val="20"/>
                <w:szCs w:val="20"/>
              </w:rPr>
              <w:t xml:space="preserve"> zu ESRS E1</w:t>
            </w:r>
            <w:r w:rsidRPr="009571B1">
              <w:rPr>
                <w:color w:val="000000" w:themeColor="text1"/>
                <w:sz w:val="20"/>
                <w:szCs w:val="20"/>
              </w:rPr>
              <w:t xml:space="preserve"> im</w:t>
            </w:r>
            <w:r w:rsidRPr="009571B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9571B1">
              <w:rPr>
                <w:rStyle w:val="HervorhebenSCHWARZ"/>
                <w:b/>
              </w:rPr>
              <w:t>Zusammenhang</w:t>
            </w:r>
            <w:r w:rsidRPr="00CE56F1">
              <w:rPr>
                <w:color w:val="000000" w:themeColor="text1"/>
                <w:sz w:val="20"/>
                <w:szCs w:val="20"/>
              </w:rPr>
              <w:t xml:space="preserve"> mit ESRS 2 SBM-3 – Wesentliche Auswirkungen, Risiken und Chancen und ihr Zusammenspiel mit Strategie und Geschäftsmodell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71B1" w:rsidRPr="002E58EC" w:rsidRDefault="009571B1" w:rsidP="00C86E04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9571B1" w:rsidRPr="00A530AB" w:rsidRDefault="00E94F04" w:rsidP="00C86E04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62B3" w:rsidRPr="00563BB6" w:rsidTr="00B26F15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2B3" w:rsidRPr="00563BB6" w:rsidRDefault="00FC62B3" w:rsidP="00563BB6">
            <w:pPr>
              <w:spacing w:before="0"/>
              <w:jc w:val="left"/>
              <w:rPr>
                <w:color w:val="000000" w:themeColor="text1"/>
                <w:sz w:val="2"/>
                <w:szCs w:val="2"/>
              </w:rPr>
            </w:pPr>
            <w:bookmarkStart w:id="0" w:name="_Hlk168988876"/>
          </w:p>
        </w:tc>
      </w:tr>
      <w:bookmarkEnd w:id="0"/>
      <w:tr w:rsidR="00FC62B3" w:rsidRPr="00122B7B" w:rsidTr="00B26F15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C62B3" w:rsidRPr="00122B7B" w:rsidRDefault="00FC62B3" w:rsidP="00563BB6">
            <w:pPr>
              <w:spacing w:before="0"/>
              <w:jc w:val="left"/>
              <w:rPr>
                <w:color w:val="000000" w:themeColor="text1"/>
                <w:sz w:val="20"/>
                <w:szCs w:val="20"/>
              </w:rPr>
            </w:pPr>
            <w:r w:rsidRPr="00122B7B">
              <w:rPr>
                <w:color w:val="000000" w:themeColor="text1"/>
                <w:sz w:val="20"/>
                <w:szCs w:val="20"/>
              </w:rPr>
              <w:t>Teil 1: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2B7B">
              <w:rPr>
                <w:color w:val="000000" w:themeColor="text1"/>
                <w:sz w:val="20"/>
                <w:szCs w:val="20"/>
              </w:rPr>
              <w:t>Regulatorische Vorgabe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</w:p>
        </w:tc>
      </w:tr>
      <w:tr w:rsidR="00FC62B3" w:rsidRPr="00563BB6" w:rsidTr="00B26F15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2B3" w:rsidRPr="00563BB6" w:rsidRDefault="00FC62B3" w:rsidP="00563BB6">
            <w:pPr>
              <w:spacing w:before="0"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84295B" w:rsidRPr="0084295B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228B22"/>
        </w:tblPrEx>
        <w:trPr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47207E" w:rsidRPr="0084295B" w:rsidRDefault="0047207E" w:rsidP="00563BB6">
            <w:pPr>
              <w:spacing w:befor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84295B">
              <w:rPr>
                <w:color w:val="FFFFFF" w:themeColor="background1"/>
                <w:sz w:val="20"/>
                <w:szCs w:val="20"/>
              </w:rPr>
              <w:t>Quelle ESRS E</w:t>
            </w:r>
            <w:r w:rsidR="00E94F04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47207E" w:rsidRPr="0084295B" w:rsidRDefault="0047207E" w:rsidP="00563B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84295B">
              <w:rPr>
                <w:b/>
                <w:color w:val="FFFFFF" w:themeColor="background1"/>
                <w:sz w:val="20"/>
                <w:szCs w:val="20"/>
              </w:rPr>
              <w:t>Strategie</w:t>
            </w:r>
          </w:p>
        </w:tc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47207E" w:rsidRPr="0084295B" w:rsidRDefault="0047207E" w:rsidP="00563BB6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84295B">
              <w:rPr>
                <w:b/>
                <w:color w:val="FFFFFF" w:themeColor="background1"/>
                <w:sz w:val="16"/>
                <w:szCs w:val="16"/>
              </w:rPr>
              <w:t>Bemerkungen, ggf. Verweis auf Datenpunkte</w:t>
            </w:r>
          </w:p>
        </w:tc>
      </w:tr>
      <w:tr w:rsidR="0047207E" w:rsidRPr="000E0C5F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1C5"/>
          </w:tcPr>
          <w:p w:rsidR="0047207E" w:rsidRPr="0015165A" w:rsidRDefault="0047207E" w:rsidP="00563BB6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>Tz. 1</w:t>
            </w:r>
            <w:r w:rsidR="003F362C">
              <w:rPr>
                <w:sz w:val="16"/>
                <w:szCs w:val="16"/>
              </w:rPr>
              <w:t>8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7E" w:rsidRPr="00DB031C" w:rsidRDefault="003F362C" w:rsidP="00563BB6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B031C">
              <w:rPr>
                <w:sz w:val="16"/>
                <w:szCs w:val="16"/>
              </w:rPr>
              <w:t xml:space="preserve">Das Unternehmen hat für </w:t>
            </w:r>
            <w:r w:rsidRPr="00E94F04">
              <w:rPr>
                <w:sz w:val="16"/>
                <w:szCs w:val="16"/>
                <w:highlight w:val="yellow"/>
              </w:rPr>
              <w:t>jedes</w:t>
            </w:r>
            <w:r w:rsidRPr="00DB031C">
              <w:rPr>
                <w:sz w:val="16"/>
                <w:szCs w:val="16"/>
              </w:rPr>
              <w:t xml:space="preserve"> von ihm ermittelte </w:t>
            </w:r>
            <w:r w:rsidRPr="00E94F04">
              <w:rPr>
                <w:sz w:val="16"/>
                <w:szCs w:val="16"/>
                <w:highlight w:val="yellow"/>
              </w:rPr>
              <w:t>wesentliche klimabezogene Risiko</w:t>
            </w:r>
            <w:r w:rsidRPr="00DB031C">
              <w:rPr>
                <w:sz w:val="16"/>
                <w:szCs w:val="16"/>
              </w:rPr>
              <w:t xml:space="preserve"> zu erläutern, ob es sich bei dem Risiko um ein </w:t>
            </w:r>
            <w:r w:rsidRPr="00DB031C">
              <w:rPr>
                <w:b/>
                <w:bCs/>
                <w:sz w:val="16"/>
                <w:szCs w:val="16"/>
              </w:rPr>
              <w:t xml:space="preserve">klimabezogenes </w:t>
            </w:r>
            <w:r w:rsidRPr="00E94F04">
              <w:rPr>
                <w:b/>
                <w:bCs/>
                <w:sz w:val="16"/>
                <w:szCs w:val="16"/>
                <w:highlight w:val="yellow"/>
              </w:rPr>
              <w:t>physisches Risiko</w:t>
            </w:r>
            <w:r w:rsidRPr="00DB031C">
              <w:rPr>
                <w:b/>
                <w:bCs/>
                <w:sz w:val="16"/>
                <w:szCs w:val="16"/>
              </w:rPr>
              <w:t xml:space="preserve"> </w:t>
            </w:r>
            <w:r w:rsidRPr="00DB031C">
              <w:rPr>
                <w:sz w:val="16"/>
                <w:szCs w:val="16"/>
              </w:rPr>
              <w:t xml:space="preserve">oder ein </w:t>
            </w:r>
            <w:r w:rsidRPr="00E94F04">
              <w:rPr>
                <w:b/>
                <w:bCs/>
                <w:sz w:val="16"/>
                <w:szCs w:val="16"/>
                <w:highlight w:val="yellow"/>
              </w:rPr>
              <w:t>klimabezogenes Übergangsrisiko</w:t>
            </w:r>
            <w:r w:rsidRPr="00DB031C">
              <w:rPr>
                <w:b/>
                <w:bCs/>
                <w:sz w:val="16"/>
                <w:szCs w:val="16"/>
              </w:rPr>
              <w:t xml:space="preserve"> </w:t>
            </w:r>
            <w:r w:rsidRPr="00DB031C">
              <w:rPr>
                <w:sz w:val="16"/>
                <w:szCs w:val="16"/>
              </w:rPr>
              <w:t>handelt.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7E" w:rsidRPr="000E0C5F" w:rsidRDefault="00590345" w:rsidP="00563BB6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E7048" wp14:editId="69F667D9">
                      <wp:simplePos x="0" y="0"/>
                      <wp:positionH relativeFrom="column">
                        <wp:posOffset>124792</wp:posOffset>
                      </wp:positionH>
                      <wp:positionV relativeFrom="paragraph">
                        <wp:posOffset>49502</wp:posOffset>
                      </wp:positionV>
                      <wp:extent cx="1168842" cy="416560"/>
                      <wp:effectExtent l="228600" t="0" r="0" b="2540"/>
                      <wp:wrapNone/>
                      <wp:docPr id="1" name="Sprechblase: rechtecki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842" cy="416560"/>
                              </a:xfrm>
                              <a:prstGeom prst="wedgeRectCallout">
                                <a:avLst>
                                  <a:gd name="adj1" fmla="val -69553"/>
                                  <a:gd name="adj2" fmla="val -7744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7377" w:rsidRDefault="00590345" w:rsidP="0059034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E94F04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Beschreibung pro </w:t>
                                  </w:r>
                                </w:p>
                                <w:p w:rsidR="00590345" w:rsidRPr="00E94F04" w:rsidRDefault="00C07377" w:rsidP="0059034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Risiko</w:t>
                                  </w:r>
                                  <w:r w:rsidR="00590345" w:rsidRPr="00E94F04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(Short-List)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E704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1" o:spid="_x0000_s1026" type="#_x0000_t61" style="position:absolute;left:0;text-align:left;margin-left:9.85pt;margin-top:3.9pt;width:92.0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" adj="-4223,9127" fillcolor="#d8d8d8 [2732]" stroked="f" strokeweight="2pt">
                      <v:textbox>
                        <w:txbxContent>
                          <w:p w:rsidR="00C07377" w:rsidRDefault="00590345" w:rsidP="0059034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94F04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Beschreibung pro </w:t>
                            </w:r>
                          </w:p>
                          <w:p w:rsidR="00590345" w:rsidRPr="00E94F04" w:rsidRDefault="00C07377" w:rsidP="0059034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Risiko</w:t>
                            </w:r>
                            <w:r w:rsidR="00590345" w:rsidRPr="00E94F04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(Short-List)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207E" w:rsidRPr="000E0C5F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1C5"/>
          </w:tcPr>
          <w:p w:rsidR="0047207E" w:rsidRPr="0015165A" w:rsidRDefault="0047207E" w:rsidP="00563BB6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>Tz. 1</w:t>
            </w:r>
            <w:r w:rsidR="003F362C">
              <w:rPr>
                <w:sz w:val="16"/>
                <w:szCs w:val="16"/>
              </w:rPr>
              <w:t>9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2C" w:rsidRPr="00DB031C" w:rsidRDefault="003F362C" w:rsidP="00563BB6">
            <w:pPr>
              <w:pStyle w:val="Defaul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DB031C">
              <w:rPr>
                <w:rFonts w:ascii="Century Gothic" w:hAnsi="Century Gothic"/>
                <w:sz w:val="16"/>
                <w:szCs w:val="16"/>
              </w:rPr>
              <w:t xml:space="preserve">Das Unternehmen beschreibt die </w:t>
            </w:r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Resilienz</w:t>
            </w:r>
            <w:r w:rsidRPr="00DB031C">
              <w:rPr>
                <w:rFonts w:ascii="Century Gothic" w:hAnsi="Century Gothic"/>
                <w:sz w:val="16"/>
                <w:szCs w:val="16"/>
              </w:rPr>
              <w:t xml:space="preserve"> seiner Strategie und seines </w:t>
            </w:r>
            <w:r w:rsidRPr="00E94F04"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  <w:t>Geschäftsmodells</w:t>
            </w:r>
            <w:r w:rsidRPr="00DB031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DB031C">
              <w:rPr>
                <w:rFonts w:ascii="Century Gothic" w:hAnsi="Century Gothic"/>
                <w:sz w:val="16"/>
                <w:szCs w:val="16"/>
              </w:rPr>
              <w:t>in Bezug auf den Klimawandel. Zur Beschreibung gehören</w:t>
            </w:r>
          </w:p>
          <w:p w:rsidR="003F362C" w:rsidRPr="00DB031C" w:rsidRDefault="003F362C" w:rsidP="002E653A">
            <w:pPr>
              <w:pStyle w:val="Default"/>
              <w:numPr>
                <w:ilvl w:val="0"/>
                <w:numId w:val="13"/>
              </w:numPr>
              <w:ind w:left="48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DB031C">
              <w:rPr>
                <w:rFonts w:ascii="Century Gothic" w:hAnsi="Century Gothic"/>
                <w:sz w:val="16"/>
                <w:szCs w:val="16"/>
              </w:rPr>
              <w:t xml:space="preserve">der Umfang der </w:t>
            </w:r>
            <w:proofErr w:type="spellStart"/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Resilienzanalyse</w:t>
            </w:r>
            <w:proofErr w:type="spellEnd"/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,</w:t>
            </w:r>
          </w:p>
          <w:p w:rsidR="003F362C" w:rsidRPr="00DB031C" w:rsidRDefault="003F362C" w:rsidP="002E653A">
            <w:pPr>
              <w:pStyle w:val="Default"/>
              <w:numPr>
                <w:ilvl w:val="0"/>
                <w:numId w:val="13"/>
              </w:numPr>
              <w:ind w:left="48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DB031C">
              <w:rPr>
                <w:rFonts w:ascii="Century Gothic" w:hAnsi="Century Gothic"/>
                <w:sz w:val="16"/>
                <w:szCs w:val="16"/>
              </w:rPr>
              <w:t xml:space="preserve">Angaben dazu, wie und wann die </w:t>
            </w:r>
            <w:proofErr w:type="spellStart"/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Resilienzanalyse</w:t>
            </w:r>
            <w:proofErr w:type="spellEnd"/>
            <w:r w:rsidRPr="00DB031C">
              <w:rPr>
                <w:rFonts w:ascii="Century Gothic" w:hAnsi="Century Gothic"/>
                <w:sz w:val="16"/>
                <w:szCs w:val="16"/>
              </w:rPr>
              <w:t xml:space="preserve"> durchgeführt wurde, einschließlich der Verwendung der Analyse von Klimaszenarien, auf die in der Angabepflicht im Zusammenhang mit dem nachstehenden ESRS 2 IRO-1 und den entsprechenden Anwendungsanforderungen verwiesen wird, und</w:t>
            </w:r>
          </w:p>
          <w:p w:rsidR="0047207E" w:rsidRPr="00DB031C" w:rsidRDefault="003F362C" w:rsidP="002E653A">
            <w:pPr>
              <w:pStyle w:val="Default"/>
              <w:numPr>
                <w:ilvl w:val="0"/>
                <w:numId w:val="13"/>
              </w:numPr>
              <w:ind w:left="48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DB031C">
              <w:rPr>
                <w:rFonts w:ascii="Century Gothic" w:hAnsi="Century Gothic"/>
                <w:sz w:val="16"/>
                <w:szCs w:val="16"/>
              </w:rPr>
              <w:t xml:space="preserve">die </w:t>
            </w:r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Ergebnisse</w:t>
            </w:r>
            <w:r w:rsidRPr="00DB031C">
              <w:rPr>
                <w:rFonts w:ascii="Century Gothic" w:hAnsi="Century Gothic"/>
                <w:sz w:val="16"/>
                <w:szCs w:val="16"/>
              </w:rPr>
              <w:t xml:space="preserve"> der </w:t>
            </w:r>
            <w:proofErr w:type="spellStart"/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Resilienzanalyse</w:t>
            </w:r>
            <w:proofErr w:type="spellEnd"/>
            <w:r w:rsidRPr="00E94F04">
              <w:rPr>
                <w:rFonts w:ascii="Century Gothic" w:hAnsi="Century Gothic"/>
                <w:sz w:val="16"/>
                <w:szCs w:val="16"/>
                <w:highlight w:val="yellow"/>
              </w:rPr>
              <w:t>,</w:t>
            </w:r>
            <w:r w:rsidRPr="00DB031C">
              <w:rPr>
                <w:rFonts w:ascii="Century Gothic" w:hAnsi="Century Gothic"/>
                <w:sz w:val="16"/>
                <w:szCs w:val="16"/>
              </w:rPr>
              <w:t xml:space="preserve"> einschließlich der Ergebnisse der Szenarioanalysen.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7E" w:rsidRPr="000E0C5F" w:rsidRDefault="000F76D9" w:rsidP="00563BB6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82BC9" wp14:editId="45F48AD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60629</wp:posOffset>
                      </wp:positionV>
                      <wp:extent cx="1168400" cy="701675"/>
                      <wp:effectExtent l="285750" t="0" r="0" b="3175"/>
                      <wp:wrapNone/>
                      <wp:docPr id="2" name="Sprechblase: rechtecki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701675"/>
                              </a:xfrm>
                              <a:prstGeom prst="wedgeRectCallout">
                                <a:avLst>
                                  <a:gd name="adj1" fmla="val -73466"/>
                                  <a:gd name="adj2" fmla="val -3068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76D9" w:rsidRDefault="00E94F04" w:rsidP="00E94F0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Pflicht zur umfassenden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Resilienzanalyse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in Bezug auf </w:t>
                                  </w:r>
                                </w:p>
                                <w:p w:rsidR="00E94F04" w:rsidRPr="00E94F04" w:rsidRDefault="00E94F04" w:rsidP="00E94F0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Klimawandel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82BC9" id="Sprechblase: rechteckig 2" o:spid="_x0000_s1027" type="#_x0000_t61" style="position:absolute;left:0;text-align:left;margin-left:9.8pt;margin-top:4.75pt;width:92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" adj="-5069,4173" fillcolor="#d8d8d8 [2732]" stroked="f" strokeweight="2pt">
                      <v:textbox>
                        <w:txbxContent>
                          <w:p w:rsidR="000F76D9" w:rsidRDefault="00E94F04" w:rsidP="00E94F04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Pflicht zur umfassenden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Resilienzanalyse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in Bezug auf </w:t>
                            </w:r>
                          </w:p>
                          <w:p w:rsidR="00E94F04" w:rsidRPr="00E94F04" w:rsidRDefault="00E94F04" w:rsidP="00E94F04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Klimawandel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E694F" wp14:editId="301AEECA">
                      <wp:simplePos x="0" y="0"/>
                      <wp:positionH relativeFrom="column">
                        <wp:posOffset>132743</wp:posOffset>
                      </wp:positionH>
                      <wp:positionV relativeFrom="paragraph">
                        <wp:posOffset>873788</wp:posOffset>
                      </wp:positionV>
                      <wp:extent cx="1160448" cy="596347"/>
                      <wp:effectExtent l="285750" t="0" r="1905" b="0"/>
                      <wp:wrapNone/>
                      <wp:docPr id="3" name="Sprechblase: rechtecki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448" cy="596347"/>
                              </a:xfrm>
                              <a:prstGeom prst="wedgeRectCallout">
                                <a:avLst>
                                  <a:gd name="adj1" fmla="val -73466"/>
                                  <a:gd name="adj2" fmla="val -3068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76D9" w:rsidRDefault="00E94F04" w:rsidP="00E94F0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Resilienzanalyse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 xml:space="preserve">beschreibt die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Widerstands</w:t>
                                  </w:r>
                                  <w:r w:rsidR="000F76D9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  <w:p w:rsidR="00E94F04" w:rsidRPr="00E94F04" w:rsidRDefault="00E94F04" w:rsidP="00E94F0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fähigkeit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E694F" id="Sprechblase: rechteckig 3" o:spid="_x0000_s1028" type="#_x0000_t61" style="position:absolute;left:0;text-align:left;margin-left:10.45pt;margin-top:68.8pt;width:91.35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" adj="-5069,4173" fillcolor="#d8d8d8 [2732]" stroked="f" strokeweight="2pt">
                      <v:textbox>
                        <w:txbxContent>
                          <w:p w:rsidR="000F76D9" w:rsidRDefault="00E94F04" w:rsidP="00E94F04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Resilienzanalyse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 xml:space="preserve">beschreibt die </w:t>
                            </w: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Widerstands</w:t>
                            </w:r>
                            <w:r w:rsidR="000F76D9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  <w:p w:rsidR="00E94F04" w:rsidRPr="00E94F04" w:rsidRDefault="00E94F04" w:rsidP="00E94F04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fähigkeit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5F7A" w:rsidRDefault="00EC5F7A">
      <w:r>
        <w:rPr>
          <w:b/>
          <w:bCs/>
        </w:rPr>
        <w:br w:type="page"/>
      </w:r>
      <w:bookmarkStart w:id="1" w:name="_GoBack"/>
      <w:bookmarkEnd w:id="1"/>
    </w:p>
    <w:tbl>
      <w:tblPr>
        <w:tblStyle w:val="Gitternetztabelle4Akzent6"/>
        <w:tblW w:w="908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BDDE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"/>
        <w:gridCol w:w="989"/>
        <w:gridCol w:w="6239"/>
        <w:gridCol w:w="710"/>
        <w:gridCol w:w="567"/>
        <w:gridCol w:w="556"/>
        <w:gridCol w:w="11"/>
      </w:tblGrid>
      <w:tr w:rsidR="003E638B" w:rsidRPr="00A530AB" w:rsidTr="003E638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E638B" w:rsidRDefault="003E638B" w:rsidP="00C86E04">
            <w:pPr>
              <w:spacing w:before="0"/>
              <w:contextualSpacing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949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E638B" w:rsidRPr="009571B1" w:rsidRDefault="003E638B" w:rsidP="00C86E04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E638B" w:rsidRPr="002E58EC" w:rsidRDefault="003E638B" w:rsidP="00C86E04">
            <w:pPr>
              <w:spacing w:befor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638B" w:rsidRPr="00A530AB" w:rsidRDefault="003E638B" w:rsidP="00C86E04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71B1" w:rsidRPr="00A530AB" w:rsidTr="009571B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shd w:val="clear" w:color="auto" w:fill="F2DBDB"/>
            <w:vAlign w:val="center"/>
          </w:tcPr>
          <w:p w:rsidR="009571B1" w:rsidRPr="002E58EC" w:rsidRDefault="003E638B" w:rsidP="00C86E04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ESRS 2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9571B1">
              <w:rPr>
                <w:color w:val="000000" w:themeColor="text1"/>
                <w:sz w:val="20"/>
                <w:szCs w:val="20"/>
              </w:rPr>
              <w:t>SBM-3</w:t>
            </w:r>
          </w:p>
        </w:tc>
        <w:tc>
          <w:tcPr>
            <w:tcW w:w="6949" w:type="dxa"/>
            <w:gridSpan w:val="2"/>
            <w:shd w:val="clear" w:color="auto" w:fill="F2DBDB"/>
            <w:vAlign w:val="center"/>
          </w:tcPr>
          <w:p w:rsidR="009571B1" w:rsidRPr="002E58EC" w:rsidRDefault="009571B1" w:rsidP="00C86E04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571B1">
              <w:rPr>
                <w:color w:val="000000" w:themeColor="text1"/>
                <w:sz w:val="20"/>
                <w:szCs w:val="20"/>
              </w:rPr>
              <w:t xml:space="preserve">Angabepflicht </w:t>
            </w:r>
            <w:r w:rsidR="00590345">
              <w:rPr>
                <w:color w:val="000000" w:themeColor="text1"/>
                <w:sz w:val="20"/>
                <w:szCs w:val="20"/>
              </w:rPr>
              <w:t xml:space="preserve">ESRES E1 </w:t>
            </w:r>
            <w:r w:rsidRPr="009571B1">
              <w:rPr>
                <w:color w:val="000000" w:themeColor="text1"/>
                <w:sz w:val="20"/>
                <w:szCs w:val="20"/>
              </w:rPr>
              <w:t xml:space="preserve">im </w:t>
            </w:r>
            <w:r w:rsidRPr="009571B1">
              <w:rPr>
                <w:rStyle w:val="HervorhebenSCHWARZ"/>
              </w:rPr>
              <w:t>Zusammenhang</w:t>
            </w:r>
            <w:r w:rsidRPr="00CE56F1">
              <w:rPr>
                <w:color w:val="000000" w:themeColor="text1"/>
                <w:sz w:val="20"/>
                <w:szCs w:val="20"/>
              </w:rPr>
              <w:t xml:space="preserve"> mit ESRS 2 SBM-3 – Wesentliche Auswirkungen, Risiken und Chancen und ihr Zusammenspiel mit Strategie und Geschäftsmodell</w:t>
            </w:r>
          </w:p>
        </w:tc>
        <w:tc>
          <w:tcPr>
            <w:tcW w:w="567" w:type="dxa"/>
            <w:shd w:val="clear" w:color="auto" w:fill="auto"/>
          </w:tcPr>
          <w:p w:rsidR="009571B1" w:rsidRPr="002E58EC" w:rsidRDefault="009571B1" w:rsidP="00C86E04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9571B1" w:rsidRPr="004261DA" w:rsidRDefault="004261DA" w:rsidP="00C86E04">
            <w:pPr>
              <w:spacing w:befor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4261DA">
              <w:rPr>
                <w:b/>
                <w:color w:val="FFFFFF" w:themeColor="background1"/>
                <w:sz w:val="24"/>
                <w:szCs w:val="24"/>
              </w:rPr>
              <w:t>19</w:t>
            </w:r>
          </w:p>
        </w:tc>
      </w:tr>
      <w:tr w:rsidR="0084295B" w:rsidRPr="00C84816" w:rsidTr="003E638B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After w:val="1"/>
          <w:wAfter w:w="11" w:type="dxa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95B" w:rsidRPr="00C84816" w:rsidRDefault="0084295B" w:rsidP="00837B9B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84295B" w:rsidRPr="00122B7B" w:rsidTr="003E638B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4295B" w:rsidRPr="00122B7B" w:rsidRDefault="0084295B" w:rsidP="00837B9B">
            <w:pPr>
              <w:spacing w:befor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B7B">
              <w:rPr>
                <w:color w:val="000000" w:themeColor="text1"/>
                <w:sz w:val="20"/>
                <w:szCs w:val="20"/>
              </w:rPr>
              <w:t xml:space="preserve">Teil </w:t>
            </w:r>
            <w:r w:rsidR="0062226E">
              <w:rPr>
                <w:color w:val="000000" w:themeColor="text1"/>
                <w:sz w:val="20"/>
                <w:szCs w:val="20"/>
              </w:rPr>
              <w:t>2</w:t>
            </w:r>
            <w:r w:rsidRPr="00122B7B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226E">
              <w:rPr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="0062226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226E">
              <w:rPr>
                <w:color w:val="000000" w:themeColor="text1"/>
                <w:sz w:val="20"/>
                <w:szCs w:val="20"/>
              </w:rPr>
              <w:t>Requirements</w:t>
            </w:r>
            <w:proofErr w:type="spellEnd"/>
          </w:p>
        </w:tc>
      </w:tr>
      <w:tr w:rsidR="0084295B" w:rsidRPr="00C84816" w:rsidTr="003E638B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After w:val="1"/>
          <w:wAfter w:w="11" w:type="dxa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95B" w:rsidRPr="00C84816" w:rsidRDefault="0084295B" w:rsidP="00837B9B">
            <w:pPr>
              <w:spacing w:before="0"/>
              <w:contextualSpacing/>
              <w:jc w:val="left"/>
              <w:rPr>
                <w:color w:val="000000" w:themeColor="text1"/>
                <w:sz w:val="2"/>
                <w:szCs w:val="2"/>
              </w:rPr>
            </w:pPr>
          </w:p>
        </w:tc>
      </w:tr>
      <w:tr w:rsidR="0084295B" w:rsidRPr="0084295B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auto"/>
            <w:insideV w:val="single" w:sz="4" w:space="0" w:color="auto"/>
          </w:tblBorders>
          <w:shd w:val="clear" w:color="auto" w:fill="228B22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15165A" w:rsidRPr="0084295B" w:rsidRDefault="0015165A" w:rsidP="00837B9B">
            <w:pPr>
              <w:spacing w:before="0"/>
              <w:contextualSpacing/>
              <w:jc w:val="center"/>
              <w:rPr>
                <w:color w:val="FFFFFF" w:themeColor="background1"/>
                <w:sz w:val="20"/>
                <w:szCs w:val="20"/>
              </w:rPr>
            </w:pPr>
            <w:r w:rsidRPr="0084295B">
              <w:rPr>
                <w:color w:val="FFFFFF" w:themeColor="background1"/>
                <w:sz w:val="20"/>
                <w:szCs w:val="20"/>
              </w:rPr>
              <w:t xml:space="preserve">Quelle ESRS </w:t>
            </w:r>
            <w:r w:rsidR="00736FB9"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15165A" w:rsidRPr="0084295B" w:rsidRDefault="0015165A" w:rsidP="00837B9B">
            <w:pPr>
              <w:spacing w:befor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84295B">
              <w:rPr>
                <w:b/>
                <w:color w:val="FFFFFF" w:themeColor="background1"/>
                <w:sz w:val="20"/>
                <w:szCs w:val="20"/>
              </w:rPr>
              <w:t>Strategie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  <w:vAlign w:val="center"/>
          </w:tcPr>
          <w:p w:rsidR="0015165A" w:rsidRPr="0084295B" w:rsidRDefault="0015165A" w:rsidP="00837B9B">
            <w:pPr>
              <w:spacing w:befor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84295B">
              <w:rPr>
                <w:b/>
                <w:color w:val="FFFFFF" w:themeColor="background1"/>
                <w:sz w:val="16"/>
                <w:szCs w:val="16"/>
              </w:rPr>
              <w:t>Bemerkungen, ggf. Verweis auf Datenpunkte</w:t>
            </w:r>
          </w:p>
        </w:tc>
      </w:tr>
      <w:tr w:rsidR="00EC5F7A" w:rsidRPr="00403766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Before w:val="1"/>
          <w:wBefore w:w="10" w:type="dxa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5F7A" w:rsidRPr="0015165A" w:rsidRDefault="00EC5F7A" w:rsidP="00837B9B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 xml:space="preserve">AR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7A" w:rsidRPr="001711CB" w:rsidRDefault="00EC5F7A" w:rsidP="00837B9B">
            <w:pPr>
              <w:spacing w:befor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11CB">
              <w:rPr>
                <w:sz w:val="16"/>
                <w:szCs w:val="16"/>
              </w:rPr>
              <w:t xml:space="preserve">Bei der Angabe der Informationen über den </w:t>
            </w:r>
            <w:r w:rsidRPr="00590345">
              <w:rPr>
                <w:sz w:val="16"/>
                <w:szCs w:val="16"/>
                <w:highlight w:val="yellow"/>
              </w:rPr>
              <w:t>Umfang</w:t>
            </w:r>
            <w:r w:rsidRPr="001711CB">
              <w:rPr>
                <w:sz w:val="16"/>
                <w:szCs w:val="16"/>
              </w:rPr>
              <w:t xml:space="preserve"> der </w:t>
            </w:r>
            <w:proofErr w:type="spellStart"/>
            <w:r w:rsidRPr="00590345">
              <w:rPr>
                <w:sz w:val="16"/>
                <w:szCs w:val="16"/>
                <w:highlight w:val="yellow"/>
              </w:rPr>
              <w:t>Resilienzanalyse</w:t>
            </w:r>
            <w:proofErr w:type="spellEnd"/>
            <w:r w:rsidRPr="001711CB">
              <w:rPr>
                <w:sz w:val="16"/>
                <w:szCs w:val="16"/>
              </w:rPr>
              <w:t xml:space="preserve"> gemäß Absatz 19 Buchstabe a erläutert das Unternehmen, </w:t>
            </w:r>
            <w:r w:rsidRPr="00590345">
              <w:rPr>
                <w:sz w:val="16"/>
                <w:szCs w:val="16"/>
                <w:highlight w:val="yellow"/>
              </w:rPr>
              <w:t>welcher Teil</w:t>
            </w:r>
            <w:r w:rsidRPr="001711CB">
              <w:rPr>
                <w:sz w:val="16"/>
                <w:szCs w:val="16"/>
              </w:rPr>
              <w:t xml:space="preserve"> seiner </w:t>
            </w:r>
            <w:r w:rsidRPr="00590345">
              <w:rPr>
                <w:sz w:val="16"/>
                <w:szCs w:val="16"/>
                <w:highlight w:val="yellow"/>
              </w:rPr>
              <w:t>eigenen Geschäftstätigkeit</w:t>
            </w:r>
            <w:r w:rsidRPr="001711CB">
              <w:rPr>
                <w:sz w:val="16"/>
                <w:szCs w:val="16"/>
              </w:rPr>
              <w:t xml:space="preserve"> und seiner </w:t>
            </w:r>
            <w:r w:rsidRPr="00590345">
              <w:rPr>
                <w:sz w:val="16"/>
                <w:szCs w:val="16"/>
                <w:highlight w:val="yellow"/>
              </w:rPr>
              <w:t xml:space="preserve">vor- und nachgelagerten </w:t>
            </w:r>
            <w:r w:rsidRPr="00590345">
              <w:rPr>
                <w:b/>
                <w:bCs/>
                <w:sz w:val="16"/>
                <w:szCs w:val="16"/>
                <w:highlight w:val="yellow"/>
              </w:rPr>
              <w:t>Wertschöpfungskette</w:t>
            </w:r>
            <w:r w:rsidRPr="001711CB">
              <w:rPr>
                <w:b/>
                <w:bCs/>
                <w:sz w:val="16"/>
                <w:szCs w:val="16"/>
              </w:rPr>
              <w:t xml:space="preserve"> </w:t>
            </w:r>
            <w:r w:rsidRPr="001711CB">
              <w:rPr>
                <w:sz w:val="16"/>
                <w:szCs w:val="16"/>
              </w:rPr>
              <w:t xml:space="preserve">sowie welche wesentlichen </w:t>
            </w:r>
            <w:r w:rsidRPr="001711CB">
              <w:rPr>
                <w:b/>
                <w:bCs/>
                <w:sz w:val="16"/>
                <w:szCs w:val="16"/>
              </w:rPr>
              <w:t xml:space="preserve">physischen Risiken </w:t>
            </w:r>
            <w:r w:rsidRPr="001711CB">
              <w:rPr>
                <w:sz w:val="16"/>
                <w:szCs w:val="16"/>
              </w:rPr>
              <w:t xml:space="preserve">und </w:t>
            </w:r>
            <w:r w:rsidRPr="001711CB">
              <w:rPr>
                <w:b/>
                <w:bCs/>
                <w:sz w:val="16"/>
                <w:szCs w:val="16"/>
              </w:rPr>
              <w:t xml:space="preserve">Übergangsrisiken </w:t>
            </w:r>
            <w:r w:rsidRPr="001711CB">
              <w:rPr>
                <w:sz w:val="16"/>
                <w:szCs w:val="16"/>
              </w:rPr>
              <w:t>gegebenenfalls von der Analyse ausgenommen wurden.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7A" w:rsidRPr="00403766" w:rsidRDefault="00590345" w:rsidP="00837B9B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FC6E5C" wp14:editId="6422BE93">
                      <wp:simplePos x="0" y="0"/>
                      <wp:positionH relativeFrom="column">
                        <wp:posOffset>349664</wp:posOffset>
                      </wp:positionH>
                      <wp:positionV relativeFrom="paragraph">
                        <wp:posOffset>191853</wp:posOffset>
                      </wp:positionV>
                      <wp:extent cx="808576" cy="413385"/>
                      <wp:effectExtent l="247650" t="0" r="0" b="5715"/>
                      <wp:wrapNone/>
                      <wp:docPr id="4" name="Sprechblase: rechtecki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576" cy="413385"/>
                              </a:xfrm>
                              <a:prstGeom prst="wedgeRectCallout">
                                <a:avLst>
                                  <a:gd name="adj1" fmla="val -79891"/>
                                  <a:gd name="adj2" fmla="val -32072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0345" w:rsidRPr="00E94F04" w:rsidRDefault="00590345" w:rsidP="0059034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„Umfang“ = Reichweite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C6E5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4" o:spid="_x0000_s1029" type="#_x0000_t61" style="position:absolute;left:0;text-align:left;margin-left:27.55pt;margin-top:15.1pt;width:63.65pt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" adj="-6456,3872" fillcolor="#d8d8d8 [2732]" stroked="f" strokeweight="2pt">
                      <v:textbox>
                        <w:txbxContent>
                          <w:p w:rsidR="00590345" w:rsidRPr="00E94F04" w:rsidRDefault="00590345" w:rsidP="00590345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„Umfang“ = Reichweite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5F7A" w:rsidRPr="008E116B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5F7A" w:rsidRPr="0015165A" w:rsidRDefault="00EC5F7A" w:rsidP="00837B9B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 xml:space="preserve">AR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7A" w:rsidRPr="001711CB" w:rsidRDefault="00EC5F7A" w:rsidP="00837B9B">
            <w:pPr>
              <w:pStyle w:val="Default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 xml:space="preserve">Bei der Angabe der Informationen darüber,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wie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die </w:t>
            </w:r>
            <w:proofErr w:type="spellStart"/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Resilienzanalyse</w:t>
            </w:r>
            <w:proofErr w:type="spellEnd"/>
            <w:r w:rsidRPr="001711CB">
              <w:rPr>
                <w:rFonts w:ascii="Century Gothic" w:hAnsi="Century Gothic"/>
                <w:sz w:val="16"/>
                <w:szCs w:val="16"/>
              </w:rPr>
              <w:t xml:space="preserve"> gemäß Absatz 19 Buchstabe b durchgeführt wurde, erläutert das Unternehmen Folgendes:</w:t>
            </w:r>
          </w:p>
          <w:p w:rsidR="00EC5F7A" w:rsidRPr="001711CB" w:rsidRDefault="00EC5F7A" w:rsidP="002E653A">
            <w:pPr>
              <w:pStyle w:val="Default"/>
              <w:numPr>
                <w:ilvl w:val="0"/>
                <w:numId w:val="15"/>
              </w:numPr>
              <w:ind w:left="466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 xml:space="preserve">die kritischen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Annahmen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darüber,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wie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sich der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Übergang zu einer CO2-armen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und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resilienten Wirtschaft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auf die das Unternehmen betreffenden makroökonomischen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Trends,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den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Energieverbrauch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und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Energiemix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sowie die Annahmen über den Einsatz von Technologien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auswirken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wird,</w:t>
            </w:r>
          </w:p>
          <w:p w:rsidR="00EC5F7A" w:rsidRPr="001711CB" w:rsidRDefault="00EC5F7A" w:rsidP="002E653A">
            <w:pPr>
              <w:pStyle w:val="Default"/>
              <w:numPr>
                <w:ilvl w:val="0"/>
                <w:numId w:val="15"/>
              </w:numPr>
              <w:ind w:left="466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 xml:space="preserve">die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angewandten Zeithorizonte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und ihre Ausrichtung auf die Klima- und Geschäftsszenarien, die für die Bestimmung wesentlicher </w:t>
            </w:r>
            <w:r w:rsidRPr="001711C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physischer Risiken 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und </w:t>
            </w:r>
            <w:r w:rsidRPr="001711C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Übergangsrisiken 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(Abschnitte AR 11 und AR 12) und die </w:t>
            </w:r>
            <w:r w:rsidRPr="00590345">
              <w:rPr>
                <w:rFonts w:ascii="Century Gothic" w:hAnsi="Century Gothic"/>
                <w:sz w:val="16"/>
                <w:szCs w:val="16"/>
                <w:highlight w:val="yellow"/>
              </w:rPr>
              <w:t>Festlegung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r w:rsidRPr="00590345"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  <w:t>Emissionsreduktionszielen</w:t>
            </w:r>
            <w:r w:rsidRPr="001711C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1711CB">
              <w:rPr>
                <w:rFonts w:ascii="Century Gothic" w:hAnsi="Century Gothic"/>
                <w:sz w:val="16"/>
                <w:szCs w:val="16"/>
              </w:rPr>
              <w:t>(die im Rahmen der Angabepflicht E1-4 übermittelt werden) verwendet werden, und</w:t>
            </w:r>
          </w:p>
          <w:p w:rsidR="00EC5F7A" w:rsidRPr="001711CB" w:rsidRDefault="00EC5F7A" w:rsidP="002E653A">
            <w:pPr>
              <w:pStyle w:val="Default"/>
              <w:numPr>
                <w:ilvl w:val="0"/>
                <w:numId w:val="15"/>
              </w:numPr>
              <w:ind w:left="466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 xml:space="preserve">wie die geschätzten </w:t>
            </w:r>
            <w:r w:rsidRPr="00590345"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  <w:t>erwarteten finanziellen Auswirkungen</w:t>
            </w:r>
            <w:r w:rsidRPr="001711C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wesentlicher </w:t>
            </w:r>
            <w:r w:rsidRPr="001711C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physischer Risiken 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und </w:t>
            </w:r>
            <w:r w:rsidRPr="001711C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Übergangsrisiken </w:t>
            </w:r>
            <w:r w:rsidRPr="001711CB">
              <w:rPr>
                <w:rFonts w:ascii="Century Gothic" w:hAnsi="Century Gothic"/>
                <w:sz w:val="16"/>
                <w:szCs w:val="16"/>
              </w:rPr>
              <w:t>(gemäß Angabepflicht E1-9) sowie die Klimaschutzmaßnahmen und Mittel (die im Rahmen der Angabepflicht E1-3 angegeben werden) berücksichtigt wurden.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7A" w:rsidRPr="00EC5F7A" w:rsidRDefault="002E653A" w:rsidP="00837B9B">
            <w:pPr>
              <w:spacing w:before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47E5D7" wp14:editId="73493D06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774534</wp:posOffset>
                      </wp:positionV>
                      <wp:extent cx="864235" cy="1152525"/>
                      <wp:effectExtent l="247650" t="0" r="0" b="9525"/>
                      <wp:wrapNone/>
                      <wp:docPr id="6" name="Sprechblase: rechtecki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235" cy="1152525"/>
                              </a:xfrm>
                              <a:prstGeom prst="wedgeRectCallout">
                                <a:avLst>
                                  <a:gd name="adj1" fmla="val -77011"/>
                                  <a:gd name="adj2" fmla="val -3305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53A" w:rsidRDefault="002E653A" w:rsidP="002E653A">
                                  <w:pPr>
                                    <w:spacing w:before="0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Umsetzung der CO</w:t>
                                  </w:r>
                                  <w:r w:rsidRPr="002E653A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-Reduktionsziele </w:t>
                                  </w:r>
                                </w:p>
                                <w:p w:rsidR="002E653A" w:rsidRPr="002E653A" w:rsidRDefault="002E653A" w:rsidP="002E653A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before="0"/>
                                    <w:ind w:left="142" w:hanging="142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E653A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Technologie</w:t>
                                  </w:r>
                                </w:p>
                                <w:p w:rsidR="002E653A" w:rsidRPr="002E653A" w:rsidRDefault="002E653A" w:rsidP="002E653A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before="0"/>
                                    <w:ind w:left="142" w:hanging="142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E653A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Zeithorizonte</w:t>
                                  </w:r>
                                </w:p>
                                <w:p w:rsidR="002E653A" w:rsidRPr="002E653A" w:rsidRDefault="002E653A" w:rsidP="002E653A">
                                  <w:pPr>
                                    <w:pStyle w:val="Listenabsatz"/>
                                    <w:numPr>
                                      <w:ilvl w:val="0"/>
                                      <w:numId w:val="16"/>
                                    </w:numPr>
                                    <w:spacing w:before="0"/>
                                    <w:ind w:left="142" w:hanging="142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E653A"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Finanzen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7E5D7" id="Sprechblase: rechteckig 6" o:spid="_x0000_s1030" type="#_x0000_t61" style="position:absolute;left:0;text-align:left;margin-left:23.15pt;margin-top:61pt;width:68.0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" adj="-5834,3659" fillcolor="#d8d8d8 [2732]" stroked="f" strokeweight="2pt">
                      <v:textbox>
                        <w:txbxContent>
                          <w:p w:rsidR="002E653A" w:rsidRDefault="002E653A" w:rsidP="002E653A">
                            <w:pPr>
                              <w:spacing w:before="0"/>
                              <w:jc w:val="left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Umsetzung der CO</w:t>
                            </w:r>
                            <w:r w:rsidRPr="002E653A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-Reduktionsziele </w:t>
                            </w:r>
                          </w:p>
                          <w:p w:rsidR="002E653A" w:rsidRPr="002E653A" w:rsidRDefault="002E653A" w:rsidP="002E653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before="0"/>
                              <w:ind w:left="142" w:hanging="142"/>
                              <w:jc w:val="left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E653A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Technologie</w:t>
                            </w:r>
                          </w:p>
                          <w:p w:rsidR="002E653A" w:rsidRPr="002E653A" w:rsidRDefault="002E653A" w:rsidP="002E653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before="0"/>
                              <w:ind w:left="142" w:hanging="142"/>
                              <w:jc w:val="left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E653A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Zeithorizonte</w:t>
                            </w:r>
                          </w:p>
                          <w:p w:rsidR="002E653A" w:rsidRPr="002E653A" w:rsidRDefault="002E653A" w:rsidP="002E653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before="0"/>
                              <w:ind w:left="142" w:hanging="142"/>
                              <w:jc w:val="left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E653A"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Finanzen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5F7A" w:rsidRPr="008E116B" w:rsidTr="009571B1">
        <w:tblPrEx>
          <w:tblBorders>
            <w:top w:val="single" w:sz="4" w:space="0" w:color="FABF8F" w:themeColor="accent6" w:themeTint="99"/>
            <w:left w:val="single" w:sz="4" w:space="0" w:color="FABF8F" w:themeColor="accent6" w:themeTint="99"/>
            <w:bottom w:val="single" w:sz="4" w:space="0" w:color="FABF8F" w:themeColor="accent6" w:themeTint="99"/>
            <w:right w:val="single" w:sz="4" w:space="0" w:color="FABF8F" w:themeColor="accent6" w:themeTint="99"/>
            <w:insideH w:val="single" w:sz="4" w:space="0" w:color="FABF8F" w:themeColor="accent6" w:themeTint="99"/>
            <w:insideV w:val="single" w:sz="4" w:space="0" w:color="FABF8F" w:themeColor="accent6" w:themeTint="99"/>
          </w:tblBorders>
          <w:shd w:val="clear" w:color="auto" w:fill="auto"/>
        </w:tblPrEx>
        <w:trPr>
          <w:gridBefore w:val="1"/>
          <w:wBefore w:w="10" w:type="dxa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5F7A" w:rsidRPr="0015165A" w:rsidRDefault="00EC5F7A" w:rsidP="00837B9B">
            <w:pPr>
              <w:spacing w:before="0"/>
              <w:contextualSpacing/>
              <w:jc w:val="center"/>
              <w:rPr>
                <w:sz w:val="16"/>
                <w:szCs w:val="16"/>
              </w:rPr>
            </w:pPr>
            <w:r w:rsidRPr="0015165A">
              <w:rPr>
                <w:sz w:val="16"/>
                <w:szCs w:val="16"/>
              </w:rPr>
              <w:t xml:space="preserve">AR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7A" w:rsidRDefault="00EC5F7A" w:rsidP="00837B9B">
            <w:pPr>
              <w:pStyle w:val="Default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 xml:space="preserve">Bei der Angabe der Informationen über die </w:t>
            </w:r>
            <w:r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Ergebnisse der </w:t>
            </w:r>
            <w:proofErr w:type="spellStart"/>
            <w:r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Resilienzanalyse</w:t>
            </w:r>
            <w:proofErr w:type="spellEnd"/>
            <w:r w:rsidRPr="001711CB">
              <w:rPr>
                <w:rFonts w:ascii="Century Gothic" w:hAnsi="Century Gothic"/>
                <w:sz w:val="16"/>
                <w:szCs w:val="16"/>
              </w:rPr>
              <w:t xml:space="preserve"> gemäß Absatz 19 Buchstabe c erläutert das Unternehmen Folgendes:</w:t>
            </w:r>
          </w:p>
          <w:p w:rsidR="00EC5F7A" w:rsidRPr="001711CB" w:rsidRDefault="001711CB" w:rsidP="002E653A">
            <w:pPr>
              <w:pStyle w:val="Default"/>
              <w:numPr>
                <w:ilvl w:val="0"/>
                <w:numId w:val="14"/>
              </w:numPr>
              <w:ind w:left="46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>die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C5F7A"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Bereiche,</w:t>
            </w:r>
            <w:r w:rsidR="00EC5F7A" w:rsidRPr="001711CB">
              <w:rPr>
                <w:rFonts w:ascii="Century Gothic" w:hAnsi="Century Gothic"/>
                <w:sz w:val="16"/>
                <w:szCs w:val="16"/>
              </w:rPr>
              <w:t xml:space="preserve"> in denen bei der </w:t>
            </w:r>
            <w:proofErr w:type="spellStart"/>
            <w:r w:rsidR="00EC5F7A" w:rsidRPr="001711CB">
              <w:rPr>
                <w:rFonts w:ascii="Century Gothic" w:hAnsi="Century Gothic"/>
                <w:sz w:val="16"/>
                <w:szCs w:val="16"/>
              </w:rPr>
              <w:t>Resilienzanalyse</w:t>
            </w:r>
            <w:proofErr w:type="spellEnd"/>
            <w:r w:rsidR="00EC5F7A" w:rsidRPr="001711C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C5F7A"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Unsicherheiten</w:t>
            </w:r>
            <w:r w:rsidR="00EC5F7A" w:rsidRPr="001711CB">
              <w:rPr>
                <w:rFonts w:ascii="Century Gothic" w:hAnsi="Century Gothic"/>
                <w:sz w:val="16"/>
                <w:szCs w:val="16"/>
              </w:rPr>
              <w:t xml:space="preserve"> bestehen, und </w:t>
            </w:r>
            <w:r w:rsidR="00EC5F7A"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inwieweit</w:t>
            </w:r>
            <w:r w:rsidR="00EC5F7A" w:rsidRPr="001711CB">
              <w:rPr>
                <w:rFonts w:ascii="Century Gothic" w:hAnsi="Century Gothic"/>
                <w:sz w:val="16"/>
                <w:szCs w:val="16"/>
              </w:rPr>
              <w:t xml:space="preserve"> die </w:t>
            </w:r>
            <w:r w:rsidR="00EC5F7A"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risikobehafteten Vermögenswerte und Geschäftstätigkeiten</w:t>
            </w:r>
            <w:r w:rsidR="00EC5F7A" w:rsidRPr="002E653A">
              <w:rPr>
                <w:rFonts w:ascii="Century Gothic" w:hAnsi="Century Gothic"/>
                <w:sz w:val="16"/>
                <w:szCs w:val="16"/>
              </w:rPr>
              <w:t xml:space="preserve"> bei </w:t>
            </w:r>
            <w:r w:rsidR="00EC5F7A" w:rsidRPr="001711CB">
              <w:rPr>
                <w:rFonts w:ascii="Century Gothic" w:hAnsi="Century Gothic"/>
                <w:sz w:val="16"/>
                <w:szCs w:val="16"/>
              </w:rPr>
              <w:t xml:space="preserve">der Festlegung der Strategie des Unternehmens, seinen Investitionsentscheidungen sowie den laufenden </w:t>
            </w:r>
            <w:r w:rsidR="00EC5F7A"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und geplanten Klimaschutzmaßnahmen</w:t>
            </w:r>
            <w:r w:rsidR="00EC5F7A" w:rsidRPr="002E653A">
              <w:rPr>
                <w:rFonts w:ascii="Century Gothic" w:hAnsi="Century Gothic"/>
                <w:sz w:val="16"/>
                <w:szCs w:val="16"/>
              </w:rPr>
              <w:t xml:space="preserve"> berücksichtigt</w:t>
            </w:r>
            <w:r w:rsidR="00EC5F7A" w:rsidRPr="001711CB">
              <w:rPr>
                <w:rFonts w:ascii="Century Gothic" w:hAnsi="Century Gothic"/>
                <w:sz w:val="16"/>
                <w:szCs w:val="16"/>
              </w:rPr>
              <w:t xml:space="preserve"> werden,</w:t>
            </w:r>
          </w:p>
          <w:p w:rsidR="00EC5F7A" w:rsidRPr="001711CB" w:rsidRDefault="00EC5F7A" w:rsidP="002E653A">
            <w:pPr>
              <w:pStyle w:val="Default"/>
              <w:numPr>
                <w:ilvl w:val="0"/>
                <w:numId w:val="14"/>
              </w:numPr>
              <w:ind w:left="466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11CB">
              <w:rPr>
                <w:rFonts w:ascii="Century Gothic" w:hAnsi="Century Gothic"/>
                <w:sz w:val="16"/>
                <w:szCs w:val="16"/>
              </w:rPr>
              <w:t xml:space="preserve">die Fähigkeit des Unternehmens, sein </w:t>
            </w:r>
            <w:r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Geschäftsmodell kurz-, mittel- und langfristig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an den Klimawandel anzupassen, auch im Hinblick darauf, den ständigen Zugang zu Finanzmitteln zu </w:t>
            </w:r>
            <w:r w:rsidRPr="002E653A">
              <w:rPr>
                <w:rFonts w:ascii="Century Gothic" w:hAnsi="Century Gothic"/>
                <w:sz w:val="16"/>
                <w:szCs w:val="16"/>
                <w:highlight w:val="yellow"/>
              </w:rPr>
              <w:t>erschwinglichen Kapitalkosten,</w:t>
            </w:r>
            <w:r w:rsidRPr="001711CB">
              <w:rPr>
                <w:rFonts w:ascii="Century Gothic" w:hAnsi="Century Gothic"/>
                <w:sz w:val="16"/>
                <w:szCs w:val="16"/>
              </w:rPr>
              <w:t xml:space="preserve"> die Fähigkeit zur Umwidmung, Modernisierung oder Stilllegung vorhandener Vermögenswerte, die Verlagerung seines Produkt- und Dienstleistungsportfolios oder die Umschulung seiner Arbeitskräfte sicherzustellen.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7A" w:rsidRPr="00EC5F7A" w:rsidRDefault="002E653A" w:rsidP="00837B9B">
            <w:pPr>
              <w:spacing w:befor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32104C" wp14:editId="65A8132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782016</wp:posOffset>
                      </wp:positionV>
                      <wp:extent cx="864235" cy="897890"/>
                      <wp:effectExtent l="209550" t="0" r="0" b="0"/>
                      <wp:wrapNone/>
                      <wp:docPr id="7" name="Sprechblase: rechtecki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235" cy="897890"/>
                              </a:xfrm>
                              <a:prstGeom prst="wedgeRectCallout">
                                <a:avLst>
                                  <a:gd name="adj1" fmla="val -73331"/>
                                  <a:gd name="adj2" fmla="val -30813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653A" w:rsidRPr="002E653A" w:rsidRDefault="002E653A" w:rsidP="002E653A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Anpassungsdynamik des Geschäftsmodels relevant für künftige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br/>
                                    <w:t>Finanzierung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2104C" id="Sprechblase: rechteckig 7" o:spid="_x0000_s1031" type="#_x0000_t61" style="position:absolute;left:0;text-align:left;margin-left:23.15pt;margin-top:61.6pt;width:68.05pt;height:7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" adj="-5039,4144" fillcolor="#d8d8d8 [2732]" stroked="f" strokeweight="2pt">
                      <v:textbox>
                        <w:txbxContent>
                          <w:p w:rsidR="002E653A" w:rsidRPr="002E653A" w:rsidRDefault="002E653A" w:rsidP="002E653A">
                            <w:pPr>
                              <w:spacing w:before="0"/>
                              <w:jc w:val="center"/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Anpassungsdynamik des Geschäftsmodels relevant für künftige</w:t>
                            </w:r>
                            <w:r>
                              <w:rPr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br/>
                              <w:t>Finanzierung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7377" w:rsidRDefault="00C07377"/>
    <w:tbl>
      <w:tblPr>
        <w:tblStyle w:val="Gitternetztabelle4Akzent6"/>
        <w:tblW w:w="9072" w:type="dxa"/>
        <w:tblInd w:w="-10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2E653A" w:rsidRPr="008E116B" w:rsidTr="00C07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3A" w:rsidRPr="002E653A" w:rsidRDefault="002E653A" w:rsidP="002E653A">
            <w:pPr>
              <w:spacing w:before="0"/>
              <w:contextualSpacing/>
              <w:jc w:val="left"/>
              <w:rPr>
                <w:rFonts w:cs="EUAlbertina"/>
                <w:bCs w:val="0"/>
                <w:color w:val="000000"/>
                <w:sz w:val="16"/>
                <w:szCs w:val="16"/>
              </w:rPr>
            </w:pPr>
            <w:r w:rsidRPr="002E653A">
              <w:rPr>
                <w:rFonts w:cs="EUAlbertina"/>
                <w:bCs w:val="0"/>
                <w:color w:val="000000"/>
                <w:sz w:val="16"/>
                <w:szCs w:val="16"/>
              </w:rPr>
              <w:t xml:space="preserve">Umfang der </w:t>
            </w:r>
            <w:r w:rsidR="00C07377">
              <w:rPr>
                <w:rFonts w:cs="EUAlbertina"/>
                <w:bCs w:val="0"/>
                <w:color w:val="000000"/>
                <w:sz w:val="16"/>
                <w:szCs w:val="16"/>
              </w:rPr>
              <w:t>Ausführungen</w:t>
            </w:r>
            <w:r w:rsidRPr="002E653A">
              <w:rPr>
                <w:rFonts w:cs="EUAlbertina"/>
                <w:bCs w:val="0"/>
                <w:color w:val="000000"/>
                <w:sz w:val="16"/>
                <w:szCs w:val="16"/>
              </w:rPr>
              <w:t>:</w:t>
            </w:r>
          </w:p>
          <w:p w:rsidR="002E653A" w:rsidRPr="002E653A" w:rsidRDefault="002E653A" w:rsidP="002E653A">
            <w:pPr>
              <w:spacing w:before="0"/>
              <w:contextualSpacing/>
              <w:jc w:val="left"/>
              <w:rPr>
                <w:rFonts w:cs="EUAlbertina"/>
                <w:b w:val="0"/>
                <w:bCs w:val="0"/>
                <w:color w:val="000000"/>
                <w:sz w:val="16"/>
                <w:szCs w:val="16"/>
              </w:rPr>
            </w:pPr>
            <w:r w:rsidRPr="002E653A">
              <w:rPr>
                <w:rFonts w:cs="EUAlbertina"/>
                <w:b w:val="0"/>
                <w:bCs w:val="0"/>
                <w:color w:val="000000"/>
                <w:sz w:val="16"/>
                <w:szCs w:val="16"/>
              </w:rPr>
              <w:t xml:space="preserve">Es werden insgesamt 12 Angaben, zumeist beschreibender Art gefordert </w:t>
            </w:r>
          </w:p>
        </w:tc>
      </w:tr>
    </w:tbl>
    <w:p w:rsidR="0015165A" w:rsidRDefault="0015165A" w:rsidP="00EC5F7A">
      <w:pPr>
        <w:jc w:val="left"/>
        <w:rPr>
          <w:sz w:val="16"/>
          <w:szCs w:val="28"/>
        </w:rPr>
      </w:pPr>
    </w:p>
    <w:sectPr w:rsidR="0015165A" w:rsidSect="00AD0C1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AD0C11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AD0C11" w:rsidRDefault="00AD0C11" w:rsidP="00AD0C11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256029732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AD0C11" w:rsidRDefault="00AD0C11" w:rsidP="00AD0C11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AD0C11" w:rsidRDefault="00AD0C11" w:rsidP="00AD0C11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0B3E8CFD" wp14:editId="79B38FDC">
                <wp:extent cx="1125855" cy="431800"/>
                <wp:effectExtent l="0" t="0" r="0" b="635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AD0C11" w:rsidRDefault="00AD0C11" w:rsidP="00AD0C11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78A2F5D6" wp14:editId="1EBE09F5">
                <wp:extent cx="1151255" cy="431800"/>
                <wp:effectExtent l="0" t="0" r="0" b="635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AD0C11" w:rsidRDefault="00AD0C11" w:rsidP="00AD0C11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5/9</w:t>
          </w:r>
        </w:p>
        <w:p w:rsidR="00AD0C11" w:rsidRDefault="00AD0C11" w:rsidP="00AD0C11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AD0C11" w:rsidRDefault="009E6C29" w:rsidP="00AD0C11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AD0C11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AD0C11" w:rsidRDefault="00AD0C11" w:rsidP="00AD0C11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AD0C11" w:rsidRDefault="00AD0C11" w:rsidP="00AD0C11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AD0C11" w:rsidRDefault="00AD0C11" w:rsidP="00AD0C11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0B3E8CFD" wp14:editId="79B38FDC">
                <wp:extent cx="1125855" cy="431800"/>
                <wp:effectExtent l="0" t="0" r="0" b="635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AD0C11" w:rsidRDefault="00AD0C11" w:rsidP="00AD0C11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78A2F5D6" wp14:editId="1EBE09F5">
                <wp:extent cx="1151255" cy="431800"/>
                <wp:effectExtent l="0" t="0" r="0" b="635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AD0C11" w:rsidRDefault="00AD0C11" w:rsidP="00AD0C11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9</w:t>
          </w:r>
        </w:p>
        <w:p w:rsidR="00AD0C11" w:rsidRDefault="00AD0C11" w:rsidP="00AD0C11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AD0C11" w:rsidRDefault="009E6C29" w:rsidP="00AD0C11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9E6C29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D345BA"/>
    <w:multiLevelType w:val="hybridMultilevel"/>
    <w:tmpl w:val="F2FC3E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66A8"/>
    <w:multiLevelType w:val="hybridMultilevel"/>
    <w:tmpl w:val="0810A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35E2"/>
    <w:multiLevelType w:val="hybridMultilevel"/>
    <w:tmpl w:val="F6165D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82A08"/>
    <w:multiLevelType w:val="hybridMultilevel"/>
    <w:tmpl w:val="E72079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13D0"/>
    <w:rsid w:val="0002748A"/>
    <w:rsid w:val="00030ECD"/>
    <w:rsid w:val="0003242D"/>
    <w:rsid w:val="0003449D"/>
    <w:rsid w:val="0004061E"/>
    <w:rsid w:val="0004096F"/>
    <w:rsid w:val="000503CF"/>
    <w:rsid w:val="0005326E"/>
    <w:rsid w:val="000616B8"/>
    <w:rsid w:val="00064F40"/>
    <w:rsid w:val="000732FA"/>
    <w:rsid w:val="00075E7C"/>
    <w:rsid w:val="00080B9A"/>
    <w:rsid w:val="00086B8A"/>
    <w:rsid w:val="0009344D"/>
    <w:rsid w:val="00097B2B"/>
    <w:rsid w:val="000A78F2"/>
    <w:rsid w:val="000B1337"/>
    <w:rsid w:val="000C61BA"/>
    <w:rsid w:val="000D0B32"/>
    <w:rsid w:val="000D349D"/>
    <w:rsid w:val="000D6428"/>
    <w:rsid w:val="000E0C5F"/>
    <w:rsid w:val="000E26F7"/>
    <w:rsid w:val="000E57B4"/>
    <w:rsid w:val="000F2D44"/>
    <w:rsid w:val="000F76D9"/>
    <w:rsid w:val="00106BBE"/>
    <w:rsid w:val="00111AC6"/>
    <w:rsid w:val="00114EA5"/>
    <w:rsid w:val="00115916"/>
    <w:rsid w:val="001205E2"/>
    <w:rsid w:val="00130748"/>
    <w:rsid w:val="00143F11"/>
    <w:rsid w:val="001468B7"/>
    <w:rsid w:val="0015165A"/>
    <w:rsid w:val="001610A2"/>
    <w:rsid w:val="00165A53"/>
    <w:rsid w:val="001711CB"/>
    <w:rsid w:val="00180880"/>
    <w:rsid w:val="00182B83"/>
    <w:rsid w:val="00184E10"/>
    <w:rsid w:val="0019585B"/>
    <w:rsid w:val="001A1B58"/>
    <w:rsid w:val="001A25AE"/>
    <w:rsid w:val="001A6337"/>
    <w:rsid w:val="001B3F50"/>
    <w:rsid w:val="001B7418"/>
    <w:rsid w:val="001B7E25"/>
    <w:rsid w:val="001C0D6B"/>
    <w:rsid w:val="001C1789"/>
    <w:rsid w:val="001D22E2"/>
    <w:rsid w:val="001E1F96"/>
    <w:rsid w:val="001E38E2"/>
    <w:rsid w:val="001E7A82"/>
    <w:rsid w:val="001F04DD"/>
    <w:rsid w:val="002051B1"/>
    <w:rsid w:val="0020575E"/>
    <w:rsid w:val="002065BE"/>
    <w:rsid w:val="0021047B"/>
    <w:rsid w:val="00213C34"/>
    <w:rsid w:val="00213CF9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1F83"/>
    <w:rsid w:val="0029592F"/>
    <w:rsid w:val="002A064F"/>
    <w:rsid w:val="002A0C98"/>
    <w:rsid w:val="002A108A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E653A"/>
    <w:rsid w:val="002F09D8"/>
    <w:rsid w:val="002F6B99"/>
    <w:rsid w:val="002F771F"/>
    <w:rsid w:val="00301DCE"/>
    <w:rsid w:val="00304799"/>
    <w:rsid w:val="00340216"/>
    <w:rsid w:val="00342964"/>
    <w:rsid w:val="00352142"/>
    <w:rsid w:val="00354556"/>
    <w:rsid w:val="00360F3D"/>
    <w:rsid w:val="00364269"/>
    <w:rsid w:val="003703D1"/>
    <w:rsid w:val="00376DCD"/>
    <w:rsid w:val="00382BCD"/>
    <w:rsid w:val="003875E4"/>
    <w:rsid w:val="003932A1"/>
    <w:rsid w:val="003A6CCF"/>
    <w:rsid w:val="003A6FEB"/>
    <w:rsid w:val="003A7861"/>
    <w:rsid w:val="003B0522"/>
    <w:rsid w:val="003B420D"/>
    <w:rsid w:val="003D15FE"/>
    <w:rsid w:val="003E348F"/>
    <w:rsid w:val="003E5835"/>
    <w:rsid w:val="003E638B"/>
    <w:rsid w:val="003F1B18"/>
    <w:rsid w:val="003F362C"/>
    <w:rsid w:val="00402C0A"/>
    <w:rsid w:val="00403766"/>
    <w:rsid w:val="0040510C"/>
    <w:rsid w:val="004076E9"/>
    <w:rsid w:val="0041402E"/>
    <w:rsid w:val="004144DB"/>
    <w:rsid w:val="00414D05"/>
    <w:rsid w:val="00416098"/>
    <w:rsid w:val="00416270"/>
    <w:rsid w:val="004248A0"/>
    <w:rsid w:val="00425D64"/>
    <w:rsid w:val="004261DA"/>
    <w:rsid w:val="004279BD"/>
    <w:rsid w:val="00433509"/>
    <w:rsid w:val="00440D21"/>
    <w:rsid w:val="00445BB8"/>
    <w:rsid w:val="0044742E"/>
    <w:rsid w:val="00454705"/>
    <w:rsid w:val="00465DB3"/>
    <w:rsid w:val="0047207E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13B4"/>
    <w:rsid w:val="004C3F5D"/>
    <w:rsid w:val="004C60FF"/>
    <w:rsid w:val="004D43D5"/>
    <w:rsid w:val="004D6C91"/>
    <w:rsid w:val="004E699D"/>
    <w:rsid w:val="004F1A62"/>
    <w:rsid w:val="004F1C26"/>
    <w:rsid w:val="004F1E92"/>
    <w:rsid w:val="004F236E"/>
    <w:rsid w:val="0050152B"/>
    <w:rsid w:val="00503C2E"/>
    <w:rsid w:val="005060F4"/>
    <w:rsid w:val="00511D67"/>
    <w:rsid w:val="005126C2"/>
    <w:rsid w:val="00516C43"/>
    <w:rsid w:val="0052103B"/>
    <w:rsid w:val="00523480"/>
    <w:rsid w:val="00525CDB"/>
    <w:rsid w:val="00527267"/>
    <w:rsid w:val="00527970"/>
    <w:rsid w:val="00533698"/>
    <w:rsid w:val="00534A4B"/>
    <w:rsid w:val="00537185"/>
    <w:rsid w:val="005473EF"/>
    <w:rsid w:val="0055136F"/>
    <w:rsid w:val="0055156D"/>
    <w:rsid w:val="00553555"/>
    <w:rsid w:val="00563BB6"/>
    <w:rsid w:val="00567521"/>
    <w:rsid w:val="00583AA1"/>
    <w:rsid w:val="0058527F"/>
    <w:rsid w:val="00585859"/>
    <w:rsid w:val="00590345"/>
    <w:rsid w:val="005913EC"/>
    <w:rsid w:val="005921A2"/>
    <w:rsid w:val="00594C08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4260"/>
    <w:rsid w:val="005D7367"/>
    <w:rsid w:val="005E0577"/>
    <w:rsid w:val="005E07BD"/>
    <w:rsid w:val="005E7803"/>
    <w:rsid w:val="005F6F40"/>
    <w:rsid w:val="0062226E"/>
    <w:rsid w:val="00632C1A"/>
    <w:rsid w:val="006415FE"/>
    <w:rsid w:val="006454CF"/>
    <w:rsid w:val="0065198F"/>
    <w:rsid w:val="006521FF"/>
    <w:rsid w:val="00665F75"/>
    <w:rsid w:val="00666AFB"/>
    <w:rsid w:val="0066763B"/>
    <w:rsid w:val="0068164E"/>
    <w:rsid w:val="00684B37"/>
    <w:rsid w:val="006A27FA"/>
    <w:rsid w:val="006C4228"/>
    <w:rsid w:val="006D45A1"/>
    <w:rsid w:val="006D7242"/>
    <w:rsid w:val="006E24F6"/>
    <w:rsid w:val="006E7126"/>
    <w:rsid w:val="006F281C"/>
    <w:rsid w:val="007024CA"/>
    <w:rsid w:val="007026D1"/>
    <w:rsid w:val="00711AB6"/>
    <w:rsid w:val="00715003"/>
    <w:rsid w:val="00716DD5"/>
    <w:rsid w:val="00720E5C"/>
    <w:rsid w:val="00736FB9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0F21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37B9B"/>
    <w:rsid w:val="0084295B"/>
    <w:rsid w:val="008471C9"/>
    <w:rsid w:val="008507A2"/>
    <w:rsid w:val="00855B99"/>
    <w:rsid w:val="00861273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34ED"/>
    <w:rsid w:val="008976BA"/>
    <w:rsid w:val="008A5560"/>
    <w:rsid w:val="008B4862"/>
    <w:rsid w:val="008C44B0"/>
    <w:rsid w:val="008C4725"/>
    <w:rsid w:val="008D1A8E"/>
    <w:rsid w:val="008E0D82"/>
    <w:rsid w:val="008E0FC7"/>
    <w:rsid w:val="008E116B"/>
    <w:rsid w:val="008F75E7"/>
    <w:rsid w:val="009075A9"/>
    <w:rsid w:val="009212B4"/>
    <w:rsid w:val="00934C5B"/>
    <w:rsid w:val="0095198B"/>
    <w:rsid w:val="00952AD1"/>
    <w:rsid w:val="009571B1"/>
    <w:rsid w:val="00970211"/>
    <w:rsid w:val="009760D0"/>
    <w:rsid w:val="00977270"/>
    <w:rsid w:val="009773FE"/>
    <w:rsid w:val="00984AAE"/>
    <w:rsid w:val="00985A96"/>
    <w:rsid w:val="00990776"/>
    <w:rsid w:val="0099236A"/>
    <w:rsid w:val="009A6E64"/>
    <w:rsid w:val="009C0A38"/>
    <w:rsid w:val="009C1E3E"/>
    <w:rsid w:val="009C2FF2"/>
    <w:rsid w:val="009C542C"/>
    <w:rsid w:val="009C6EFB"/>
    <w:rsid w:val="009C7454"/>
    <w:rsid w:val="009C7804"/>
    <w:rsid w:val="009D0798"/>
    <w:rsid w:val="009D429E"/>
    <w:rsid w:val="009E1FB1"/>
    <w:rsid w:val="009E52C9"/>
    <w:rsid w:val="009E6C29"/>
    <w:rsid w:val="009F6E01"/>
    <w:rsid w:val="00A06317"/>
    <w:rsid w:val="00A237ED"/>
    <w:rsid w:val="00A23F62"/>
    <w:rsid w:val="00A31197"/>
    <w:rsid w:val="00A5114A"/>
    <w:rsid w:val="00A60311"/>
    <w:rsid w:val="00A613A1"/>
    <w:rsid w:val="00A62C9B"/>
    <w:rsid w:val="00A649A3"/>
    <w:rsid w:val="00A7113B"/>
    <w:rsid w:val="00A75CE3"/>
    <w:rsid w:val="00A8486F"/>
    <w:rsid w:val="00A87FE5"/>
    <w:rsid w:val="00A90655"/>
    <w:rsid w:val="00A946ED"/>
    <w:rsid w:val="00AA65D6"/>
    <w:rsid w:val="00AB613B"/>
    <w:rsid w:val="00AC17EE"/>
    <w:rsid w:val="00AC3CBC"/>
    <w:rsid w:val="00AD0C11"/>
    <w:rsid w:val="00AE290A"/>
    <w:rsid w:val="00AF1983"/>
    <w:rsid w:val="00AF4845"/>
    <w:rsid w:val="00AF76A2"/>
    <w:rsid w:val="00B114B0"/>
    <w:rsid w:val="00B1324F"/>
    <w:rsid w:val="00B13741"/>
    <w:rsid w:val="00B15817"/>
    <w:rsid w:val="00B1680D"/>
    <w:rsid w:val="00B175D2"/>
    <w:rsid w:val="00B2286E"/>
    <w:rsid w:val="00B22993"/>
    <w:rsid w:val="00B261B2"/>
    <w:rsid w:val="00B26F15"/>
    <w:rsid w:val="00B34064"/>
    <w:rsid w:val="00B3475C"/>
    <w:rsid w:val="00B451B0"/>
    <w:rsid w:val="00B50770"/>
    <w:rsid w:val="00B6345C"/>
    <w:rsid w:val="00B66196"/>
    <w:rsid w:val="00B6637D"/>
    <w:rsid w:val="00B73242"/>
    <w:rsid w:val="00B760B6"/>
    <w:rsid w:val="00B77530"/>
    <w:rsid w:val="00B870E2"/>
    <w:rsid w:val="00B91F5A"/>
    <w:rsid w:val="00BA02EC"/>
    <w:rsid w:val="00BA1533"/>
    <w:rsid w:val="00BA1564"/>
    <w:rsid w:val="00BA7590"/>
    <w:rsid w:val="00BB730F"/>
    <w:rsid w:val="00BB7EE1"/>
    <w:rsid w:val="00BC0E3E"/>
    <w:rsid w:val="00BC6A51"/>
    <w:rsid w:val="00BD2864"/>
    <w:rsid w:val="00BD37FF"/>
    <w:rsid w:val="00BD62C0"/>
    <w:rsid w:val="00BE368B"/>
    <w:rsid w:val="00BE4FB5"/>
    <w:rsid w:val="00BF0354"/>
    <w:rsid w:val="00BF2B89"/>
    <w:rsid w:val="00BF7EB9"/>
    <w:rsid w:val="00C07377"/>
    <w:rsid w:val="00C10F24"/>
    <w:rsid w:val="00C24E59"/>
    <w:rsid w:val="00C30D7D"/>
    <w:rsid w:val="00C407A8"/>
    <w:rsid w:val="00C43D74"/>
    <w:rsid w:val="00C470A2"/>
    <w:rsid w:val="00C50BAE"/>
    <w:rsid w:val="00C61048"/>
    <w:rsid w:val="00C84816"/>
    <w:rsid w:val="00C850F9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56F1"/>
    <w:rsid w:val="00CE73C2"/>
    <w:rsid w:val="00CF7BE5"/>
    <w:rsid w:val="00D13823"/>
    <w:rsid w:val="00D13BD1"/>
    <w:rsid w:val="00D239B7"/>
    <w:rsid w:val="00D2407E"/>
    <w:rsid w:val="00D308D8"/>
    <w:rsid w:val="00D330A7"/>
    <w:rsid w:val="00D3468F"/>
    <w:rsid w:val="00D45365"/>
    <w:rsid w:val="00D61222"/>
    <w:rsid w:val="00D6322C"/>
    <w:rsid w:val="00D65E04"/>
    <w:rsid w:val="00DA6374"/>
    <w:rsid w:val="00DB031C"/>
    <w:rsid w:val="00DB3534"/>
    <w:rsid w:val="00DB3B77"/>
    <w:rsid w:val="00DC5CF9"/>
    <w:rsid w:val="00DC7BB1"/>
    <w:rsid w:val="00DD3447"/>
    <w:rsid w:val="00DD5810"/>
    <w:rsid w:val="00DD6816"/>
    <w:rsid w:val="00DE10AB"/>
    <w:rsid w:val="00DE2B44"/>
    <w:rsid w:val="00DE3213"/>
    <w:rsid w:val="00DF21AF"/>
    <w:rsid w:val="00DF6B90"/>
    <w:rsid w:val="00E016C0"/>
    <w:rsid w:val="00E051EF"/>
    <w:rsid w:val="00E2085C"/>
    <w:rsid w:val="00E211D2"/>
    <w:rsid w:val="00E21377"/>
    <w:rsid w:val="00E329E8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7291B"/>
    <w:rsid w:val="00E77518"/>
    <w:rsid w:val="00E94F04"/>
    <w:rsid w:val="00EA0865"/>
    <w:rsid w:val="00EA2ACF"/>
    <w:rsid w:val="00EA74B3"/>
    <w:rsid w:val="00EB6957"/>
    <w:rsid w:val="00EC00F0"/>
    <w:rsid w:val="00EC5F7A"/>
    <w:rsid w:val="00EE217B"/>
    <w:rsid w:val="00EF2558"/>
    <w:rsid w:val="00F029CC"/>
    <w:rsid w:val="00F02A61"/>
    <w:rsid w:val="00F0747B"/>
    <w:rsid w:val="00F15E00"/>
    <w:rsid w:val="00F16438"/>
    <w:rsid w:val="00F16D23"/>
    <w:rsid w:val="00F2421E"/>
    <w:rsid w:val="00F279E3"/>
    <w:rsid w:val="00F3121A"/>
    <w:rsid w:val="00F35247"/>
    <w:rsid w:val="00F37FAD"/>
    <w:rsid w:val="00F43427"/>
    <w:rsid w:val="00F508B7"/>
    <w:rsid w:val="00F51F9C"/>
    <w:rsid w:val="00F579A0"/>
    <w:rsid w:val="00F607DD"/>
    <w:rsid w:val="00F62A1C"/>
    <w:rsid w:val="00F672A4"/>
    <w:rsid w:val="00F67FF5"/>
    <w:rsid w:val="00F87375"/>
    <w:rsid w:val="00F920AB"/>
    <w:rsid w:val="00FA1E51"/>
    <w:rsid w:val="00FB19BE"/>
    <w:rsid w:val="00FB74D4"/>
    <w:rsid w:val="00FC2BD6"/>
    <w:rsid w:val="00FC62B3"/>
    <w:rsid w:val="00FC7365"/>
    <w:rsid w:val="00FC75AC"/>
    <w:rsid w:val="00FD0600"/>
    <w:rsid w:val="00FD6CCC"/>
    <w:rsid w:val="00FE0863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2EFA654B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666A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Default">
    <w:name w:val="Default"/>
    <w:rsid w:val="008E116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1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6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2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83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7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8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7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8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3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CB28160-461A-4AF2-98BB-C9CBD7A6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2</Pages>
  <Words>493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80</cp:revision>
  <cp:lastPrinted>2024-06-18T09:53:00Z</cp:lastPrinted>
  <dcterms:created xsi:type="dcterms:W3CDTF">2024-06-10T14:02:00Z</dcterms:created>
  <dcterms:modified xsi:type="dcterms:W3CDTF">2024-09-16T12:41:00Z</dcterms:modified>
</cp:coreProperties>
</file>