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964"/>
      </w:tblGrid>
      <w:tr w:rsidR="00AE548E" w:rsidTr="00C452A1">
        <w:tc>
          <w:tcPr>
            <w:tcW w:w="9104" w:type="dxa"/>
            <w:shd w:val="clear" w:color="auto" w:fill="D9D9D9" w:themeFill="background1" w:themeFillShade="D9"/>
            <w:vAlign w:val="center"/>
          </w:tcPr>
          <w:p w:rsidR="00AE548E" w:rsidRDefault="00AE548E" w:rsidP="00AE548E">
            <w:pPr>
              <w:spacing w:before="0"/>
              <w:jc w:val="center"/>
              <w:rPr>
                <w:b/>
                <w:sz w:val="20"/>
              </w:rPr>
            </w:pPr>
            <w:r>
              <w:rPr>
                <w:b/>
                <w:sz w:val="20"/>
              </w:rPr>
              <w:t xml:space="preserve">Lagebericht für das Geschäftsjahr </w:t>
            </w:r>
            <w:r w:rsidR="00975A1A">
              <w:rPr>
                <w:b/>
                <w:sz w:val="20"/>
              </w:rPr>
              <w:t>02</w:t>
            </w:r>
          </w:p>
          <w:p w:rsidR="00AE548E" w:rsidRPr="00AE548E" w:rsidRDefault="00AE548E" w:rsidP="00AE548E">
            <w:pPr>
              <w:spacing w:before="0"/>
              <w:jc w:val="center"/>
              <w:rPr>
                <w:b/>
                <w:sz w:val="20"/>
              </w:rPr>
            </w:pPr>
            <w:r>
              <w:rPr>
                <w:b/>
                <w:sz w:val="20"/>
              </w:rPr>
              <w:t xml:space="preserve">der </w:t>
            </w:r>
            <w:proofErr w:type="spellStart"/>
            <w:r>
              <w:rPr>
                <w:b/>
                <w:sz w:val="20"/>
              </w:rPr>
              <w:t>MusterBau</w:t>
            </w:r>
            <w:proofErr w:type="spellEnd"/>
            <w:r>
              <w:rPr>
                <w:b/>
                <w:sz w:val="20"/>
              </w:rPr>
              <w:t xml:space="preserve"> G</w:t>
            </w:r>
            <w:r w:rsidR="003731EE">
              <w:rPr>
                <w:b/>
                <w:sz w:val="20"/>
              </w:rPr>
              <w:t>m</w:t>
            </w:r>
            <w:r>
              <w:rPr>
                <w:b/>
                <w:sz w:val="20"/>
              </w:rPr>
              <w:t>bH, Musterstraße X, XXXXX Musterstadt</w:t>
            </w:r>
          </w:p>
        </w:tc>
      </w:tr>
    </w:tbl>
    <w:p w:rsidR="00FD2A89" w:rsidRPr="00AE548E" w:rsidRDefault="00FD2A89" w:rsidP="00AE548E">
      <w:pPr>
        <w:spacing w:before="0"/>
        <w:rPr>
          <w:sz w:val="20"/>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56"/>
        <w:gridCol w:w="613"/>
        <w:gridCol w:w="7795"/>
      </w:tblGrid>
      <w:tr w:rsidR="00AE548E" w:rsidTr="00476CB6">
        <w:tc>
          <w:tcPr>
            <w:tcW w:w="556" w:type="dxa"/>
          </w:tcPr>
          <w:p w:rsidR="00AE548E" w:rsidRDefault="00AE548E" w:rsidP="00AE548E">
            <w:pPr>
              <w:spacing w:before="0"/>
              <w:jc w:val="left"/>
              <w:rPr>
                <w:sz w:val="20"/>
              </w:rPr>
            </w:pPr>
            <w:r>
              <w:rPr>
                <w:sz w:val="20"/>
              </w:rPr>
              <w:t>Tz.</w:t>
            </w:r>
          </w:p>
        </w:tc>
        <w:tc>
          <w:tcPr>
            <w:tcW w:w="613" w:type="dxa"/>
          </w:tcPr>
          <w:p w:rsidR="00AE548E" w:rsidRDefault="00AE548E" w:rsidP="00AE548E">
            <w:pPr>
              <w:spacing w:before="0"/>
              <w:rPr>
                <w:sz w:val="20"/>
              </w:rPr>
            </w:pPr>
          </w:p>
        </w:tc>
        <w:tc>
          <w:tcPr>
            <w:tcW w:w="7795" w:type="dxa"/>
          </w:tcPr>
          <w:p w:rsidR="00AE548E" w:rsidRDefault="00AE548E" w:rsidP="00C452A1">
            <w:pPr>
              <w:spacing w:before="0"/>
              <w:rPr>
                <w:sz w:val="20"/>
              </w:rPr>
            </w:pPr>
          </w:p>
        </w:tc>
      </w:tr>
      <w:tr w:rsidR="00670CE8" w:rsidTr="00476CB6">
        <w:tc>
          <w:tcPr>
            <w:tcW w:w="556" w:type="dxa"/>
          </w:tcPr>
          <w:p w:rsidR="00670CE8" w:rsidRPr="00670CE8" w:rsidRDefault="00670CE8" w:rsidP="00AE548E">
            <w:pPr>
              <w:spacing w:before="0"/>
              <w:jc w:val="left"/>
              <w:rPr>
                <w:sz w:val="2"/>
              </w:rPr>
            </w:pPr>
          </w:p>
        </w:tc>
        <w:tc>
          <w:tcPr>
            <w:tcW w:w="613" w:type="dxa"/>
          </w:tcPr>
          <w:p w:rsidR="00670CE8" w:rsidRPr="00670CE8" w:rsidRDefault="00670CE8" w:rsidP="00AE548E">
            <w:pPr>
              <w:spacing w:before="0"/>
              <w:rPr>
                <w:sz w:val="2"/>
              </w:rPr>
            </w:pPr>
          </w:p>
        </w:tc>
        <w:tc>
          <w:tcPr>
            <w:tcW w:w="7795" w:type="dxa"/>
          </w:tcPr>
          <w:p w:rsidR="00670CE8" w:rsidRPr="00670CE8" w:rsidRDefault="00670CE8" w:rsidP="00C452A1">
            <w:pPr>
              <w:spacing w:before="0"/>
              <w:rPr>
                <w:sz w:val="2"/>
              </w:rPr>
            </w:pPr>
          </w:p>
        </w:tc>
      </w:tr>
      <w:tr w:rsidR="00AE548E" w:rsidTr="00476CB6">
        <w:tc>
          <w:tcPr>
            <w:tcW w:w="556" w:type="dxa"/>
          </w:tcPr>
          <w:p w:rsidR="00AE548E" w:rsidRDefault="00AE548E" w:rsidP="00AE548E">
            <w:pPr>
              <w:spacing w:before="0"/>
              <w:jc w:val="left"/>
              <w:rPr>
                <w:sz w:val="20"/>
              </w:rPr>
            </w:pPr>
            <w:r>
              <w:rPr>
                <w:sz w:val="20"/>
              </w:rPr>
              <w:t>1</w:t>
            </w:r>
          </w:p>
        </w:tc>
        <w:tc>
          <w:tcPr>
            <w:tcW w:w="613" w:type="dxa"/>
          </w:tcPr>
          <w:p w:rsidR="00AE548E" w:rsidRPr="00AE548E" w:rsidRDefault="00AE548E" w:rsidP="00AE548E">
            <w:pPr>
              <w:spacing w:before="0"/>
              <w:jc w:val="left"/>
              <w:rPr>
                <w:b/>
                <w:sz w:val="20"/>
              </w:rPr>
            </w:pPr>
            <w:r w:rsidRPr="00AE548E">
              <w:rPr>
                <w:b/>
                <w:sz w:val="20"/>
              </w:rPr>
              <w:t>A.</w:t>
            </w:r>
          </w:p>
        </w:tc>
        <w:tc>
          <w:tcPr>
            <w:tcW w:w="7795" w:type="dxa"/>
          </w:tcPr>
          <w:p w:rsidR="00AE548E" w:rsidRPr="00AE548E" w:rsidRDefault="00AE548E" w:rsidP="00C452A1">
            <w:pPr>
              <w:spacing w:before="0"/>
              <w:rPr>
                <w:b/>
                <w:sz w:val="20"/>
              </w:rPr>
            </w:pPr>
            <w:r w:rsidRPr="00AE548E">
              <w:rPr>
                <w:b/>
                <w:sz w:val="20"/>
              </w:rPr>
              <w:t>Unternehmensprofil</w:t>
            </w:r>
          </w:p>
        </w:tc>
      </w:tr>
      <w:tr w:rsidR="00AE548E" w:rsidTr="00476CB6">
        <w:tc>
          <w:tcPr>
            <w:tcW w:w="556" w:type="dxa"/>
          </w:tcPr>
          <w:p w:rsidR="00AE548E" w:rsidRDefault="00AE548E" w:rsidP="00AE548E">
            <w:pPr>
              <w:spacing w:before="0"/>
              <w:jc w:val="left"/>
              <w:rPr>
                <w:sz w:val="20"/>
              </w:rPr>
            </w:pPr>
          </w:p>
        </w:tc>
        <w:tc>
          <w:tcPr>
            <w:tcW w:w="613" w:type="dxa"/>
          </w:tcPr>
          <w:p w:rsidR="00AE548E" w:rsidRDefault="00AE548E" w:rsidP="00AE548E">
            <w:pPr>
              <w:spacing w:before="0"/>
              <w:jc w:val="left"/>
              <w:rPr>
                <w:sz w:val="20"/>
              </w:rPr>
            </w:pPr>
          </w:p>
        </w:tc>
        <w:tc>
          <w:tcPr>
            <w:tcW w:w="7795" w:type="dxa"/>
          </w:tcPr>
          <w:p w:rsidR="007106E0" w:rsidRDefault="007106E0" w:rsidP="00C452A1">
            <w:pPr>
              <w:spacing w:before="0"/>
              <w:rPr>
                <w:sz w:val="20"/>
              </w:rPr>
            </w:pPr>
            <w:r w:rsidRPr="007106E0">
              <w:rPr>
                <w:sz w:val="20"/>
              </w:rPr>
              <w:t>Die Gesellschaft betätigt sich als Bauunternehmen im Bereich des Tief- und Straßenbaus. Die Haupttätigkeit liegt dabei im Bereich des Straßenbaus sowie der Erschließungen von Baugebieten. Weitere Geschäftsfelder sind die Herstellung von Betonfertigteilen, Flüssigboden und das Recycling von Bauschutt.</w:t>
            </w:r>
          </w:p>
          <w:p w:rsidR="007106E0" w:rsidRPr="007106E0" w:rsidRDefault="007106E0" w:rsidP="00C452A1">
            <w:pPr>
              <w:spacing w:before="0"/>
              <w:rPr>
                <w:sz w:val="20"/>
              </w:rPr>
            </w:pPr>
          </w:p>
          <w:p w:rsidR="00AE548E" w:rsidRDefault="007106E0" w:rsidP="00C452A1">
            <w:pPr>
              <w:spacing w:before="0"/>
              <w:rPr>
                <w:sz w:val="20"/>
              </w:rPr>
            </w:pPr>
            <w:r w:rsidRPr="007106E0">
              <w:rPr>
                <w:sz w:val="20"/>
              </w:rPr>
              <w:t>Die Gesellschaft erbringt ihre Leistungen nach wie vor hauptsächlich regional auf dem deutschen Markt.</w:t>
            </w:r>
          </w:p>
        </w:tc>
      </w:tr>
      <w:tr w:rsidR="00433B8D" w:rsidTr="00476CB6">
        <w:tc>
          <w:tcPr>
            <w:tcW w:w="556" w:type="dxa"/>
          </w:tcPr>
          <w:p w:rsidR="00433B8D" w:rsidRDefault="0077219B" w:rsidP="00AE548E">
            <w:pPr>
              <w:spacing w:before="0"/>
              <w:jc w:val="left"/>
              <w:rPr>
                <w:sz w:val="20"/>
              </w:rPr>
            </w:pPr>
            <w:r>
              <w:rPr>
                <w:sz w:val="20"/>
              </w:rPr>
              <w:t>2</w:t>
            </w:r>
          </w:p>
        </w:tc>
        <w:tc>
          <w:tcPr>
            <w:tcW w:w="613" w:type="dxa"/>
          </w:tcPr>
          <w:p w:rsidR="00433B8D" w:rsidRDefault="00433B8D" w:rsidP="00AE548E">
            <w:pPr>
              <w:spacing w:before="0"/>
              <w:jc w:val="left"/>
              <w:rPr>
                <w:b/>
                <w:sz w:val="20"/>
              </w:rPr>
            </w:pPr>
            <w:r>
              <w:rPr>
                <w:b/>
                <w:sz w:val="20"/>
              </w:rPr>
              <w:t>B.</w:t>
            </w:r>
          </w:p>
        </w:tc>
        <w:tc>
          <w:tcPr>
            <w:tcW w:w="7795" w:type="dxa"/>
          </w:tcPr>
          <w:p w:rsidR="00433B8D" w:rsidRPr="007106E0" w:rsidRDefault="00433B8D" w:rsidP="00C452A1">
            <w:pPr>
              <w:spacing w:before="0"/>
              <w:rPr>
                <w:b/>
                <w:sz w:val="20"/>
              </w:rPr>
            </w:pPr>
            <w:r>
              <w:rPr>
                <w:b/>
                <w:sz w:val="20"/>
              </w:rPr>
              <w:t>Wirtschaftsbericht</w:t>
            </w:r>
          </w:p>
        </w:tc>
      </w:tr>
      <w:tr w:rsidR="00433B8D" w:rsidTr="00476CB6">
        <w:tc>
          <w:tcPr>
            <w:tcW w:w="556" w:type="dxa"/>
          </w:tcPr>
          <w:p w:rsidR="00433B8D" w:rsidRDefault="00433B8D" w:rsidP="00AE548E">
            <w:pPr>
              <w:spacing w:before="0"/>
              <w:jc w:val="left"/>
              <w:rPr>
                <w:sz w:val="20"/>
              </w:rPr>
            </w:pPr>
          </w:p>
        </w:tc>
        <w:tc>
          <w:tcPr>
            <w:tcW w:w="613" w:type="dxa"/>
          </w:tcPr>
          <w:p w:rsidR="00433B8D" w:rsidRDefault="00433B8D" w:rsidP="00AE548E">
            <w:pPr>
              <w:spacing w:before="0"/>
              <w:jc w:val="left"/>
              <w:rPr>
                <w:b/>
                <w:sz w:val="20"/>
              </w:rPr>
            </w:pPr>
          </w:p>
        </w:tc>
        <w:tc>
          <w:tcPr>
            <w:tcW w:w="7795" w:type="dxa"/>
          </w:tcPr>
          <w:p w:rsidR="00433B8D" w:rsidRPr="00F47051" w:rsidRDefault="00433B8D" w:rsidP="00F47051">
            <w:pPr>
              <w:pStyle w:val="Listenabsatz"/>
              <w:numPr>
                <w:ilvl w:val="0"/>
                <w:numId w:val="43"/>
              </w:numPr>
              <w:spacing w:before="0"/>
              <w:ind w:left="357" w:hanging="357"/>
              <w:rPr>
                <w:b/>
                <w:sz w:val="20"/>
              </w:rPr>
            </w:pPr>
            <w:r w:rsidRPr="00F47051">
              <w:rPr>
                <w:b/>
                <w:sz w:val="20"/>
              </w:rPr>
              <w:t>Gesamtwirtschaftliche und branchenbezogene Rahmenbedingungen</w:t>
            </w:r>
          </w:p>
        </w:tc>
      </w:tr>
      <w:tr w:rsidR="00433B8D" w:rsidTr="00476CB6">
        <w:tc>
          <w:tcPr>
            <w:tcW w:w="556" w:type="dxa"/>
          </w:tcPr>
          <w:p w:rsidR="00433B8D" w:rsidRDefault="00433B8D" w:rsidP="00AE548E">
            <w:pPr>
              <w:spacing w:before="0"/>
              <w:jc w:val="left"/>
              <w:rPr>
                <w:sz w:val="20"/>
              </w:rPr>
            </w:pPr>
            <w:bookmarkStart w:id="0" w:name="_GoBack"/>
          </w:p>
        </w:tc>
        <w:tc>
          <w:tcPr>
            <w:tcW w:w="613" w:type="dxa"/>
          </w:tcPr>
          <w:p w:rsidR="00433B8D" w:rsidRDefault="00433B8D" w:rsidP="00AE548E">
            <w:pPr>
              <w:spacing w:before="0"/>
              <w:jc w:val="left"/>
              <w:rPr>
                <w:b/>
                <w:sz w:val="20"/>
              </w:rPr>
            </w:pPr>
          </w:p>
        </w:tc>
        <w:tc>
          <w:tcPr>
            <w:tcW w:w="7795" w:type="dxa"/>
          </w:tcPr>
          <w:p w:rsidR="00433B8D" w:rsidRPr="00F47051" w:rsidRDefault="00433B8D" w:rsidP="00433B8D">
            <w:pPr>
              <w:spacing w:before="0"/>
              <w:rPr>
                <w:sz w:val="20"/>
              </w:rPr>
            </w:pPr>
            <w:r w:rsidRPr="00F47051">
              <w:rPr>
                <w:sz w:val="20"/>
              </w:rPr>
              <w:t xml:space="preserve">Mit dem Angriff Russlands auf die Ukraine im Februar </w:t>
            </w:r>
            <w:r w:rsidR="00DD0FDA">
              <w:rPr>
                <w:sz w:val="20"/>
              </w:rPr>
              <w:t>02</w:t>
            </w:r>
            <w:r w:rsidRPr="00F47051">
              <w:rPr>
                <w:sz w:val="20"/>
              </w:rPr>
              <w:t xml:space="preserve"> begann die Trendwende in der bis dato florierenden deutschen Baukonjunktur. Den enormen Anstieg der Energiepreise, Sanktionen gegen Russland und Produktionsausfälle in der Ukraine hätte die </w:t>
            </w:r>
            <w:proofErr w:type="spellStart"/>
            <w:r w:rsidRPr="00F47051">
              <w:rPr>
                <w:sz w:val="20"/>
              </w:rPr>
              <w:t>deutscheBauwirtschaft</w:t>
            </w:r>
            <w:proofErr w:type="spellEnd"/>
            <w:r w:rsidRPr="00F47051">
              <w:rPr>
                <w:sz w:val="20"/>
              </w:rPr>
              <w:t xml:space="preserve"> vielleicht - wie vorher die </w:t>
            </w:r>
            <w:proofErr w:type="spellStart"/>
            <w:r w:rsidRPr="00F47051">
              <w:rPr>
                <w:sz w:val="20"/>
              </w:rPr>
              <w:t>Coronakrise</w:t>
            </w:r>
            <w:proofErr w:type="spellEnd"/>
            <w:r w:rsidRPr="00F47051">
              <w:rPr>
                <w:sz w:val="20"/>
              </w:rPr>
              <w:t xml:space="preserve"> - meistern können; gleichzeitig sind jedoch die stabilen politischen Rahmenbedingungen weggefallen, die den Bauboom jahrelang gestützt haben:</w:t>
            </w:r>
          </w:p>
          <w:p w:rsidR="00433B8D" w:rsidRPr="00F47051" w:rsidRDefault="00433B8D" w:rsidP="00F47051">
            <w:pPr>
              <w:pStyle w:val="Listenabsatz"/>
              <w:numPr>
                <w:ilvl w:val="0"/>
                <w:numId w:val="45"/>
              </w:numPr>
              <w:spacing w:before="0"/>
              <w:ind w:left="357" w:hanging="357"/>
              <w:rPr>
                <w:sz w:val="20"/>
              </w:rPr>
            </w:pPr>
            <w:r w:rsidRPr="00F47051">
              <w:rPr>
                <w:sz w:val="20"/>
              </w:rPr>
              <w:t xml:space="preserve">Das sprunghafte Anziehen der Bauzinsen ab April </w:t>
            </w:r>
            <w:r w:rsidR="00DD0FDA">
              <w:rPr>
                <w:sz w:val="20"/>
              </w:rPr>
              <w:t>02</w:t>
            </w:r>
            <w:r w:rsidRPr="00F47051">
              <w:rPr>
                <w:sz w:val="20"/>
              </w:rPr>
              <w:t xml:space="preserve"> von 1% auf 4%,</w:t>
            </w:r>
          </w:p>
          <w:p w:rsidR="00433B8D" w:rsidRPr="00F47051" w:rsidRDefault="00433B8D" w:rsidP="00F47051">
            <w:pPr>
              <w:pStyle w:val="Listenabsatz"/>
              <w:numPr>
                <w:ilvl w:val="0"/>
                <w:numId w:val="45"/>
              </w:numPr>
              <w:spacing w:before="0"/>
              <w:ind w:left="357" w:hanging="357"/>
              <w:rPr>
                <w:sz w:val="20"/>
              </w:rPr>
            </w:pPr>
            <w:r w:rsidRPr="00F47051">
              <w:rPr>
                <w:sz w:val="20"/>
              </w:rPr>
              <w:t>eine hohe Inflation und damit steigende Lebenshaltungskosten, die den Spielraum der Verbraucher und Bauherren deutlich einengen,</w:t>
            </w:r>
          </w:p>
          <w:p w:rsidR="00433B8D" w:rsidRPr="00F47051" w:rsidRDefault="00433B8D" w:rsidP="00F47051">
            <w:pPr>
              <w:pStyle w:val="Listenabsatz"/>
              <w:numPr>
                <w:ilvl w:val="0"/>
                <w:numId w:val="45"/>
              </w:numPr>
              <w:spacing w:before="0"/>
              <w:ind w:left="357" w:hanging="357"/>
              <w:rPr>
                <w:sz w:val="20"/>
              </w:rPr>
            </w:pPr>
            <w:r w:rsidRPr="00F47051">
              <w:rPr>
                <w:sz w:val="20"/>
              </w:rPr>
              <w:t>unaufhaltsam steigende Material- und Energiepreise, direkt oder indirekt als Folge des Klimawandels,</w:t>
            </w:r>
          </w:p>
          <w:p w:rsidR="00433B8D" w:rsidRPr="00F47051" w:rsidRDefault="00433B8D" w:rsidP="00F47051">
            <w:pPr>
              <w:pStyle w:val="Listenabsatz"/>
              <w:numPr>
                <w:ilvl w:val="0"/>
                <w:numId w:val="45"/>
              </w:numPr>
              <w:spacing w:before="0"/>
              <w:ind w:left="357" w:hanging="357"/>
              <w:rPr>
                <w:sz w:val="20"/>
              </w:rPr>
            </w:pPr>
            <w:r w:rsidRPr="00F47051">
              <w:rPr>
                <w:sz w:val="20"/>
              </w:rPr>
              <w:t>sich ständig ändernde Förderrichtlinien im Gebäudebereich, Stopps gerade erst neuaufgelegter Fördermittel und der fast vollständige Wegfall der Neubauförderung sowie</w:t>
            </w:r>
          </w:p>
          <w:p w:rsidR="00433B8D" w:rsidRPr="00F47051" w:rsidRDefault="00433B8D" w:rsidP="00F47051">
            <w:pPr>
              <w:pStyle w:val="Listenabsatz"/>
              <w:numPr>
                <w:ilvl w:val="0"/>
                <w:numId w:val="45"/>
              </w:numPr>
              <w:spacing w:before="0"/>
              <w:ind w:left="357" w:hanging="357"/>
              <w:rPr>
                <w:sz w:val="20"/>
              </w:rPr>
            </w:pPr>
            <w:r w:rsidRPr="00F47051">
              <w:rPr>
                <w:sz w:val="20"/>
              </w:rPr>
              <w:t>die Unsicherheiten bei der Budgetierung der Haushaltsmittel.</w:t>
            </w:r>
            <w:r>
              <w:rPr>
                <w:sz w:val="20"/>
              </w:rPr>
              <w:br/>
            </w:r>
          </w:p>
          <w:p w:rsidR="00433B8D" w:rsidRDefault="00433B8D" w:rsidP="00433B8D">
            <w:pPr>
              <w:spacing w:before="0"/>
              <w:rPr>
                <w:sz w:val="20"/>
              </w:rPr>
            </w:pPr>
            <w:r w:rsidRPr="00F47051">
              <w:rPr>
                <w:sz w:val="20"/>
              </w:rPr>
              <w:t xml:space="preserve">Dies alles hat dem Hochbau, insbesondere dem Wohnungsbau, im wahrsten Sinne des Wortes den Boden unter den Füßen weggezogen. Denn unsichere oder sich ständig ändernde politische Rahmenbedingungen verhindern Bauprojekte, weil im Bau die Projekte </w:t>
            </w:r>
            <w:proofErr w:type="spellStart"/>
            <w:r w:rsidRPr="00F47051">
              <w:rPr>
                <w:sz w:val="20"/>
              </w:rPr>
              <w:t>überJahre</w:t>
            </w:r>
            <w:proofErr w:type="spellEnd"/>
            <w:r w:rsidRPr="00F47051">
              <w:rPr>
                <w:sz w:val="20"/>
              </w:rPr>
              <w:t xml:space="preserve"> geplant und umgesetzt und über Jahrzehnte finanziert werden.</w:t>
            </w:r>
          </w:p>
          <w:p w:rsidR="00433B8D" w:rsidRPr="00F47051" w:rsidRDefault="00433B8D" w:rsidP="00433B8D">
            <w:pPr>
              <w:spacing w:before="0"/>
              <w:rPr>
                <w:sz w:val="20"/>
              </w:rPr>
            </w:pPr>
          </w:p>
          <w:p w:rsidR="00433B8D" w:rsidRPr="00F47051" w:rsidRDefault="00433B8D" w:rsidP="00433B8D">
            <w:pPr>
              <w:spacing w:before="0"/>
              <w:rPr>
                <w:sz w:val="20"/>
              </w:rPr>
            </w:pPr>
            <w:r w:rsidRPr="00F47051">
              <w:rPr>
                <w:sz w:val="20"/>
              </w:rPr>
              <w:t xml:space="preserve">Die Bauwirtschaft startete mit einem Auftragsbestand von 68,3 Mrd. € in das Jahr </w:t>
            </w:r>
            <w:r>
              <w:rPr>
                <w:sz w:val="20"/>
              </w:rPr>
              <w:t>02</w:t>
            </w:r>
            <w:r w:rsidRPr="00F47051">
              <w:rPr>
                <w:sz w:val="20"/>
              </w:rPr>
              <w:t xml:space="preserve"> (nominal +6%, real -9%). Wie von den Spitzenverbänden der Bauwirtschaft prognostiziert, hat die ungünstige Mischung bei den Rahmenbedingungen </w:t>
            </w:r>
            <w:r>
              <w:rPr>
                <w:sz w:val="20"/>
              </w:rPr>
              <w:t>02</w:t>
            </w:r>
            <w:r w:rsidRPr="00F47051">
              <w:rPr>
                <w:sz w:val="20"/>
              </w:rPr>
              <w:t xml:space="preserve"> zu einem Nachfrageeinbruch</w:t>
            </w:r>
            <w:r>
              <w:rPr>
                <w:sz w:val="20"/>
              </w:rPr>
              <w:t xml:space="preserve"> </w:t>
            </w:r>
            <w:r w:rsidRPr="00F47051">
              <w:rPr>
                <w:sz w:val="20"/>
              </w:rPr>
              <w:t xml:space="preserve">nach Bauleistungen geführt: Der Umsatz ist real um 5,3% gesunken. Verantwortlich für diesen Umsatzrückgang ist vor allem der Wohnungsbau, der </w:t>
            </w:r>
            <w:r>
              <w:rPr>
                <w:sz w:val="20"/>
              </w:rPr>
              <w:t>02</w:t>
            </w:r>
            <w:r w:rsidRPr="00F47051">
              <w:rPr>
                <w:sz w:val="20"/>
              </w:rPr>
              <w:t xml:space="preserve"> real um 12% eingebrochen ist. Der Wirtschaftsbau und der öffentliche Bau trugen jeweils „nur“ mit real -1%zu dieser krisenhaften Entwicklung bei.</w:t>
            </w:r>
          </w:p>
          <w:p w:rsidR="00433B8D" w:rsidRDefault="00433B8D" w:rsidP="00433B8D">
            <w:pPr>
              <w:spacing w:before="0"/>
              <w:rPr>
                <w:sz w:val="20"/>
              </w:rPr>
            </w:pPr>
            <w:r w:rsidRPr="00F47051">
              <w:rPr>
                <w:sz w:val="20"/>
              </w:rPr>
              <w:lastRenderedPageBreak/>
              <w:t>Zwischen den Bundesländern und auch regional innerhalb der Länder sind ausgeprägte Unterschiede zu verzeichnen</w:t>
            </w:r>
            <w:r>
              <w:rPr>
                <w:sz w:val="20"/>
              </w:rPr>
              <w:t>.</w:t>
            </w:r>
          </w:p>
          <w:p w:rsidR="00433B8D" w:rsidRDefault="00433B8D" w:rsidP="00433B8D">
            <w:pPr>
              <w:spacing w:before="0"/>
              <w:rPr>
                <w:sz w:val="20"/>
              </w:rPr>
            </w:pPr>
          </w:p>
          <w:p w:rsidR="00433B8D" w:rsidRDefault="00433B8D" w:rsidP="00433B8D">
            <w:pPr>
              <w:spacing w:before="0"/>
              <w:rPr>
                <w:sz w:val="20"/>
              </w:rPr>
            </w:pPr>
            <w:r w:rsidRPr="00433B8D">
              <w:rPr>
                <w:sz w:val="20"/>
              </w:rPr>
              <w:t>Der deutliche Nachfrageeinbruch im Wohnungsbau und die daraus resultierende Unterauslastung der Kapazitäten bleiben für die Beschäftigung nicht ohne Folgen: Nach einem Jahrzehnt des Beschäftigungsaufbaus von plus 220.000 Beschäftigten auf 926.700 (</w:t>
            </w:r>
            <w:r>
              <w:rPr>
                <w:sz w:val="20"/>
              </w:rPr>
              <w:t>01</w:t>
            </w:r>
            <w:r w:rsidRPr="00433B8D">
              <w:rPr>
                <w:sz w:val="20"/>
              </w:rPr>
              <w:t>),</w:t>
            </w:r>
            <w:r>
              <w:rPr>
                <w:sz w:val="20"/>
              </w:rPr>
              <w:t xml:space="preserve"> </w:t>
            </w:r>
            <w:r w:rsidRPr="00433B8D">
              <w:rPr>
                <w:sz w:val="20"/>
              </w:rPr>
              <w:t xml:space="preserve">konnten die Betriebe die Beschäftigtenzahl </w:t>
            </w:r>
            <w:r>
              <w:rPr>
                <w:sz w:val="20"/>
              </w:rPr>
              <w:t>02</w:t>
            </w:r>
            <w:r w:rsidRPr="00433B8D">
              <w:rPr>
                <w:sz w:val="20"/>
              </w:rPr>
              <w:t xml:space="preserve"> gerade einmal konstant halten (927.700); trotz der geringen Nachfrage bemühen sich die Unternehmen, ihr Personal zu halten.</w:t>
            </w:r>
          </w:p>
          <w:p w:rsidR="00433B8D" w:rsidRPr="00433B8D" w:rsidRDefault="00433B8D" w:rsidP="00433B8D">
            <w:pPr>
              <w:spacing w:before="0"/>
              <w:rPr>
                <w:sz w:val="20"/>
              </w:rPr>
            </w:pPr>
          </w:p>
          <w:p w:rsidR="00433B8D" w:rsidRDefault="00433B8D" w:rsidP="00433B8D">
            <w:pPr>
              <w:spacing w:before="0"/>
              <w:rPr>
                <w:sz w:val="20"/>
              </w:rPr>
            </w:pPr>
            <w:r w:rsidRPr="00433B8D">
              <w:rPr>
                <w:sz w:val="20"/>
              </w:rPr>
              <w:t>Die Einkaufspreise für Baumaterial verharren weiterhin auf historisch hohem Niveau</w:t>
            </w:r>
            <w:r>
              <w:rPr>
                <w:sz w:val="20"/>
              </w:rPr>
              <w:t xml:space="preserve">. </w:t>
            </w:r>
            <w:r w:rsidRPr="00433B8D">
              <w:rPr>
                <w:sz w:val="20"/>
              </w:rPr>
              <w:t>Auch die Indizes für Holzprodukte liegen um gut ein Drittel über dem Niveau von 2020. Diese Entwicklung hält auch die Preise für Bauleistungen auf hohem Niveau. Betroffen sind alle Bausparten.</w:t>
            </w:r>
          </w:p>
          <w:p w:rsidR="00433B8D" w:rsidRPr="00433B8D" w:rsidRDefault="00433B8D" w:rsidP="00433B8D">
            <w:pPr>
              <w:spacing w:before="0"/>
              <w:rPr>
                <w:sz w:val="20"/>
              </w:rPr>
            </w:pPr>
          </w:p>
          <w:p w:rsidR="00433B8D" w:rsidRDefault="00433B8D" w:rsidP="00433B8D">
            <w:pPr>
              <w:spacing w:before="0"/>
              <w:rPr>
                <w:sz w:val="20"/>
              </w:rPr>
            </w:pPr>
            <w:r w:rsidRPr="00433B8D">
              <w:rPr>
                <w:sz w:val="20"/>
              </w:rPr>
              <w:t xml:space="preserve">Inzwischen hat die Preisdynamik für Bauleistungen allerdings erkennbar nachgelassen: Für </w:t>
            </w:r>
            <w:r>
              <w:rPr>
                <w:sz w:val="20"/>
              </w:rPr>
              <w:t>02</w:t>
            </w:r>
            <w:r w:rsidRPr="00433B8D">
              <w:rPr>
                <w:sz w:val="20"/>
              </w:rPr>
              <w:t xml:space="preserve"> lag die Preisentwicklung für Bauleistungen bei etwa +7% (nach +16% in </w:t>
            </w:r>
            <w:r>
              <w:rPr>
                <w:sz w:val="20"/>
              </w:rPr>
              <w:t>01</w:t>
            </w:r>
            <w:r w:rsidRPr="00433B8D">
              <w:rPr>
                <w:sz w:val="20"/>
              </w:rPr>
              <w:t>), der Umsatz betrug 162,5 Mrd. € (real -5,3%; nominal +1,3%).</w:t>
            </w:r>
          </w:p>
          <w:p w:rsidR="00433B8D" w:rsidRDefault="00433B8D" w:rsidP="00433B8D">
            <w:pPr>
              <w:spacing w:before="0"/>
              <w:rPr>
                <w:sz w:val="20"/>
              </w:rPr>
            </w:pPr>
          </w:p>
          <w:p w:rsidR="00433B8D" w:rsidRPr="00433B8D" w:rsidRDefault="00433B8D" w:rsidP="00433B8D">
            <w:pPr>
              <w:spacing w:before="0"/>
              <w:rPr>
                <w:sz w:val="20"/>
              </w:rPr>
            </w:pPr>
            <w:r w:rsidRPr="00433B8D">
              <w:rPr>
                <w:sz w:val="20"/>
              </w:rPr>
              <w:t>In den einzelnen Sparten zeichnete sich folgende Entwicklung ab:</w:t>
            </w:r>
          </w:p>
          <w:p w:rsidR="00433B8D" w:rsidRDefault="00433B8D" w:rsidP="00433B8D">
            <w:pPr>
              <w:spacing w:before="0"/>
              <w:rPr>
                <w:sz w:val="20"/>
              </w:rPr>
            </w:pPr>
            <w:r w:rsidRPr="00433B8D">
              <w:rPr>
                <w:sz w:val="20"/>
              </w:rPr>
              <w:t xml:space="preserve">Im Wohnungsbau wurden </w:t>
            </w:r>
            <w:r>
              <w:rPr>
                <w:sz w:val="20"/>
              </w:rPr>
              <w:t xml:space="preserve">02 </w:t>
            </w:r>
            <w:r w:rsidRPr="00433B8D">
              <w:rPr>
                <w:sz w:val="20"/>
              </w:rPr>
              <w:t>für 260.000 Wohneinheiten Baugenehmigungen erteilt. Damit wurden etwa 100.000 WE weniger genehmigt als im Vorjahr (-27%; Mehrfamilienhäuser etwa -48.000 WE, somit -25%; Ein- und Zweifamilienhäuser -44.000 WE, somit</w:t>
            </w:r>
            <w:r>
              <w:rPr>
                <w:sz w:val="20"/>
              </w:rPr>
              <w:t xml:space="preserve"> </w:t>
            </w:r>
            <w:r w:rsidRPr="00433B8D">
              <w:rPr>
                <w:sz w:val="20"/>
              </w:rPr>
              <w:t xml:space="preserve">-41%). </w:t>
            </w:r>
          </w:p>
          <w:p w:rsidR="00433B8D" w:rsidRDefault="00433B8D" w:rsidP="00433B8D">
            <w:pPr>
              <w:spacing w:before="0"/>
              <w:rPr>
                <w:sz w:val="20"/>
              </w:rPr>
            </w:pPr>
          </w:p>
          <w:p w:rsidR="00433B8D" w:rsidRDefault="00433B8D" w:rsidP="00433B8D">
            <w:pPr>
              <w:spacing w:before="0"/>
              <w:rPr>
                <w:sz w:val="20"/>
              </w:rPr>
            </w:pPr>
            <w:r w:rsidRPr="00433B8D">
              <w:rPr>
                <w:sz w:val="20"/>
              </w:rPr>
              <w:t xml:space="preserve">Die Auftragsbestände sind </w:t>
            </w:r>
            <w:r>
              <w:rPr>
                <w:sz w:val="20"/>
              </w:rPr>
              <w:t xml:space="preserve">02 </w:t>
            </w:r>
            <w:r w:rsidRPr="00433B8D">
              <w:rPr>
                <w:sz w:val="20"/>
              </w:rPr>
              <w:t>real um fast 20% zurückgegangen; die Auftragspolster der Unternehmen damit weitgehend aufgebraucht.</w:t>
            </w:r>
          </w:p>
          <w:p w:rsidR="00433B8D" w:rsidRPr="00433B8D" w:rsidRDefault="00433B8D" w:rsidP="00433B8D">
            <w:pPr>
              <w:spacing w:before="0"/>
              <w:rPr>
                <w:sz w:val="20"/>
              </w:rPr>
            </w:pPr>
          </w:p>
          <w:p w:rsidR="00433B8D" w:rsidRDefault="00433B8D" w:rsidP="00433B8D">
            <w:pPr>
              <w:spacing w:before="0"/>
              <w:rPr>
                <w:sz w:val="20"/>
              </w:rPr>
            </w:pPr>
            <w:r w:rsidRPr="00433B8D">
              <w:rPr>
                <w:sz w:val="20"/>
              </w:rPr>
              <w:t xml:space="preserve">Die Bauverbände gehen davon aus, dass </w:t>
            </w:r>
            <w:r>
              <w:rPr>
                <w:sz w:val="20"/>
              </w:rPr>
              <w:t>02</w:t>
            </w:r>
            <w:r w:rsidRPr="00433B8D">
              <w:rPr>
                <w:sz w:val="20"/>
              </w:rPr>
              <w:t xml:space="preserve"> etwa 271.000 WE fertiggestellt worden sind (Vorjahr: 295.300 WE). Der Umsatz im Wohnungsbau betrug 58 Mrd. Euro (nominal -6%, real -12%).</w:t>
            </w:r>
          </w:p>
          <w:p w:rsidR="00433B8D" w:rsidRPr="00433B8D" w:rsidRDefault="00433B8D" w:rsidP="00433B8D">
            <w:pPr>
              <w:spacing w:before="0"/>
              <w:rPr>
                <w:sz w:val="20"/>
              </w:rPr>
            </w:pPr>
          </w:p>
          <w:p w:rsidR="00433B8D" w:rsidRDefault="00433B8D" w:rsidP="00433B8D">
            <w:pPr>
              <w:spacing w:before="0"/>
              <w:rPr>
                <w:sz w:val="20"/>
              </w:rPr>
            </w:pPr>
            <w:r w:rsidRPr="00433B8D">
              <w:rPr>
                <w:sz w:val="20"/>
              </w:rPr>
              <w:t xml:space="preserve">Im Wirtschaftsbau ist die Entwicklung zweigeteilt: Im Wirtschaftshochbau schlägt sich die konjunkturelle Stagnation in Deutschland erkennbar nieder. Zinsen und Energiepreise bremsen die Investitionsneigung der Unternehmen. Für Baumaßnahmen in und an Wirtschaftsbauten fehlen Genehmigungen über insgesamt ca. 3 Mrd. Euro (nominal -10% </w:t>
            </w:r>
            <w:proofErr w:type="spellStart"/>
            <w:r w:rsidRPr="00433B8D">
              <w:rPr>
                <w:sz w:val="20"/>
              </w:rPr>
              <w:t>gg</w:t>
            </w:r>
            <w:proofErr w:type="spellEnd"/>
            <w:r w:rsidRPr="00433B8D">
              <w:rPr>
                <w:sz w:val="20"/>
              </w:rPr>
              <w:t xml:space="preserve">. Vorjahr). Die Auftragseingänge lagen </w:t>
            </w:r>
            <w:r>
              <w:rPr>
                <w:sz w:val="20"/>
              </w:rPr>
              <w:t>02</w:t>
            </w:r>
            <w:r w:rsidRPr="00433B8D">
              <w:rPr>
                <w:sz w:val="20"/>
              </w:rPr>
              <w:t xml:space="preserve"> im Wirtschaftshochbau im Minus, die Auftragsbestände sind gegenüber dem Vorjahr geschmolzen.</w:t>
            </w:r>
          </w:p>
          <w:p w:rsidR="00433B8D" w:rsidRPr="00433B8D" w:rsidRDefault="00433B8D" w:rsidP="00433B8D">
            <w:pPr>
              <w:spacing w:before="0"/>
              <w:rPr>
                <w:sz w:val="20"/>
              </w:rPr>
            </w:pPr>
          </w:p>
          <w:p w:rsidR="00433B8D" w:rsidRDefault="00433B8D" w:rsidP="00433B8D">
            <w:pPr>
              <w:spacing w:before="0"/>
              <w:rPr>
                <w:sz w:val="20"/>
              </w:rPr>
            </w:pPr>
            <w:r w:rsidRPr="00433B8D">
              <w:rPr>
                <w:sz w:val="20"/>
              </w:rPr>
              <w:t xml:space="preserve">Anders der Wirtschaftstiefbau: Hier hat es im gesamten Jahr </w:t>
            </w:r>
            <w:r>
              <w:rPr>
                <w:sz w:val="20"/>
              </w:rPr>
              <w:t>02</w:t>
            </w:r>
            <w:r w:rsidRPr="00433B8D">
              <w:rPr>
                <w:sz w:val="20"/>
              </w:rPr>
              <w:t xml:space="preserve"> deutliche Investitionsimpulse gegeben. Projekte der Mobilitätswende und auch der Energiewende sind an den Markt gegangen, Großprojekte im Öffentlichen Nahverkehr, aber auch für den </w:t>
            </w:r>
            <w:proofErr w:type="spellStart"/>
            <w:r w:rsidRPr="00433B8D">
              <w:rPr>
                <w:sz w:val="20"/>
              </w:rPr>
              <w:t>Stromtrassenausbau</w:t>
            </w:r>
            <w:proofErr w:type="spellEnd"/>
            <w:r>
              <w:rPr>
                <w:sz w:val="20"/>
              </w:rPr>
              <w:t xml:space="preserve"> </w:t>
            </w:r>
            <w:r w:rsidRPr="00433B8D">
              <w:rPr>
                <w:sz w:val="20"/>
              </w:rPr>
              <w:t xml:space="preserve">beauftragt worden. Und die Deutsche Bahn investiert weiter in ihr Schienennetz. Der Auftragseingang im Wirtschaftstiefbau legte </w:t>
            </w:r>
            <w:r>
              <w:rPr>
                <w:sz w:val="20"/>
              </w:rPr>
              <w:t>02</w:t>
            </w:r>
            <w:r w:rsidRPr="00433B8D">
              <w:rPr>
                <w:sz w:val="20"/>
              </w:rPr>
              <w:t xml:space="preserve"> nominal um 26% zu.</w:t>
            </w:r>
          </w:p>
          <w:p w:rsidR="00433B8D" w:rsidRPr="00433B8D" w:rsidRDefault="00433B8D" w:rsidP="00433B8D">
            <w:pPr>
              <w:spacing w:before="0"/>
              <w:rPr>
                <w:sz w:val="20"/>
              </w:rPr>
            </w:pPr>
          </w:p>
          <w:p w:rsidR="00433B8D" w:rsidRDefault="00433B8D" w:rsidP="00433B8D">
            <w:pPr>
              <w:spacing w:before="0"/>
              <w:rPr>
                <w:sz w:val="20"/>
              </w:rPr>
            </w:pPr>
            <w:r w:rsidRPr="00433B8D">
              <w:rPr>
                <w:sz w:val="20"/>
              </w:rPr>
              <w:t xml:space="preserve">Für </w:t>
            </w:r>
            <w:r>
              <w:rPr>
                <w:sz w:val="20"/>
              </w:rPr>
              <w:t>02</w:t>
            </w:r>
            <w:r w:rsidRPr="00433B8D">
              <w:rPr>
                <w:sz w:val="20"/>
              </w:rPr>
              <w:t xml:space="preserve"> lag der Umsatz im Wirtschaftshochbau bei 32,4 Mrd. Euro (real -6%), im Wirtschaftstiefbau bei 27,6 Mrd. Euro (real +5%). Der Wirtschaftsbau insgesamt erreicht </w:t>
            </w:r>
            <w:r>
              <w:rPr>
                <w:sz w:val="20"/>
              </w:rPr>
              <w:t>02</w:t>
            </w:r>
            <w:r w:rsidRPr="00433B8D">
              <w:rPr>
                <w:sz w:val="20"/>
              </w:rPr>
              <w:t xml:space="preserve"> somit einen Umsatz von 60 Mrd. Euro (nominal +5,5%, real -1,3%).</w:t>
            </w:r>
          </w:p>
          <w:p w:rsidR="00433B8D" w:rsidRPr="00433B8D" w:rsidRDefault="00433B8D" w:rsidP="00433B8D">
            <w:pPr>
              <w:spacing w:before="0"/>
              <w:rPr>
                <w:sz w:val="20"/>
              </w:rPr>
            </w:pPr>
          </w:p>
          <w:p w:rsidR="00433B8D" w:rsidRPr="00F47051" w:rsidRDefault="00433B8D" w:rsidP="006E7FEB">
            <w:pPr>
              <w:spacing w:before="0"/>
              <w:rPr>
                <w:sz w:val="20"/>
              </w:rPr>
            </w:pPr>
            <w:r w:rsidRPr="00433B8D">
              <w:rPr>
                <w:sz w:val="20"/>
              </w:rPr>
              <w:t xml:space="preserve">Auch der öffentliche Bau zeigte ein ambivalentes Bild: Insgesamt erreichte der Umsatz </w:t>
            </w:r>
            <w:r>
              <w:rPr>
                <w:sz w:val="20"/>
              </w:rPr>
              <w:t>02</w:t>
            </w:r>
            <w:r w:rsidRPr="00433B8D">
              <w:rPr>
                <w:sz w:val="20"/>
              </w:rPr>
              <w:t xml:space="preserve"> im öffentlichen Hochbau 9,4 Mrd. Euro (nominal +13%, real fast +6%). Im öffentlichen Tiefbau stiegen die Umsätze dagegen nur leicht auf 35 Mrd. Euro (nominal fast +4%,real -3%). Insgesamt hat der öffentliche Bau damit in </w:t>
            </w:r>
            <w:r>
              <w:rPr>
                <w:sz w:val="20"/>
              </w:rPr>
              <w:t>02</w:t>
            </w:r>
            <w:r w:rsidRPr="00433B8D">
              <w:rPr>
                <w:sz w:val="20"/>
              </w:rPr>
              <w:t xml:space="preserve"> gut 44 Mrd. Euro erreicht (nominal +6%, real -1%)</w:t>
            </w:r>
          </w:p>
        </w:tc>
      </w:tr>
      <w:bookmarkEnd w:id="0"/>
      <w:tr w:rsidR="007106E0" w:rsidTr="00476CB6">
        <w:tc>
          <w:tcPr>
            <w:tcW w:w="556" w:type="dxa"/>
          </w:tcPr>
          <w:p w:rsidR="007106E0" w:rsidRDefault="0077219B" w:rsidP="00AE548E">
            <w:pPr>
              <w:spacing w:before="0"/>
              <w:jc w:val="left"/>
              <w:rPr>
                <w:sz w:val="20"/>
              </w:rPr>
            </w:pPr>
            <w:r>
              <w:rPr>
                <w:sz w:val="20"/>
              </w:rPr>
              <w:lastRenderedPageBreak/>
              <w:t>3</w:t>
            </w:r>
          </w:p>
        </w:tc>
        <w:tc>
          <w:tcPr>
            <w:tcW w:w="613" w:type="dxa"/>
          </w:tcPr>
          <w:p w:rsidR="007106E0" w:rsidRPr="007106E0" w:rsidRDefault="007106E0" w:rsidP="00AE548E">
            <w:pPr>
              <w:spacing w:before="0"/>
              <w:jc w:val="left"/>
              <w:rPr>
                <w:b/>
                <w:sz w:val="20"/>
              </w:rPr>
            </w:pPr>
          </w:p>
        </w:tc>
        <w:tc>
          <w:tcPr>
            <w:tcW w:w="7795" w:type="dxa"/>
          </w:tcPr>
          <w:p w:rsidR="007106E0" w:rsidRPr="00F47051" w:rsidRDefault="007106E0" w:rsidP="00F47051">
            <w:pPr>
              <w:pStyle w:val="Listenabsatz"/>
              <w:numPr>
                <w:ilvl w:val="0"/>
                <w:numId w:val="43"/>
              </w:numPr>
              <w:spacing w:before="0"/>
              <w:ind w:left="357" w:hanging="357"/>
              <w:rPr>
                <w:b/>
                <w:sz w:val="20"/>
              </w:rPr>
            </w:pPr>
            <w:r w:rsidRPr="00F47051">
              <w:rPr>
                <w:b/>
                <w:sz w:val="20"/>
              </w:rPr>
              <w:t>Geschäftsverlauf und Lage</w:t>
            </w:r>
          </w:p>
        </w:tc>
      </w:tr>
      <w:tr w:rsidR="007106E0" w:rsidTr="00476CB6">
        <w:tc>
          <w:tcPr>
            <w:tcW w:w="556" w:type="dxa"/>
          </w:tcPr>
          <w:p w:rsidR="007106E0" w:rsidRDefault="007106E0" w:rsidP="00AE548E">
            <w:pPr>
              <w:spacing w:before="0"/>
              <w:jc w:val="left"/>
              <w:rPr>
                <w:sz w:val="20"/>
              </w:rPr>
            </w:pPr>
          </w:p>
        </w:tc>
        <w:tc>
          <w:tcPr>
            <w:tcW w:w="613" w:type="dxa"/>
          </w:tcPr>
          <w:p w:rsidR="007106E0" w:rsidRDefault="007106E0" w:rsidP="00AE548E">
            <w:pPr>
              <w:spacing w:before="0"/>
              <w:jc w:val="left"/>
              <w:rPr>
                <w:sz w:val="20"/>
              </w:rPr>
            </w:pPr>
          </w:p>
        </w:tc>
        <w:tc>
          <w:tcPr>
            <w:tcW w:w="7795" w:type="dxa"/>
          </w:tcPr>
          <w:p w:rsidR="007106E0" w:rsidRDefault="007106E0" w:rsidP="00C452A1">
            <w:pPr>
              <w:spacing w:before="0"/>
              <w:rPr>
                <w:sz w:val="20"/>
              </w:rPr>
            </w:pPr>
            <w:r w:rsidRPr="007106E0">
              <w:rPr>
                <w:sz w:val="20"/>
              </w:rPr>
              <w:t xml:space="preserve">Der Geschäftsverlauf verlief trotz der </w:t>
            </w:r>
            <w:proofErr w:type="spellStart"/>
            <w:r w:rsidRPr="007106E0">
              <w:rPr>
                <w:sz w:val="20"/>
              </w:rPr>
              <w:t>Coronalage</w:t>
            </w:r>
            <w:proofErr w:type="spellEnd"/>
            <w:r w:rsidRPr="007106E0">
              <w:rPr>
                <w:sz w:val="20"/>
              </w:rPr>
              <w:t xml:space="preserve"> zufriedenstellend. Insgesamt konnte man Vollauslastung erreichen. Das milde Wetter ließ Arbeiten bis in den Dezember zu.</w:t>
            </w:r>
          </w:p>
          <w:p w:rsidR="007106E0" w:rsidRPr="007106E0" w:rsidRDefault="007106E0" w:rsidP="00C452A1">
            <w:pPr>
              <w:spacing w:before="0"/>
              <w:rPr>
                <w:sz w:val="20"/>
              </w:rPr>
            </w:pPr>
          </w:p>
          <w:p w:rsidR="007106E0" w:rsidRDefault="007106E0" w:rsidP="00C452A1">
            <w:pPr>
              <w:spacing w:before="0"/>
              <w:rPr>
                <w:sz w:val="20"/>
              </w:rPr>
            </w:pPr>
            <w:r w:rsidRPr="007106E0">
              <w:rPr>
                <w:sz w:val="20"/>
              </w:rPr>
              <w:t xml:space="preserve">Die Absatzfelder Recycling, Materialaufbereitung und der Bereich Bodenstabilisierung wurden auf dem hochmodernen Bauhof weiter ausgebaut. Seit </w:t>
            </w:r>
            <w:r w:rsidR="00DD0FDA">
              <w:rPr>
                <w:sz w:val="20"/>
              </w:rPr>
              <w:t>00</w:t>
            </w:r>
            <w:r w:rsidRPr="007106E0">
              <w:rPr>
                <w:sz w:val="20"/>
              </w:rPr>
              <w:t xml:space="preserve"> sind dort auch Schulungsräume vorhanden.</w:t>
            </w:r>
          </w:p>
          <w:p w:rsidR="007106E0" w:rsidRPr="007106E0" w:rsidRDefault="007106E0" w:rsidP="00C452A1">
            <w:pPr>
              <w:spacing w:before="0"/>
              <w:rPr>
                <w:sz w:val="20"/>
              </w:rPr>
            </w:pPr>
          </w:p>
          <w:p w:rsidR="007106E0" w:rsidRDefault="007106E0" w:rsidP="00C452A1">
            <w:pPr>
              <w:spacing w:before="0"/>
              <w:rPr>
                <w:sz w:val="20"/>
              </w:rPr>
            </w:pPr>
            <w:r w:rsidRPr="007106E0">
              <w:rPr>
                <w:sz w:val="20"/>
              </w:rPr>
              <w:t>Hauptabsatzmarkt bleibt weiterhin der öffentliche Sektor im Bereich des Straßen- und Kanalbaus und der Erschließung neuer Baugebiete für Kommunen oder Erschließungsträger. Der Renovierungs- und Investitionstau der Kommunen vergangener Jahre wirkt sich auf die Auftragslage aller Baufirmen aus.</w:t>
            </w:r>
          </w:p>
          <w:p w:rsidR="007106E0" w:rsidRPr="007106E0" w:rsidRDefault="007106E0" w:rsidP="00C452A1">
            <w:pPr>
              <w:spacing w:before="0"/>
              <w:rPr>
                <w:sz w:val="20"/>
              </w:rPr>
            </w:pPr>
          </w:p>
          <w:p w:rsidR="007106E0" w:rsidRDefault="007106E0" w:rsidP="00C452A1">
            <w:pPr>
              <w:spacing w:before="0"/>
              <w:rPr>
                <w:sz w:val="20"/>
              </w:rPr>
            </w:pPr>
            <w:r w:rsidRPr="007106E0">
              <w:rPr>
                <w:sz w:val="20"/>
              </w:rPr>
              <w:t>Die Branche ist durch den Fachkräftemangel betroffen.</w:t>
            </w:r>
            <w:r w:rsidR="0085471F">
              <w:rPr>
                <w:sz w:val="20"/>
              </w:rPr>
              <w:t xml:space="preserve"> </w:t>
            </w:r>
            <w:r w:rsidRPr="007106E0">
              <w:rPr>
                <w:sz w:val="20"/>
              </w:rPr>
              <w:t xml:space="preserve">Dennoch konnten die Aufträge erfüllt werden, was zu einem zufriedenstellenden Jahresergebnis </w:t>
            </w:r>
            <w:r w:rsidR="00433B8D">
              <w:rPr>
                <w:sz w:val="20"/>
              </w:rPr>
              <w:t>02</w:t>
            </w:r>
            <w:r w:rsidRPr="007106E0">
              <w:rPr>
                <w:sz w:val="20"/>
              </w:rPr>
              <w:t xml:space="preserve"> führte.</w:t>
            </w:r>
          </w:p>
          <w:p w:rsidR="007106E0" w:rsidRPr="007106E0" w:rsidRDefault="007106E0" w:rsidP="00C452A1">
            <w:pPr>
              <w:spacing w:before="0"/>
              <w:rPr>
                <w:sz w:val="20"/>
              </w:rPr>
            </w:pPr>
          </w:p>
          <w:p w:rsidR="007106E0" w:rsidRPr="007106E0" w:rsidRDefault="007106E0" w:rsidP="00C452A1">
            <w:pPr>
              <w:spacing w:before="0"/>
              <w:rPr>
                <w:sz w:val="20"/>
              </w:rPr>
            </w:pPr>
            <w:r w:rsidRPr="007106E0">
              <w:rPr>
                <w:sz w:val="20"/>
              </w:rPr>
              <w:t xml:space="preserve">Insgesamt orientiert sich der wirtschaftliche Erfolg des Jahres </w:t>
            </w:r>
            <w:r w:rsidR="00433B8D">
              <w:rPr>
                <w:sz w:val="20"/>
              </w:rPr>
              <w:t>02</w:t>
            </w:r>
            <w:r w:rsidRPr="007106E0">
              <w:rPr>
                <w:sz w:val="20"/>
              </w:rPr>
              <w:t xml:space="preserve"> an der allgemeinen guten Auslastung in der Baubrache.</w:t>
            </w:r>
          </w:p>
          <w:p w:rsidR="007106E0" w:rsidRDefault="007106E0" w:rsidP="00C452A1">
            <w:pPr>
              <w:spacing w:before="0"/>
              <w:rPr>
                <w:sz w:val="20"/>
              </w:rPr>
            </w:pPr>
          </w:p>
        </w:tc>
      </w:tr>
      <w:tr w:rsidR="007106E0" w:rsidTr="00476CB6">
        <w:tc>
          <w:tcPr>
            <w:tcW w:w="556" w:type="dxa"/>
          </w:tcPr>
          <w:p w:rsidR="007106E0" w:rsidRDefault="007106E0" w:rsidP="00AE548E">
            <w:pPr>
              <w:spacing w:before="0"/>
              <w:jc w:val="left"/>
              <w:rPr>
                <w:sz w:val="20"/>
              </w:rPr>
            </w:pPr>
          </w:p>
        </w:tc>
        <w:tc>
          <w:tcPr>
            <w:tcW w:w="613" w:type="dxa"/>
          </w:tcPr>
          <w:p w:rsidR="007106E0" w:rsidRDefault="007106E0" w:rsidP="00AE548E">
            <w:pPr>
              <w:spacing w:before="0"/>
              <w:jc w:val="left"/>
              <w:rPr>
                <w:sz w:val="20"/>
              </w:rPr>
            </w:pPr>
          </w:p>
        </w:tc>
        <w:tc>
          <w:tcPr>
            <w:tcW w:w="7795" w:type="dxa"/>
          </w:tcPr>
          <w:p w:rsidR="007106E0" w:rsidRDefault="007106E0" w:rsidP="00C452A1">
            <w:pPr>
              <w:spacing w:before="0"/>
              <w:rPr>
                <w:sz w:val="20"/>
              </w:rPr>
            </w:pPr>
            <w:r w:rsidRPr="007106E0">
              <w:rPr>
                <w:sz w:val="20"/>
              </w:rPr>
              <w:t>Nach den wesentlichen Kennziffern stellt sich die Lage der Gesellschaft wie folgt dar:</w:t>
            </w:r>
          </w:p>
          <w:p w:rsidR="007106E0" w:rsidRDefault="007106E0" w:rsidP="00C452A1">
            <w:pPr>
              <w:spacing w:before="0"/>
              <w:rPr>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1224"/>
              <w:gridCol w:w="1109"/>
              <w:gridCol w:w="1111"/>
            </w:tblGrid>
            <w:tr w:rsidR="007106E0" w:rsidTr="007106E0">
              <w:tc>
                <w:tcPr>
                  <w:tcW w:w="4426" w:type="dxa"/>
                </w:tcPr>
                <w:p w:rsidR="007106E0" w:rsidRDefault="007106E0" w:rsidP="00C452A1">
                  <w:pPr>
                    <w:spacing w:before="0"/>
                    <w:rPr>
                      <w:sz w:val="20"/>
                    </w:rPr>
                  </w:pPr>
                </w:p>
              </w:tc>
              <w:tc>
                <w:tcPr>
                  <w:tcW w:w="1275" w:type="dxa"/>
                </w:tcPr>
                <w:p w:rsidR="007106E0" w:rsidRDefault="007106E0" w:rsidP="00C452A1">
                  <w:pPr>
                    <w:spacing w:before="0"/>
                    <w:jc w:val="right"/>
                    <w:rPr>
                      <w:sz w:val="20"/>
                    </w:rPr>
                  </w:pPr>
                  <w:r>
                    <w:rPr>
                      <w:sz w:val="20"/>
                    </w:rPr>
                    <w:t>Dim.</w:t>
                  </w:r>
                </w:p>
              </w:tc>
              <w:tc>
                <w:tcPr>
                  <w:tcW w:w="1134" w:type="dxa"/>
                </w:tcPr>
                <w:p w:rsidR="007106E0" w:rsidRDefault="00975A1A" w:rsidP="00C452A1">
                  <w:pPr>
                    <w:spacing w:before="0"/>
                    <w:jc w:val="right"/>
                    <w:rPr>
                      <w:sz w:val="20"/>
                    </w:rPr>
                  </w:pPr>
                  <w:r>
                    <w:rPr>
                      <w:sz w:val="20"/>
                    </w:rPr>
                    <w:t>01</w:t>
                  </w:r>
                </w:p>
              </w:tc>
              <w:tc>
                <w:tcPr>
                  <w:tcW w:w="1136" w:type="dxa"/>
                </w:tcPr>
                <w:p w:rsidR="007106E0" w:rsidRDefault="00975A1A" w:rsidP="00C452A1">
                  <w:pPr>
                    <w:spacing w:before="0"/>
                    <w:jc w:val="right"/>
                    <w:rPr>
                      <w:sz w:val="20"/>
                    </w:rPr>
                  </w:pPr>
                  <w:r>
                    <w:rPr>
                      <w:sz w:val="20"/>
                    </w:rPr>
                    <w:t>02</w:t>
                  </w:r>
                </w:p>
              </w:tc>
            </w:tr>
            <w:tr w:rsidR="007106E0" w:rsidTr="007106E0">
              <w:tc>
                <w:tcPr>
                  <w:tcW w:w="4426" w:type="dxa"/>
                </w:tcPr>
                <w:p w:rsidR="007106E0" w:rsidRDefault="007106E0" w:rsidP="00C452A1">
                  <w:pPr>
                    <w:spacing w:before="0"/>
                    <w:rPr>
                      <w:sz w:val="20"/>
                    </w:rPr>
                  </w:pPr>
                  <w:r>
                    <w:rPr>
                      <w:sz w:val="20"/>
                    </w:rPr>
                    <w:t>Rohertrag:</w:t>
                  </w:r>
                </w:p>
              </w:tc>
              <w:tc>
                <w:tcPr>
                  <w:tcW w:w="1275" w:type="dxa"/>
                </w:tcPr>
                <w:p w:rsidR="007106E0" w:rsidRDefault="007106E0" w:rsidP="00C452A1">
                  <w:pPr>
                    <w:spacing w:before="0"/>
                    <w:jc w:val="right"/>
                    <w:rPr>
                      <w:sz w:val="20"/>
                    </w:rPr>
                  </w:pPr>
                  <w:r>
                    <w:rPr>
                      <w:sz w:val="20"/>
                    </w:rPr>
                    <w:t>T€</w:t>
                  </w:r>
                </w:p>
              </w:tc>
              <w:tc>
                <w:tcPr>
                  <w:tcW w:w="1134" w:type="dxa"/>
                </w:tcPr>
                <w:p w:rsidR="007106E0" w:rsidRDefault="007106E0" w:rsidP="00C452A1">
                  <w:pPr>
                    <w:spacing w:before="0"/>
                    <w:jc w:val="right"/>
                    <w:rPr>
                      <w:sz w:val="20"/>
                    </w:rPr>
                  </w:pPr>
                  <w:r>
                    <w:rPr>
                      <w:sz w:val="20"/>
                    </w:rPr>
                    <w:t>11.962</w:t>
                  </w:r>
                </w:p>
              </w:tc>
              <w:tc>
                <w:tcPr>
                  <w:tcW w:w="1136" w:type="dxa"/>
                </w:tcPr>
                <w:p w:rsidR="007106E0" w:rsidRDefault="007106E0" w:rsidP="00C452A1">
                  <w:pPr>
                    <w:spacing w:before="0"/>
                    <w:jc w:val="right"/>
                    <w:rPr>
                      <w:sz w:val="20"/>
                    </w:rPr>
                  </w:pPr>
                  <w:r>
                    <w:rPr>
                      <w:sz w:val="20"/>
                    </w:rPr>
                    <w:t>15.344</w:t>
                  </w:r>
                </w:p>
              </w:tc>
            </w:tr>
            <w:tr w:rsidR="007106E0" w:rsidTr="007106E0">
              <w:tc>
                <w:tcPr>
                  <w:tcW w:w="4426" w:type="dxa"/>
                </w:tcPr>
                <w:p w:rsidR="007106E0" w:rsidRDefault="007106E0" w:rsidP="00C452A1">
                  <w:pPr>
                    <w:spacing w:before="0"/>
                    <w:rPr>
                      <w:sz w:val="20"/>
                    </w:rPr>
                  </w:pPr>
                  <w:r>
                    <w:rPr>
                      <w:sz w:val="20"/>
                    </w:rPr>
                    <w:t xml:space="preserve">Verbindlichkeiten </w:t>
                  </w:r>
                  <w:proofErr w:type="spellStart"/>
                  <w:r>
                    <w:rPr>
                      <w:sz w:val="20"/>
                    </w:rPr>
                    <w:t>ggü</w:t>
                  </w:r>
                  <w:proofErr w:type="spellEnd"/>
                  <w:r>
                    <w:rPr>
                      <w:sz w:val="20"/>
                    </w:rPr>
                    <w:t>. Kreditinstituten</w:t>
                  </w:r>
                </w:p>
              </w:tc>
              <w:tc>
                <w:tcPr>
                  <w:tcW w:w="1275" w:type="dxa"/>
                </w:tcPr>
                <w:p w:rsidR="007106E0" w:rsidRDefault="007106E0" w:rsidP="00C452A1">
                  <w:pPr>
                    <w:spacing w:before="0"/>
                    <w:jc w:val="right"/>
                    <w:rPr>
                      <w:sz w:val="20"/>
                    </w:rPr>
                  </w:pPr>
                  <w:r>
                    <w:rPr>
                      <w:sz w:val="20"/>
                    </w:rPr>
                    <w:t>T€</w:t>
                  </w:r>
                </w:p>
              </w:tc>
              <w:tc>
                <w:tcPr>
                  <w:tcW w:w="1134" w:type="dxa"/>
                </w:tcPr>
                <w:p w:rsidR="007106E0" w:rsidRDefault="007106E0" w:rsidP="00C452A1">
                  <w:pPr>
                    <w:spacing w:before="0"/>
                    <w:jc w:val="right"/>
                    <w:rPr>
                      <w:sz w:val="20"/>
                    </w:rPr>
                  </w:pPr>
                  <w:r>
                    <w:rPr>
                      <w:sz w:val="20"/>
                    </w:rPr>
                    <w:t>4.607</w:t>
                  </w:r>
                </w:p>
              </w:tc>
              <w:tc>
                <w:tcPr>
                  <w:tcW w:w="1136" w:type="dxa"/>
                </w:tcPr>
                <w:p w:rsidR="007106E0" w:rsidRDefault="007106E0" w:rsidP="00C452A1">
                  <w:pPr>
                    <w:spacing w:before="0"/>
                    <w:jc w:val="right"/>
                    <w:rPr>
                      <w:sz w:val="20"/>
                    </w:rPr>
                  </w:pPr>
                  <w:r>
                    <w:rPr>
                      <w:sz w:val="20"/>
                    </w:rPr>
                    <w:t>4.892</w:t>
                  </w:r>
                </w:p>
              </w:tc>
            </w:tr>
            <w:tr w:rsidR="007106E0" w:rsidTr="007106E0">
              <w:tc>
                <w:tcPr>
                  <w:tcW w:w="4426" w:type="dxa"/>
                </w:tcPr>
                <w:p w:rsidR="007106E0" w:rsidRDefault="00975A1A" w:rsidP="00C452A1">
                  <w:pPr>
                    <w:spacing w:before="0"/>
                    <w:rPr>
                      <w:sz w:val="20"/>
                    </w:rPr>
                  </w:pPr>
                  <w:r>
                    <w:rPr>
                      <w:sz w:val="20"/>
                    </w:rPr>
                    <w:t>Cashflow</w:t>
                  </w:r>
                  <w:r w:rsidR="007106E0">
                    <w:rPr>
                      <w:sz w:val="20"/>
                    </w:rPr>
                    <w:t>:</w:t>
                  </w:r>
                </w:p>
              </w:tc>
              <w:tc>
                <w:tcPr>
                  <w:tcW w:w="1275" w:type="dxa"/>
                </w:tcPr>
                <w:p w:rsidR="007106E0" w:rsidRDefault="007106E0" w:rsidP="00C452A1">
                  <w:pPr>
                    <w:spacing w:before="0"/>
                    <w:jc w:val="right"/>
                    <w:rPr>
                      <w:sz w:val="20"/>
                    </w:rPr>
                  </w:pPr>
                  <w:r>
                    <w:rPr>
                      <w:sz w:val="20"/>
                    </w:rPr>
                    <w:t>T€</w:t>
                  </w:r>
                </w:p>
              </w:tc>
              <w:tc>
                <w:tcPr>
                  <w:tcW w:w="1134" w:type="dxa"/>
                </w:tcPr>
                <w:p w:rsidR="007106E0" w:rsidRDefault="00975A1A" w:rsidP="00C452A1">
                  <w:pPr>
                    <w:spacing w:before="0"/>
                    <w:jc w:val="right"/>
                    <w:rPr>
                      <w:sz w:val="20"/>
                    </w:rPr>
                  </w:pPr>
                  <w:r>
                    <w:rPr>
                      <w:sz w:val="20"/>
                    </w:rPr>
                    <w:t>1.232</w:t>
                  </w:r>
                </w:p>
              </w:tc>
              <w:tc>
                <w:tcPr>
                  <w:tcW w:w="1136" w:type="dxa"/>
                </w:tcPr>
                <w:p w:rsidR="007106E0" w:rsidRDefault="00975A1A" w:rsidP="00C452A1">
                  <w:pPr>
                    <w:spacing w:before="0"/>
                    <w:jc w:val="right"/>
                    <w:rPr>
                      <w:sz w:val="20"/>
                    </w:rPr>
                  </w:pPr>
                  <w:r>
                    <w:rPr>
                      <w:sz w:val="20"/>
                    </w:rPr>
                    <w:t>1.672</w:t>
                  </w:r>
                </w:p>
              </w:tc>
            </w:tr>
            <w:tr w:rsidR="007106E0" w:rsidTr="007106E0">
              <w:tc>
                <w:tcPr>
                  <w:tcW w:w="4426" w:type="dxa"/>
                </w:tcPr>
                <w:p w:rsidR="007106E0" w:rsidRDefault="007106E0" w:rsidP="00C452A1">
                  <w:pPr>
                    <w:spacing w:before="0"/>
                    <w:rPr>
                      <w:sz w:val="20"/>
                    </w:rPr>
                  </w:pPr>
                  <w:r>
                    <w:rPr>
                      <w:sz w:val="20"/>
                    </w:rPr>
                    <w:t>Eigenkapitalquote:</w:t>
                  </w:r>
                </w:p>
              </w:tc>
              <w:tc>
                <w:tcPr>
                  <w:tcW w:w="1275" w:type="dxa"/>
                </w:tcPr>
                <w:p w:rsidR="007106E0" w:rsidRDefault="007106E0" w:rsidP="00C452A1">
                  <w:pPr>
                    <w:spacing w:before="0"/>
                    <w:jc w:val="right"/>
                    <w:rPr>
                      <w:sz w:val="20"/>
                    </w:rPr>
                  </w:pPr>
                  <w:r>
                    <w:rPr>
                      <w:sz w:val="20"/>
                    </w:rPr>
                    <w:t>%</w:t>
                  </w:r>
                </w:p>
              </w:tc>
              <w:tc>
                <w:tcPr>
                  <w:tcW w:w="1134" w:type="dxa"/>
                </w:tcPr>
                <w:p w:rsidR="007106E0" w:rsidRDefault="007106E0" w:rsidP="00C452A1">
                  <w:pPr>
                    <w:spacing w:before="0"/>
                    <w:jc w:val="right"/>
                    <w:rPr>
                      <w:sz w:val="20"/>
                    </w:rPr>
                  </w:pPr>
                  <w:r>
                    <w:rPr>
                      <w:sz w:val="20"/>
                    </w:rPr>
                    <w:t>37,2</w:t>
                  </w:r>
                </w:p>
              </w:tc>
              <w:tc>
                <w:tcPr>
                  <w:tcW w:w="1136" w:type="dxa"/>
                </w:tcPr>
                <w:p w:rsidR="007106E0" w:rsidRDefault="007106E0" w:rsidP="00C452A1">
                  <w:pPr>
                    <w:spacing w:before="0"/>
                    <w:jc w:val="right"/>
                    <w:rPr>
                      <w:sz w:val="20"/>
                    </w:rPr>
                  </w:pPr>
                  <w:r>
                    <w:rPr>
                      <w:sz w:val="20"/>
                    </w:rPr>
                    <w:t>35,9</w:t>
                  </w:r>
                </w:p>
              </w:tc>
            </w:tr>
          </w:tbl>
          <w:p w:rsidR="007106E0" w:rsidRDefault="007106E0" w:rsidP="00C452A1">
            <w:pPr>
              <w:spacing w:before="0"/>
              <w:rPr>
                <w:sz w:val="20"/>
              </w:rPr>
            </w:pPr>
          </w:p>
        </w:tc>
      </w:tr>
      <w:tr w:rsidR="00975A1A" w:rsidTr="00476CB6">
        <w:tc>
          <w:tcPr>
            <w:tcW w:w="556" w:type="dxa"/>
          </w:tcPr>
          <w:p w:rsidR="00975A1A" w:rsidRDefault="00975A1A" w:rsidP="00AE548E">
            <w:pPr>
              <w:spacing w:before="0"/>
              <w:jc w:val="left"/>
              <w:rPr>
                <w:sz w:val="20"/>
              </w:rPr>
            </w:pPr>
          </w:p>
        </w:tc>
        <w:tc>
          <w:tcPr>
            <w:tcW w:w="613" w:type="dxa"/>
          </w:tcPr>
          <w:p w:rsidR="00975A1A" w:rsidRDefault="00975A1A" w:rsidP="00AE548E">
            <w:pPr>
              <w:spacing w:before="0"/>
              <w:jc w:val="left"/>
              <w:rPr>
                <w:sz w:val="20"/>
              </w:rPr>
            </w:pPr>
          </w:p>
        </w:tc>
        <w:tc>
          <w:tcPr>
            <w:tcW w:w="7795" w:type="dxa"/>
          </w:tcPr>
          <w:p w:rsidR="00975A1A" w:rsidRDefault="00975A1A" w:rsidP="00C452A1">
            <w:pPr>
              <w:spacing w:before="0"/>
              <w:rPr>
                <w:sz w:val="20"/>
              </w:rPr>
            </w:pPr>
            <w:r w:rsidRPr="00F47051">
              <w:rPr>
                <w:sz w:val="20"/>
              </w:rPr>
              <w:t xml:space="preserve">Das für das Geschäftsjahr prognostizierte Ergebnis </w:t>
            </w:r>
            <w:r w:rsidR="00433B8D">
              <w:rPr>
                <w:sz w:val="20"/>
              </w:rPr>
              <w:t>von TEUR 400 haben wir nahezu erreicht.</w:t>
            </w:r>
            <w:r w:rsidRPr="00F47051">
              <w:rPr>
                <w:sz w:val="20"/>
              </w:rPr>
              <w:t xml:space="preserve"> Trotz der leicht rückläufigen Umsatzerlöse konnte durch eine verbesserte Materialeinsatzquote der Rohertrag deutlich gesteigert werden.</w:t>
            </w:r>
          </w:p>
          <w:p w:rsidR="00975A1A" w:rsidRDefault="00975A1A" w:rsidP="00C452A1">
            <w:pPr>
              <w:spacing w:before="0"/>
              <w:rPr>
                <w:sz w:val="20"/>
              </w:rPr>
            </w:pPr>
          </w:p>
          <w:p w:rsidR="00975A1A" w:rsidRPr="00F47051" w:rsidRDefault="00975A1A" w:rsidP="00C452A1">
            <w:pPr>
              <w:spacing w:before="0"/>
              <w:rPr>
                <w:sz w:val="20"/>
              </w:rPr>
            </w:pPr>
            <w:r>
              <w:rPr>
                <w:sz w:val="20"/>
              </w:rPr>
              <w:t xml:space="preserve">Die sonstigen betrieblichen Aufwendungen sind durch den vermehrten Einsatz von Leiharbeitskräften wesentlich erhöht. </w:t>
            </w:r>
            <w:proofErr w:type="spellStart"/>
            <w:r>
              <w:rPr>
                <w:sz w:val="20"/>
              </w:rPr>
              <w:t>Duch</w:t>
            </w:r>
            <w:proofErr w:type="spellEnd"/>
            <w:r>
              <w:rPr>
                <w:sz w:val="20"/>
              </w:rPr>
              <w:t xml:space="preserve"> diese kompensatorischen Effekte ergab sich ein nahezu doppelt so hohes Jahresergebnis sowie ein Cashflow, der deutlich über dem des Vorjahres lag.</w:t>
            </w:r>
          </w:p>
        </w:tc>
      </w:tr>
      <w:tr w:rsidR="007106E0" w:rsidTr="00476CB6">
        <w:tc>
          <w:tcPr>
            <w:tcW w:w="556" w:type="dxa"/>
          </w:tcPr>
          <w:p w:rsidR="007106E0" w:rsidRDefault="0077219B" w:rsidP="00AE548E">
            <w:pPr>
              <w:spacing w:before="0"/>
              <w:jc w:val="left"/>
              <w:rPr>
                <w:sz w:val="20"/>
              </w:rPr>
            </w:pPr>
            <w:r>
              <w:rPr>
                <w:sz w:val="20"/>
              </w:rPr>
              <w:t>4</w:t>
            </w:r>
          </w:p>
        </w:tc>
        <w:tc>
          <w:tcPr>
            <w:tcW w:w="613" w:type="dxa"/>
          </w:tcPr>
          <w:p w:rsidR="007106E0" w:rsidRPr="00F47051" w:rsidRDefault="00433B8D" w:rsidP="00AE548E">
            <w:pPr>
              <w:spacing w:before="0"/>
              <w:jc w:val="left"/>
              <w:rPr>
                <w:b/>
                <w:sz w:val="20"/>
              </w:rPr>
            </w:pPr>
            <w:r>
              <w:rPr>
                <w:b/>
                <w:sz w:val="20"/>
              </w:rPr>
              <w:t>a)</w:t>
            </w:r>
          </w:p>
        </w:tc>
        <w:tc>
          <w:tcPr>
            <w:tcW w:w="7795" w:type="dxa"/>
          </w:tcPr>
          <w:p w:rsidR="007106E0" w:rsidRPr="007106E0" w:rsidRDefault="007106E0" w:rsidP="00C452A1">
            <w:pPr>
              <w:spacing w:before="0"/>
              <w:rPr>
                <w:b/>
                <w:sz w:val="20"/>
              </w:rPr>
            </w:pPr>
            <w:r w:rsidRPr="007106E0">
              <w:rPr>
                <w:b/>
                <w:sz w:val="20"/>
              </w:rPr>
              <w:t>Ertragslage</w:t>
            </w:r>
          </w:p>
        </w:tc>
      </w:tr>
      <w:tr w:rsidR="007106E0" w:rsidTr="00476CB6">
        <w:tc>
          <w:tcPr>
            <w:tcW w:w="556" w:type="dxa"/>
          </w:tcPr>
          <w:p w:rsidR="007106E0" w:rsidRDefault="007106E0" w:rsidP="00AE548E">
            <w:pPr>
              <w:spacing w:before="0"/>
              <w:jc w:val="left"/>
              <w:rPr>
                <w:sz w:val="20"/>
              </w:rPr>
            </w:pPr>
          </w:p>
        </w:tc>
        <w:tc>
          <w:tcPr>
            <w:tcW w:w="613" w:type="dxa"/>
          </w:tcPr>
          <w:p w:rsidR="007106E0" w:rsidRDefault="007106E0" w:rsidP="00AE548E">
            <w:pPr>
              <w:spacing w:before="0"/>
              <w:jc w:val="left"/>
              <w:rPr>
                <w:sz w:val="20"/>
              </w:rPr>
            </w:pPr>
          </w:p>
        </w:tc>
        <w:tc>
          <w:tcPr>
            <w:tcW w:w="7795" w:type="dxa"/>
          </w:tcPr>
          <w:p w:rsidR="00841BCF" w:rsidRDefault="00841BCF" w:rsidP="00C452A1">
            <w:pPr>
              <w:spacing w:before="0"/>
              <w:rPr>
                <w:sz w:val="20"/>
              </w:rPr>
            </w:pPr>
            <w:r w:rsidRPr="00841BCF">
              <w:rPr>
                <w:sz w:val="20"/>
              </w:rPr>
              <w:t xml:space="preserve">Die Auftragseingänge waren in </w:t>
            </w:r>
            <w:r w:rsidR="00975A1A">
              <w:rPr>
                <w:sz w:val="20"/>
              </w:rPr>
              <w:t>02</w:t>
            </w:r>
            <w:r w:rsidR="00975A1A" w:rsidRPr="00841BCF">
              <w:rPr>
                <w:sz w:val="20"/>
              </w:rPr>
              <w:t xml:space="preserve"> </w:t>
            </w:r>
            <w:r w:rsidRPr="00841BCF">
              <w:rPr>
                <w:sz w:val="20"/>
              </w:rPr>
              <w:t xml:space="preserve">weiterhin konstant und konnten entsprechend der Kapazitäten und den Wetterverhältnissen abgearbeitet werden. </w:t>
            </w:r>
            <w:r w:rsidR="00975A1A">
              <w:rPr>
                <w:sz w:val="20"/>
              </w:rPr>
              <w:t xml:space="preserve">Durch die vermehrte Nutzung von Mietgeräten (z.B. Baumaschinen, Schalungen, Container) konnte der Materialaufwand reduziert werden. </w:t>
            </w:r>
            <w:r w:rsidRPr="00841BCF">
              <w:rPr>
                <w:sz w:val="20"/>
              </w:rPr>
              <w:t xml:space="preserve">So ergab sich in Verbindung mit der vermehrten Fertigstellung der Baustellen am Jahresende bei annähernd gleichbleibendem Bestand an unfertigen Baustellen ein </w:t>
            </w:r>
            <w:r w:rsidR="00975A1A">
              <w:rPr>
                <w:sz w:val="20"/>
              </w:rPr>
              <w:t xml:space="preserve">von TEUR 11.963 </w:t>
            </w:r>
            <w:r w:rsidRPr="00841BCF">
              <w:rPr>
                <w:sz w:val="20"/>
              </w:rPr>
              <w:t>auf TEUR 15.344 gestiegener Rohertrag.</w:t>
            </w:r>
          </w:p>
          <w:p w:rsidR="00841BCF" w:rsidRDefault="00841BCF" w:rsidP="00C452A1">
            <w:pPr>
              <w:spacing w:before="0"/>
              <w:rPr>
                <w:sz w:val="20"/>
              </w:rPr>
            </w:pPr>
          </w:p>
          <w:p w:rsidR="00433B8D" w:rsidRDefault="00433B8D" w:rsidP="00433B8D">
            <w:pPr>
              <w:spacing w:before="0"/>
              <w:rPr>
                <w:sz w:val="20"/>
              </w:rPr>
            </w:pPr>
            <w:r w:rsidRPr="007106E0">
              <w:rPr>
                <w:sz w:val="20"/>
              </w:rPr>
              <w:t>Gegenläufig mussten wir signifikante Forderungsberichtigungen vornehmen, die aus schwierigen Rechtsverfahren resultierten.</w:t>
            </w:r>
          </w:p>
          <w:p w:rsidR="00476CB6" w:rsidRDefault="00476CB6" w:rsidP="00433B8D">
            <w:pPr>
              <w:spacing w:before="0"/>
              <w:rPr>
                <w:sz w:val="20"/>
              </w:rPr>
            </w:pPr>
          </w:p>
          <w:p w:rsidR="00476CB6" w:rsidRDefault="00476CB6" w:rsidP="00433B8D">
            <w:pPr>
              <w:spacing w:before="0"/>
              <w:rPr>
                <w:sz w:val="20"/>
              </w:rPr>
            </w:pPr>
          </w:p>
          <w:p w:rsidR="00476CB6" w:rsidRDefault="00476CB6" w:rsidP="00433B8D">
            <w:pPr>
              <w:spacing w:before="0"/>
              <w:rPr>
                <w:sz w:val="20"/>
              </w:rPr>
            </w:pPr>
          </w:p>
          <w:p w:rsidR="00476CB6" w:rsidRDefault="00476CB6" w:rsidP="00433B8D">
            <w:pPr>
              <w:spacing w:before="0"/>
              <w:rPr>
                <w:sz w:val="20"/>
              </w:rPr>
            </w:pPr>
          </w:p>
          <w:p w:rsidR="00476CB6" w:rsidRDefault="00476CB6" w:rsidP="00476CB6">
            <w:pPr>
              <w:spacing w:before="0"/>
              <w:rPr>
                <w:sz w:val="20"/>
              </w:rPr>
            </w:pPr>
            <w:r>
              <w:rPr>
                <w:sz w:val="20"/>
              </w:rPr>
              <w:lastRenderedPageBreak/>
              <w:t xml:space="preserve">Durch die vermehrte Nutzung von Mietgeräten und den dadurch erhöhten Aufwendungen für Mietaufwendungen, die in den sonstigen betrieblichen Aufwendungen enthalten sind, wurde die Erhöhung des Rohertrags teilweise kompensiert. </w:t>
            </w:r>
          </w:p>
          <w:p w:rsidR="00975A1A" w:rsidRPr="00841BCF" w:rsidRDefault="00975A1A" w:rsidP="00C452A1">
            <w:pPr>
              <w:spacing w:before="0"/>
              <w:rPr>
                <w:sz w:val="20"/>
              </w:rPr>
            </w:pPr>
          </w:p>
          <w:p w:rsidR="007106E0" w:rsidRDefault="00841BCF" w:rsidP="00C452A1">
            <w:pPr>
              <w:spacing w:before="0"/>
              <w:rPr>
                <w:sz w:val="20"/>
              </w:rPr>
            </w:pPr>
            <w:r w:rsidRPr="00841BCF">
              <w:rPr>
                <w:sz w:val="20"/>
              </w:rPr>
              <w:t>Entsprechend erhöhte sich das Jahresergebnis von TEUR 641 auf TEUR 323.</w:t>
            </w:r>
          </w:p>
        </w:tc>
      </w:tr>
      <w:tr w:rsidR="00841BCF" w:rsidTr="00476CB6">
        <w:tc>
          <w:tcPr>
            <w:tcW w:w="556" w:type="dxa"/>
          </w:tcPr>
          <w:p w:rsidR="00841BCF" w:rsidRDefault="0077219B" w:rsidP="00AE548E">
            <w:pPr>
              <w:spacing w:before="0"/>
              <w:jc w:val="left"/>
              <w:rPr>
                <w:sz w:val="20"/>
              </w:rPr>
            </w:pPr>
            <w:r>
              <w:rPr>
                <w:sz w:val="20"/>
              </w:rPr>
              <w:lastRenderedPageBreak/>
              <w:t>5</w:t>
            </w:r>
          </w:p>
        </w:tc>
        <w:tc>
          <w:tcPr>
            <w:tcW w:w="613" w:type="dxa"/>
          </w:tcPr>
          <w:p w:rsidR="00841BCF" w:rsidRPr="00F47051" w:rsidRDefault="00433B8D" w:rsidP="00AE548E">
            <w:pPr>
              <w:spacing w:before="0"/>
              <w:jc w:val="left"/>
              <w:rPr>
                <w:b/>
                <w:sz w:val="20"/>
              </w:rPr>
            </w:pPr>
            <w:r w:rsidRPr="00F47051">
              <w:rPr>
                <w:b/>
                <w:sz w:val="20"/>
              </w:rPr>
              <w:t>b)</w:t>
            </w:r>
          </w:p>
        </w:tc>
        <w:tc>
          <w:tcPr>
            <w:tcW w:w="7795" w:type="dxa"/>
          </w:tcPr>
          <w:p w:rsidR="00841BCF" w:rsidRPr="00841BCF" w:rsidRDefault="00841BCF" w:rsidP="00C452A1">
            <w:pPr>
              <w:spacing w:before="0"/>
              <w:rPr>
                <w:b/>
                <w:sz w:val="20"/>
              </w:rPr>
            </w:pPr>
            <w:r w:rsidRPr="00841BCF">
              <w:rPr>
                <w:b/>
                <w:sz w:val="20"/>
              </w:rPr>
              <w:t>Vermögenslage</w:t>
            </w:r>
          </w:p>
        </w:tc>
      </w:tr>
      <w:tr w:rsidR="00841BCF" w:rsidTr="00476CB6">
        <w:tc>
          <w:tcPr>
            <w:tcW w:w="556" w:type="dxa"/>
          </w:tcPr>
          <w:p w:rsidR="00841BCF" w:rsidRDefault="00841BCF" w:rsidP="00AE548E">
            <w:pPr>
              <w:spacing w:before="0"/>
              <w:jc w:val="left"/>
              <w:rPr>
                <w:sz w:val="20"/>
              </w:rPr>
            </w:pPr>
          </w:p>
        </w:tc>
        <w:tc>
          <w:tcPr>
            <w:tcW w:w="613" w:type="dxa"/>
          </w:tcPr>
          <w:p w:rsidR="00841BCF" w:rsidRDefault="00841BCF" w:rsidP="00AE548E">
            <w:pPr>
              <w:spacing w:before="0"/>
              <w:jc w:val="left"/>
              <w:rPr>
                <w:sz w:val="20"/>
              </w:rPr>
            </w:pPr>
          </w:p>
        </w:tc>
        <w:tc>
          <w:tcPr>
            <w:tcW w:w="7795" w:type="dxa"/>
          </w:tcPr>
          <w:p w:rsidR="00841BCF" w:rsidRDefault="00841BCF" w:rsidP="00C452A1">
            <w:pPr>
              <w:spacing w:before="0"/>
              <w:rPr>
                <w:sz w:val="20"/>
              </w:rPr>
            </w:pPr>
            <w:r w:rsidRPr="00841BCF">
              <w:rPr>
                <w:sz w:val="20"/>
              </w:rPr>
              <w:t>Die bereinigte Eigenkapitalquote reduziert sich von 37,2% auf 35,9%, was auf die wegen des höheren Geschäftsvolumens gestiegene Bilanzsumme zurückzuführen ist.</w:t>
            </w:r>
          </w:p>
          <w:p w:rsidR="00841BCF" w:rsidRPr="00841BCF" w:rsidRDefault="00841BCF" w:rsidP="00C452A1">
            <w:pPr>
              <w:spacing w:before="0"/>
              <w:rPr>
                <w:sz w:val="20"/>
              </w:rPr>
            </w:pPr>
          </w:p>
          <w:p w:rsidR="00841BCF" w:rsidRDefault="00841BCF" w:rsidP="00C452A1">
            <w:pPr>
              <w:spacing w:before="0"/>
              <w:rPr>
                <w:sz w:val="20"/>
              </w:rPr>
            </w:pPr>
            <w:r w:rsidRPr="00841BCF">
              <w:rPr>
                <w:sz w:val="20"/>
              </w:rPr>
              <w:t xml:space="preserve">Investitionen in das Anlagevermögen wurden in </w:t>
            </w:r>
            <w:r w:rsidR="00433B8D">
              <w:rPr>
                <w:sz w:val="20"/>
              </w:rPr>
              <w:t>02</w:t>
            </w:r>
            <w:r w:rsidRPr="00841BCF">
              <w:rPr>
                <w:sz w:val="20"/>
              </w:rPr>
              <w:t xml:space="preserve"> mit 1.874 TEUR getätigt, insbesondere in diverse Bagger, Radlader und LKW samt Auf- und Anbauten, um auf dem neusten technischen Stand zu bleiben, umweltrechtliche Vorgaben einzuhalten und den Maschinenpark, insbesondere auch die Vermessung, weiter zu digitalisieren.</w:t>
            </w:r>
          </w:p>
        </w:tc>
      </w:tr>
      <w:tr w:rsidR="00A42664" w:rsidTr="00476CB6">
        <w:tc>
          <w:tcPr>
            <w:tcW w:w="556" w:type="dxa"/>
          </w:tcPr>
          <w:p w:rsidR="00A42664" w:rsidRDefault="0077219B" w:rsidP="00AE548E">
            <w:pPr>
              <w:spacing w:before="0"/>
              <w:jc w:val="left"/>
              <w:rPr>
                <w:sz w:val="20"/>
              </w:rPr>
            </w:pPr>
            <w:r>
              <w:rPr>
                <w:sz w:val="20"/>
              </w:rPr>
              <w:t>6</w:t>
            </w:r>
          </w:p>
        </w:tc>
        <w:tc>
          <w:tcPr>
            <w:tcW w:w="613" w:type="dxa"/>
          </w:tcPr>
          <w:p w:rsidR="00A42664" w:rsidRPr="00F47051" w:rsidRDefault="00433B8D" w:rsidP="00AE548E">
            <w:pPr>
              <w:spacing w:before="0"/>
              <w:jc w:val="left"/>
              <w:rPr>
                <w:b/>
                <w:sz w:val="20"/>
              </w:rPr>
            </w:pPr>
            <w:r w:rsidRPr="00F47051">
              <w:rPr>
                <w:b/>
                <w:sz w:val="20"/>
              </w:rPr>
              <w:t>c)</w:t>
            </w:r>
          </w:p>
        </w:tc>
        <w:tc>
          <w:tcPr>
            <w:tcW w:w="7795" w:type="dxa"/>
          </w:tcPr>
          <w:p w:rsidR="00A42664" w:rsidRPr="00C452A1" w:rsidRDefault="00C452A1" w:rsidP="00C452A1">
            <w:pPr>
              <w:spacing w:before="0"/>
              <w:rPr>
                <w:b/>
                <w:sz w:val="20"/>
              </w:rPr>
            </w:pPr>
            <w:r w:rsidRPr="00C452A1">
              <w:rPr>
                <w:b/>
                <w:sz w:val="20"/>
              </w:rPr>
              <w:t>Finanzlage und Liquidität:</w:t>
            </w:r>
          </w:p>
        </w:tc>
      </w:tr>
      <w:tr w:rsidR="00C452A1" w:rsidTr="00476CB6">
        <w:tc>
          <w:tcPr>
            <w:tcW w:w="556" w:type="dxa"/>
          </w:tcPr>
          <w:p w:rsidR="00C452A1" w:rsidRDefault="00C452A1" w:rsidP="00AE548E">
            <w:pPr>
              <w:spacing w:before="0"/>
              <w:jc w:val="left"/>
              <w:rPr>
                <w:sz w:val="20"/>
              </w:rPr>
            </w:pPr>
          </w:p>
        </w:tc>
        <w:tc>
          <w:tcPr>
            <w:tcW w:w="613" w:type="dxa"/>
          </w:tcPr>
          <w:p w:rsidR="00C452A1" w:rsidRDefault="00C452A1" w:rsidP="00AE548E">
            <w:pPr>
              <w:spacing w:before="0"/>
              <w:jc w:val="left"/>
              <w:rPr>
                <w:sz w:val="20"/>
              </w:rPr>
            </w:pPr>
          </w:p>
        </w:tc>
        <w:tc>
          <w:tcPr>
            <w:tcW w:w="7795" w:type="dxa"/>
          </w:tcPr>
          <w:p w:rsidR="00C452A1" w:rsidRDefault="00C452A1" w:rsidP="00C452A1">
            <w:pPr>
              <w:spacing w:before="0"/>
              <w:rPr>
                <w:sz w:val="20"/>
              </w:rPr>
            </w:pPr>
            <w:r w:rsidRPr="00C452A1">
              <w:rPr>
                <w:sz w:val="20"/>
              </w:rPr>
              <w:t xml:space="preserve">Die Verbindlichkeiten gegenüber Kreditinstituten wurden bis auf wenige kurzfristige </w:t>
            </w:r>
            <w:proofErr w:type="spellStart"/>
            <w:r w:rsidRPr="00C452A1">
              <w:rPr>
                <w:sz w:val="20"/>
              </w:rPr>
              <w:t>coronabedingte</w:t>
            </w:r>
            <w:proofErr w:type="spellEnd"/>
            <w:r w:rsidRPr="00C452A1">
              <w:rPr>
                <w:sz w:val="20"/>
              </w:rPr>
              <w:t xml:space="preserve"> Stundungen, die vorsichtshalber vereinbart wurden, planmäßig bedient.</w:t>
            </w:r>
          </w:p>
          <w:p w:rsidR="00C452A1" w:rsidRPr="00C452A1" w:rsidRDefault="00C452A1" w:rsidP="00C452A1">
            <w:pPr>
              <w:spacing w:before="0"/>
              <w:rPr>
                <w:sz w:val="20"/>
              </w:rPr>
            </w:pPr>
          </w:p>
          <w:p w:rsidR="00C452A1" w:rsidRDefault="00C452A1" w:rsidP="00C452A1">
            <w:pPr>
              <w:spacing w:before="0"/>
              <w:rPr>
                <w:sz w:val="20"/>
              </w:rPr>
            </w:pPr>
            <w:r w:rsidRPr="00C452A1">
              <w:rPr>
                <w:sz w:val="20"/>
              </w:rPr>
              <w:t xml:space="preserve">Per Saldo betrachtet finanzierten wir den Zuwachs des Anlagevermögens im Wesentlichen aus dem </w:t>
            </w:r>
            <w:proofErr w:type="spellStart"/>
            <w:r w:rsidRPr="00C452A1">
              <w:rPr>
                <w:sz w:val="20"/>
              </w:rPr>
              <w:t>Cash-flow</w:t>
            </w:r>
            <w:proofErr w:type="spellEnd"/>
            <w:r w:rsidRPr="00C452A1">
              <w:rPr>
                <w:sz w:val="20"/>
              </w:rPr>
              <w:t>.</w:t>
            </w:r>
          </w:p>
          <w:p w:rsidR="00C452A1" w:rsidRDefault="00C452A1" w:rsidP="00C452A1">
            <w:pPr>
              <w:spacing w:before="0"/>
              <w:rPr>
                <w:sz w:val="20"/>
              </w:rPr>
            </w:pPr>
          </w:p>
          <w:p w:rsidR="00C452A1" w:rsidRDefault="00C452A1" w:rsidP="00C452A1">
            <w:pPr>
              <w:spacing w:before="0"/>
              <w:rPr>
                <w:sz w:val="20"/>
              </w:rPr>
            </w:pPr>
            <w:r w:rsidRPr="00C452A1">
              <w:rPr>
                <w:sz w:val="20"/>
              </w:rPr>
              <w:t>So stiegen die Verbindlichkeiten gegenüber Kreditinstituten, unter denen wir auch die Mietkaufverbindlichkeiten ausweisen, um TEUR 285. Der Maschinenpark wurde zusätzlich mit Leasingobjekten erweitert und modernisiert. Die Gesellschaft war zu jedem Zeitpunkt uneingeschränkt zahlungsfähig</w:t>
            </w:r>
            <w:r>
              <w:rPr>
                <w:sz w:val="20"/>
              </w:rPr>
              <w:t>.</w:t>
            </w:r>
          </w:p>
          <w:p w:rsidR="00C452A1" w:rsidRPr="00C452A1" w:rsidRDefault="00C452A1" w:rsidP="00C452A1">
            <w:pPr>
              <w:spacing w:before="0"/>
              <w:rPr>
                <w:sz w:val="20"/>
              </w:rPr>
            </w:pPr>
          </w:p>
          <w:p w:rsidR="00C452A1" w:rsidRDefault="00C452A1" w:rsidP="00C452A1">
            <w:pPr>
              <w:spacing w:before="0"/>
              <w:rPr>
                <w:sz w:val="20"/>
              </w:rPr>
            </w:pPr>
            <w:r w:rsidRPr="00C452A1">
              <w:rPr>
                <w:sz w:val="20"/>
              </w:rPr>
              <w:t>Forderungen aus Lieferungen und Leistungen werden weiterhin nur mit deutlicher Überziehung seitens der Auftraggeber bezahlt, was den Kapitalbedarf zusätzlich belastet.</w:t>
            </w:r>
          </w:p>
          <w:p w:rsidR="00C452A1" w:rsidRPr="00C452A1" w:rsidRDefault="00C452A1" w:rsidP="00C452A1">
            <w:pPr>
              <w:spacing w:before="0"/>
              <w:rPr>
                <w:sz w:val="20"/>
              </w:rPr>
            </w:pPr>
          </w:p>
          <w:p w:rsidR="00C452A1" w:rsidRPr="00C452A1" w:rsidRDefault="00C452A1" w:rsidP="00C452A1">
            <w:pPr>
              <w:spacing w:before="0"/>
              <w:rPr>
                <w:sz w:val="20"/>
              </w:rPr>
            </w:pPr>
            <w:r w:rsidRPr="00C452A1">
              <w:rPr>
                <w:sz w:val="20"/>
              </w:rPr>
              <w:t>Die Gewinne werden weiterhin thesauriert.</w:t>
            </w:r>
          </w:p>
        </w:tc>
      </w:tr>
      <w:tr w:rsidR="00975A1A" w:rsidTr="00476CB6">
        <w:tc>
          <w:tcPr>
            <w:tcW w:w="556" w:type="dxa"/>
          </w:tcPr>
          <w:p w:rsidR="00975A1A" w:rsidRPr="0077219B" w:rsidRDefault="0077219B" w:rsidP="00AE548E">
            <w:pPr>
              <w:spacing w:before="0"/>
              <w:jc w:val="left"/>
              <w:rPr>
                <w:sz w:val="20"/>
              </w:rPr>
            </w:pPr>
            <w:r w:rsidRPr="0077219B">
              <w:rPr>
                <w:sz w:val="20"/>
              </w:rPr>
              <w:t>7</w:t>
            </w:r>
          </w:p>
        </w:tc>
        <w:tc>
          <w:tcPr>
            <w:tcW w:w="613" w:type="dxa"/>
          </w:tcPr>
          <w:p w:rsidR="00975A1A" w:rsidRPr="00F47051" w:rsidRDefault="00433B8D" w:rsidP="00AE548E">
            <w:pPr>
              <w:spacing w:before="0"/>
              <w:jc w:val="left"/>
              <w:rPr>
                <w:b/>
                <w:sz w:val="20"/>
              </w:rPr>
            </w:pPr>
            <w:r w:rsidRPr="00F47051">
              <w:rPr>
                <w:b/>
                <w:sz w:val="20"/>
              </w:rPr>
              <w:t>3.</w:t>
            </w:r>
          </w:p>
        </w:tc>
        <w:tc>
          <w:tcPr>
            <w:tcW w:w="7795" w:type="dxa"/>
          </w:tcPr>
          <w:p w:rsidR="00975A1A" w:rsidRPr="00F47051" w:rsidRDefault="00975A1A" w:rsidP="00C452A1">
            <w:pPr>
              <w:spacing w:before="0"/>
              <w:rPr>
                <w:b/>
                <w:sz w:val="20"/>
              </w:rPr>
            </w:pPr>
            <w:r w:rsidRPr="00F47051">
              <w:rPr>
                <w:b/>
                <w:sz w:val="20"/>
              </w:rPr>
              <w:t>Finanzielle Leistungsindikatoren</w:t>
            </w:r>
          </w:p>
        </w:tc>
      </w:tr>
      <w:tr w:rsidR="00975A1A" w:rsidTr="00476CB6">
        <w:tc>
          <w:tcPr>
            <w:tcW w:w="556" w:type="dxa"/>
          </w:tcPr>
          <w:p w:rsidR="00975A1A" w:rsidRDefault="00975A1A" w:rsidP="00AE548E">
            <w:pPr>
              <w:spacing w:before="0"/>
              <w:jc w:val="left"/>
              <w:rPr>
                <w:sz w:val="20"/>
              </w:rPr>
            </w:pPr>
          </w:p>
        </w:tc>
        <w:tc>
          <w:tcPr>
            <w:tcW w:w="613" w:type="dxa"/>
          </w:tcPr>
          <w:p w:rsidR="00975A1A" w:rsidRDefault="00975A1A" w:rsidP="00AE548E">
            <w:pPr>
              <w:spacing w:before="0"/>
              <w:jc w:val="left"/>
              <w:rPr>
                <w:sz w:val="20"/>
              </w:rPr>
            </w:pPr>
          </w:p>
        </w:tc>
        <w:tc>
          <w:tcPr>
            <w:tcW w:w="7795" w:type="dxa"/>
          </w:tcPr>
          <w:p w:rsidR="00975A1A" w:rsidRDefault="00975A1A" w:rsidP="00C452A1">
            <w:pPr>
              <w:spacing w:before="0"/>
              <w:rPr>
                <w:sz w:val="20"/>
              </w:rPr>
            </w:pPr>
            <w:r>
              <w:rPr>
                <w:sz w:val="20"/>
              </w:rPr>
              <w:t xml:space="preserve">Wir ziehen für unsere interne Unternehmenssteuerung die Kennzahlen Rohergebnis, Cashflow sowie Ergebnis nach Steuern heran. Der Cashflow ermittelt sich aus der Summe von Jahresergebnis und Abschreibungen. </w:t>
            </w:r>
          </w:p>
        </w:tc>
      </w:tr>
      <w:tr w:rsidR="00975A1A" w:rsidTr="00476CB6">
        <w:tc>
          <w:tcPr>
            <w:tcW w:w="556" w:type="dxa"/>
          </w:tcPr>
          <w:p w:rsidR="00975A1A" w:rsidRDefault="00975A1A" w:rsidP="00AE548E">
            <w:pPr>
              <w:spacing w:before="0"/>
              <w:jc w:val="left"/>
              <w:rPr>
                <w:sz w:val="20"/>
              </w:rPr>
            </w:pPr>
          </w:p>
        </w:tc>
        <w:tc>
          <w:tcPr>
            <w:tcW w:w="613" w:type="dxa"/>
          </w:tcPr>
          <w:p w:rsidR="00975A1A" w:rsidRDefault="00975A1A" w:rsidP="00AE548E">
            <w:pPr>
              <w:spacing w:before="0"/>
              <w:jc w:val="left"/>
              <w:rPr>
                <w:sz w:val="20"/>
              </w:rPr>
            </w:pPr>
          </w:p>
        </w:tc>
        <w:tc>
          <w:tcPr>
            <w:tcW w:w="7795" w:type="dxa"/>
          </w:tcPr>
          <w:p w:rsidR="00975A1A" w:rsidRDefault="00975A1A" w:rsidP="00C452A1">
            <w:pPr>
              <w:spacing w:before="0"/>
              <w:rPr>
                <w:sz w:val="20"/>
              </w:rPr>
            </w:pPr>
            <w:r>
              <w:rPr>
                <w:sz w:val="20"/>
              </w:rPr>
              <w:t>Das Rohergebnis hat sich um TEUR 3.382 gegenüber dem Vorjahr erheblich verbessert. Der Cashflow beträgt TEUR 1.672 und stieg im Vergleich zum Vorjahr um TEUR 440. Das Ergebnis nach Steuern beträgt TEUR 325 und ist um TEUR 210 höher als im Vorjahr.</w:t>
            </w:r>
          </w:p>
        </w:tc>
      </w:tr>
    </w:tbl>
    <w:p w:rsidR="00476CB6" w:rsidRDefault="00476CB6">
      <w:r>
        <w:br w:type="page"/>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56"/>
        <w:gridCol w:w="613"/>
        <w:gridCol w:w="7795"/>
      </w:tblGrid>
      <w:tr w:rsidR="00433B8D" w:rsidTr="00476CB6">
        <w:tc>
          <w:tcPr>
            <w:tcW w:w="556" w:type="dxa"/>
          </w:tcPr>
          <w:p w:rsidR="00433B8D" w:rsidRPr="0077219B" w:rsidRDefault="0077219B" w:rsidP="00AE548E">
            <w:pPr>
              <w:spacing w:before="0"/>
              <w:jc w:val="left"/>
              <w:rPr>
                <w:sz w:val="20"/>
              </w:rPr>
            </w:pPr>
            <w:r w:rsidRPr="0077219B">
              <w:rPr>
                <w:sz w:val="20"/>
              </w:rPr>
              <w:lastRenderedPageBreak/>
              <w:t>8</w:t>
            </w:r>
          </w:p>
        </w:tc>
        <w:tc>
          <w:tcPr>
            <w:tcW w:w="613" w:type="dxa"/>
          </w:tcPr>
          <w:p w:rsidR="00433B8D" w:rsidRPr="00F47051" w:rsidRDefault="00433B8D" w:rsidP="00AE548E">
            <w:pPr>
              <w:spacing w:before="0"/>
              <w:jc w:val="left"/>
              <w:rPr>
                <w:b/>
                <w:sz w:val="20"/>
              </w:rPr>
            </w:pPr>
            <w:r w:rsidRPr="00F47051">
              <w:rPr>
                <w:b/>
                <w:sz w:val="20"/>
              </w:rPr>
              <w:t>4.</w:t>
            </w:r>
          </w:p>
        </w:tc>
        <w:tc>
          <w:tcPr>
            <w:tcW w:w="7795" w:type="dxa"/>
          </w:tcPr>
          <w:p w:rsidR="00433B8D" w:rsidRPr="00F47051" w:rsidRDefault="00433B8D" w:rsidP="00C452A1">
            <w:pPr>
              <w:spacing w:before="0"/>
              <w:rPr>
                <w:b/>
                <w:sz w:val="20"/>
              </w:rPr>
            </w:pPr>
            <w:r w:rsidRPr="00F47051">
              <w:rPr>
                <w:b/>
                <w:sz w:val="20"/>
              </w:rPr>
              <w:t>Gesamtaussage</w:t>
            </w:r>
          </w:p>
        </w:tc>
      </w:tr>
      <w:tr w:rsidR="00433B8D" w:rsidTr="00476CB6">
        <w:tc>
          <w:tcPr>
            <w:tcW w:w="556" w:type="dxa"/>
          </w:tcPr>
          <w:p w:rsidR="00433B8D" w:rsidRDefault="00433B8D" w:rsidP="00AE548E">
            <w:pPr>
              <w:spacing w:before="0"/>
              <w:jc w:val="left"/>
              <w:rPr>
                <w:sz w:val="20"/>
              </w:rPr>
            </w:pPr>
          </w:p>
        </w:tc>
        <w:tc>
          <w:tcPr>
            <w:tcW w:w="613" w:type="dxa"/>
          </w:tcPr>
          <w:p w:rsidR="00433B8D" w:rsidRDefault="00433B8D" w:rsidP="00AE548E">
            <w:pPr>
              <w:spacing w:before="0"/>
              <w:jc w:val="left"/>
              <w:rPr>
                <w:sz w:val="20"/>
              </w:rPr>
            </w:pPr>
          </w:p>
        </w:tc>
        <w:tc>
          <w:tcPr>
            <w:tcW w:w="7795" w:type="dxa"/>
          </w:tcPr>
          <w:p w:rsidR="00433B8D" w:rsidRDefault="00433B8D" w:rsidP="00C452A1">
            <w:pPr>
              <w:spacing w:before="0"/>
              <w:rPr>
                <w:sz w:val="20"/>
              </w:rPr>
            </w:pPr>
            <w:r>
              <w:rPr>
                <w:sz w:val="20"/>
              </w:rPr>
              <w:t xml:space="preserve">Unsere Vermögens-, Finanz- und Ertragslage schätzen wir als gut ein. </w:t>
            </w:r>
          </w:p>
          <w:p w:rsidR="00433B8D" w:rsidRDefault="00433B8D" w:rsidP="00C452A1">
            <w:pPr>
              <w:spacing w:before="0"/>
              <w:rPr>
                <w:sz w:val="20"/>
              </w:rPr>
            </w:pPr>
            <w:r>
              <w:rPr>
                <w:sz w:val="20"/>
              </w:rPr>
              <w:t>Insgesamt kann der Geschäftsverlauf 02 aus unserer Sicht als sehr gut bezeichnet werden.</w:t>
            </w:r>
          </w:p>
        </w:tc>
      </w:tr>
      <w:tr w:rsidR="00C452A1" w:rsidTr="00476CB6">
        <w:tc>
          <w:tcPr>
            <w:tcW w:w="556" w:type="dxa"/>
          </w:tcPr>
          <w:p w:rsidR="00C452A1" w:rsidRDefault="0077219B" w:rsidP="00AE548E">
            <w:pPr>
              <w:spacing w:before="0"/>
              <w:jc w:val="left"/>
              <w:rPr>
                <w:sz w:val="20"/>
              </w:rPr>
            </w:pPr>
            <w:r>
              <w:rPr>
                <w:sz w:val="20"/>
              </w:rPr>
              <w:t>9</w:t>
            </w:r>
          </w:p>
        </w:tc>
        <w:tc>
          <w:tcPr>
            <w:tcW w:w="613" w:type="dxa"/>
          </w:tcPr>
          <w:p w:rsidR="00C452A1" w:rsidRPr="00C452A1" w:rsidRDefault="00433B8D" w:rsidP="00AE548E">
            <w:pPr>
              <w:spacing w:before="0"/>
              <w:jc w:val="left"/>
              <w:rPr>
                <w:b/>
                <w:sz w:val="20"/>
              </w:rPr>
            </w:pPr>
            <w:r>
              <w:rPr>
                <w:b/>
                <w:sz w:val="20"/>
              </w:rPr>
              <w:t>C.</w:t>
            </w:r>
          </w:p>
        </w:tc>
        <w:tc>
          <w:tcPr>
            <w:tcW w:w="7795" w:type="dxa"/>
          </w:tcPr>
          <w:p w:rsidR="00C452A1" w:rsidRPr="00C452A1" w:rsidRDefault="00C452A1" w:rsidP="00C452A1">
            <w:pPr>
              <w:spacing w:before="0"/>
              <w:rPr>
                <w:b/>
                <w:sz w:val="20"/>
              </w:rPr>
            </w:pPr>
            <w:r w:rsidRPr="00C452A1">
              <w:rPr>
                <w:b/>
                <w:sz w:val="20"/>
              </w:rPr>
              <w:t>Prognosebericht</w:t>
            </w:r>
          </w:p>
        </w:tc>
      </w:tr>
      <w:tr w:rsidR="00C452A1" w:rsidTr="00476CB6">
        <w:tc>
          <w:tcPr>
            <w:tcW w:w="556" w:type="dxa"/>
          </w:tcPr>
          <w:p w:rsidR="00C452A1" w:rsidRDefault="00C452A1" w:rsidP="00AE548E">
            <w:pPr>
              <w:spacing w:before="0"/>
              <w:jc w:val="left"/>
              <w:rPr>
                <w:sz w:val="20"/>
              </w:rPr>
            </w:pPr>
          </w:p>
        </w:tc>
        <w:tc>
          <w:tcPr>
            <w:tcW w:w="613" w:type="dxa"/>
          </w:tcPr>
          <w:p w:rsidR="00C452A1" w:rsidRDefault="00C452A1" w:rsidP="00AE548E">
            <w:pPr>
              <w:spacing w:before="0"/>
              <w:jc w:val="left"/>
              <w:rPr>
                <w:sz w:val="20"/>
              </w:rPr>
            </w:pPr>
          </w:p>
        </w:tc>
        <w:tc>
          <w:tcPr>
            <w:tcW w:w="7795" w:type="dxa"/>
          </w:tcPr>
          <w:p w:rsidR="00CD49C1" w:rsidRPr="00F47051" w:rsidRDefault="00CD49C1" w:rsidP="00CD49C1">
            <w:pPr>
              <w:spacing w:before="100" w:beforeAutospacing="1" w:after="100" w:afterAutospacing="1"/>
              <w:jc w:val="left"/>
              <w:rPr>
                <w:sz w:val="20"/>
              </w:rPr>
            </w:pPr>
            <w:r w:rsidRPr="00F47051">
              <w:rPr>
                <w:sz w:val="20"/>
              </w:rPr>
              <w:t>Zur Unterstützung der weiteren positiven Unternehmensentwicklung legen wir auch künftig ein besonderes Augenmerk auf die gezielte Kundenakquisition sowie die langfristige Kundenbindung. Parallel dazu arbeiten wir kontinuierlich an der Weiterentwicklung unseres Qualitätsmanagements und investieren gezielt in die Qualifikation unserer Mitarbeitenden.</w:t>
            </w:r>
          </w:p>
          <w:p w:rsidR="00CD49C1" w:rsidRPr="00F47051" w:rsidRDefault="00CD49C1" w:rsidP="00CD49C1">
            <w:pPr>
              <w:spacing w:before="100" w:beforeAutospacing="1" w:after="100" w:afterAutospacing="1"/>
              <w:jc w:val="left"/>
              <w:rPr>
                <w:sz w:val="20"/>
              </w:rPr>
            </w:pPr>
            <w:r w:rsidRPr="00F47051">
              <w:rPr>
                <w:sz w:val="20"/>
              </w:rPr>
              <w:t>Insbesondere im Bereich der Erschließung und Sanierung von Infrastrukturprojekten setzen wir unseren bereits im Vorjahr eingeschlagenen Kurs fort, vermehrt Aufträge aus dem industriellen Umfeld zu gewinnen. Dieses Segment bietet stabile Entwicklungsmöglichkeiten, insbesondere durch langfristig planbare Maßnahmen großer Auftraggeber.</w:t>
            </w:r>
          </w:p>
          <w:p w:rsidR="00CD49C1" w:rsidRPr="00F47051" w:rsidRDefault="00CD49C1" w:rsidP="00CD49C1">
            <w:pPr>
              <w:spacing w:before="100" w:beforeAutospacing="1" w:after="100" w:afterAutospacing="1"/>
              <w:jc w:val="left"/>
              <w:rPr>
                <w:sz w:val="20"/>
              </w:rPr>
            </w:pPr>
            <w:r w:rsidRPr="00F47051">
              <w:rPr>
                <w:sz w:val="20"/>
              </w:rPr>
              <w:t>Darüber hinaus sind derzeit keine grundlegenden Änderungen an der bestehenden Geschäftsausrichtung vorgesehen.</w:t>
            </w:r>
          </w:p>
          <w:p w:rsidR="00CD49C1" w:rsidRPr="00F47051" w:rsidRDefault="00CD49C1" w:rsidP="00CD49C1">
            <w:pPr>
              <w:spacing w:before="100" w:beforeAutospacing="1" w:after="100" w:afterAutospacing="1"/>
              <w:jc w:val="left"/>
              <w:rPr>
                <w:sz w:val="20"/>
              </w:rPr>
            </w:pPr>
            <w:r w:rsidRPr="00F47051">
              <w:rPr>
                <w:sz w:val="20"/>
              </w:rPr>
              <w:t xml:space="preserve">Die weitere Unternehmensentwicklung beurteilen wir insgesamt als positiv. Trotz der anhaltenden Herausforderungen durch intensiven Preiswettbewerb im Bausektor sowie teils schwacher öffentlicher Investitionstätigkeit bleiben die Erwartungen für das laufende Geschäftsjahr </w:t>
            </w:r>
            <w:r>
              <w:rPr>
                <w:sz w:val="20"/>
              </w:rPr>
              <w:t xml:space="preserve">03 </w:t>
            </w:r>
            <w:r w:rsidRPr="00F47051">
              <w:rPr>
                <w:sz w:val="20"/>
              </w:rPr>
              <w:t>verhalten optimistisch.</w:t>
            </w:r>
          </w:p>
          <w:p w:rsidR="00CD49C1" w:rsidRPr="00F47051" w:rsidRDefault="00CD49C1" w:rsidP="00CD49C1">
            <w:pPr>
              <w:spacing w:before="100" w:beforeAutospacing="1" w:after="100" w:afterAutospacing="1"/>
              <w:jc w:val="left"/>
              <w:rPr>
                <w:sz w:val="20"/>
              </w:rPr>
            </w:pPr>
            <w:r w:rsidRPr="00F47051">
              <w:rPr>
                <w:sz w:val="20"/>
              </w:rPr>
              <w:t xml:space="preserve">Zum Zeitpunkt des Berichts liegt die abgewickelte Bauleistung im ersten Quartal </w:t>
            </w:r>
            <w:r>
              <w:rPr>
                <w:sz w:val="20"/>
              </w:rPr>
              <w:t>03</w:t>
            </w:r>
            <w:r w:rsidRPr="00F47051">
              <w:rPr>
                <w:sz w:val="20"/>
              </w:rPr>
              <w:t xml:space="preserve"> leicht unter dem Vorjahresniveau. Dennoch ist der aktuelle Auftragsbestand solide und bildet eine tragfähige Grundlage für die kommenden Monate.</w:t>
            </w:r>
          </w:p>
          <w:p w:rsidR="00CD49C1" w:rsidRPr="00F47051" w:rsidRDefault="00CD49C1" w:rsidP="00CD49C1">
            <w:pPr>
              <w:spacing w:before="100" w:beforeAutospacing="1" w:after="100" w:afterAutospacing="1"/>
              <w:jc w:val="left"/>
              <w:rPr>
                <w:sz w:val="20"/>
              </w:rPr>
            </w:pPr>
            <w:r w:rsidRPr="00F47051">
              <w:rPr>
                <w:sz w:val="20"/>
              </w:rPr>
              <w:t>Unsere Leistungen im Straßen- und Tiefbau erbringen wir überwiegend für öffentliche Auftraggeber sowie für Unternehmen im Rahmen gewerblicher und industrieller Projekte. Aufgrund der angespannten Haushaltslage vieler Kommunen und der allgemeinen wirtschaftlichen Unsicherheit rechnen wir in diesem Segment mit einem moderaten Rückgang des Auftragsvolumens.</w:t>
            </w:r>
          </w:p>
          <w:p w:rsidR="00CD49C1" w:rsidRPr="00F47051" w:rsidRDefault="00CD49C1" w:rsidP="00CD49C1">
            <w:pPr>
              <w:spacing w:before="100" w:beforeAutospacing="1" w:after="100" w:afterAutospacing="1"/>
              <w:jc w:val="left"/>
              <w:rPr>
                <w:sz w:val="20"/>
              </w:rPr>
            </w:pPr>
            <w:r w:rsidRPr="00F47051">
              <w:rPr>
                <w:sz w:val="20"/>
              </w:rPr>
              <w:t>Im Bereich der Baugebietserschließung beobachten wir eine zunehmende Zurückhaltung privater Investoren. Gleichzeitig erwarten wir jedoch einen wachsenden Anteil an Aufträgen im gewerblichen Bereich, was zu einer insgesamt stabilen Auslastung führen dürfte</w:t>
            </w:r>
          </w:p>
          <w:p w:rsidR="00C452A1" w:rsidRDefault="00C452A1" w:rsidP="00C452A1">
            <w:pPr>
              <w:spacing w:before="0"/>
              <w:rPr>
                <w:sz w:val="20"/>
              </w:rPr>
            </w:pPr>
            <w:r w:rsidRPr="00C452A1">
              <w:rPr>
                <w:sz w:val="20"/>
              </w:rPr>
              <w:t>Unsere Prognose haben wir vor dem Hintergrund der Annahme stabiler Rahmenbedingungen erstellt.</w:t>
            </w:r>
          </w:p>
          <w:p w:rsidR="00CD49C1" w:rsidRDefault="00CD49C1" w:rsidP="00C452A1">
            <w:pPr>
              <w:spacing w:before="0"/>
              <w:rPr>
                <w:sz w:val="20"/>
              </w:rPr>
            </w:pPr>
          </w:p>
          <w:p w:rsidR="00CD49C1" w:rsidRDefault="00CD49C1" w:rsidP="00C452A1">
            <w:pPr>
              <w:spacing w:before="0"/>
              <w:rPr>
                <w:sz w:val="20"/>
              </w:rPr>
            </w:pPr>
            <w:r>
              <w:rPr>
                <w:sz w:val="20"/>
              </w:rPr>
              <w:t xml:space="preserve">Aufgrund des erwarteten Rückgangs der Gesamtleistung gehen wir von einem deutlich geringeren Rohergebnis aus. Für das Ergebnis nach Steuern wie auch für den Cashflow erwarten wir für das Jahr 03 einen zwar deutlich geringeren, aber dennoch guten positiven Wert. </w:t>
            </w:r>
          </w:p>
          <w:p w:rsidR="00CD49C1" w:rsidRDefault="00CD49C1" w:rsidP="00C452A1">
            <w:pPr>
              <w:spacing w:before="0"/>
              <w:rPr>
                <w:sz w:val="20"/>
              </w:rPr>
            </w:pPr>
          </w:p>
        </w:tc>
      </w:tr>
    </w:tbl>
    <w:p w:rsidR="00476CB6" w:rsidRDefault="00476CB6">
      <w:r>
        <w:br w:type="page"/>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56"/>
        <w:gridCol w:w="613"/>
        <w:gridCol w:w="7795"/>
      </w:tblGrid>
      <w:tr w:rsidR="00E942AC" w:rsidTr="00476CB6">
        <w:tc>
          <w:tcPr>
            <w:tcW w:w="556" w:type="dxa"/>
          </w:tcPr>
          <w:p w:rsidR="00E942AC" w:rsidRDefault="0077219B" w:rsidP="00AE548E">
            <w:pPr>
              <w:spacing w:before="0"/>
              <w:jc w:val="left"/>
              <w:rPr>
                <w:sz w:val="20"/>
              </w:rPr>
            </w:pPr>
            <w:r>
              <w:rPr>
                <w:sz w:val="20"/>
              </w:rPr>
              <w:lastRenderedPageBreak/>
              <w:t>10</w:t>
            </w:r>
          </w:p>
        </w:tc>
        <w:tc>
          <w:tcPr>
            <w:tcW w:w="613" w:type="dxa"/>
          </w:tcPr>
          <w:p w:rsidR="00E942AC" w:rsidRPr="00F47051" w:rsidRDefault="00433B8D" w:rsidP="00AE548E">
            <w:pPr>
              <w:spacing w:before="0"/>
              <w:jc w:val="left"/>
              <w:rPr>
                <w:b/>
                <w:sz w:val="20"/>
              </w:rPr>
            </w:pPr>
            <w:r>
              <w:rPr>
                <w:b/>
                <w:sz w:val="20"/>
              </w:rPr>
              <w:t>D.</w:t>
            </w:r>
          </w:p>
        </w:tc>
        <w:tc>
          <w:tcPr>
            <w:tcW w:w="7795" w:type="dxa"/>
          </w:tcPr>
          <w:p w:rsidR="00E942AC" w:rsidRPr="00F47051" w:rsidRDefault="00E942AC" w:rsidP="00476CB6">
            <w:pPr>
              <w:spacing w:before="100" w:beforeAutospacing="1" w:after="100" w:afterAutospacing="1"/>
              <w:jc w:val="left"/>
              <w:rPr>
                <w:b/>
                <w:sz w:val="20"/>
              </w:rPr>
            </w:pPr>
            <w:r w:rsidRPr="00F47051">
              <w:rPr>
                <w:b/>
                <w:sz w:val="20"/>
              </w:rPr>
              <w:t>Chancen- und Risikobericht</w:t>
            </w:r>
          </w:p>
        </w:tc>
      </w:tr>
      <w:tr w:rsidR="00476CB6" w:rsidTr="00465D75">
        <w:trPr>
          <w:trHeight w:val="341"/>
        </w:trPr>
        <w:tc>
          <w:tcPr>
            <w:tcW w:w="556" w:type="dxa"/>
            <w:vAlign w:val="center"/>
          </w:tcPr>
          <w:p w:rsidR="00476CB6" w:rsidRDefault="00476CB6" w:rsidP="00465D75">
            <w:pPr>
              <w:spacing w:before="0"/>
              <w:jc w:val="left"/>
              <w:rPr>
                <w:sz w:val="20"/>
              </w:rPr>
            </w:pPr>
          </w:p>
        </w:tc>
        <w:tc>
          <w:tcPr>
            <w:tcW w:w="613" w:type="dxa"/>
            <w:vAlign w:val="center"/>
          </w:tcPr>
          <w:p w:rsidR="00476CB6" w:rsidRDefault="00476CB6" w:rsidP="00465D75">
            <w:pPr>
              <w:spacing w:before="0"/>
              <w:jc w:val="left"/>
              <w:rPr>
                <w:sz w:val="20"/>
              </w:rPr>
            </w:pPr>
          </w:p>
        </w:tc>
        <w:tc>
          <w:tcPr>
            <w:tcW w:w="7795" w:type="dxa"/>
            <w:vAlign w:val="center"/>
          </w:tcPr>
          <w:p w:rsidR="00476CB6" w:rsidRPr="00F47051" w:rsidRDefault="00476CB6" w:rsidP="00465D75">
            <w:pPr>
              <w:pStyle w:val="Listenabsatz"/>
              <w:numPr>
                <w:ilvl w:val="0"/>
                <w:numId w:val="42"/>
              </w:numPr>
              <w:spacing w:before="0"/>
              <w:ind w:left="0" w:firstLine="0"/>
              <w:jc w:val="left"/>
              <w:rPr>
                <w:b/>
                <w:sz w:val="20"/>
              </w:rPr>
            </w:pPr>
            <w:r>
              <w:rPr>
                <w:b/>
                <w:sz w:val="20"/>
              </w:rPr>
              <w:t>Chancenbericht</w:t>
            </w:r>
          </w:p>
        </w:tc>
      </w:tr>
      <w:tr w:rsidR="00476CB6" w:rsidTr="00476CB6">
        <w:tc>
          <w:tcPr>
            <w:tcW w:w="556" w:type="dxa"/>
          </w:tcPr>
          <w:p w:rsidR="00476CB6" w:rsidRDefault="00476CB6" w:rsidP="00476CB6">
            <w:pPr>
              <w:spacing w:before="0"/>
              <w:jc w:val="left"/>
              <w:rPr>
                <w:sz w:val="20"/>
              </w:rPr>
            </w:pPr>
            <w:r>
              <w:rPr>
                <w:sz w:val="20"/>
              </w:rPr>
              <w:t>11</w:t>
            </w:r>
          </w:p>
        </w:tc>
        <w:tc>
          <w:tcPr>
            <w:tcW w:w="613" w:type="dxa"/>
          </w:tcPr>
          <w:p w:rsidR="00476CB6" w:rsidRDefault="00476CB6" w:rsidP="00476CB6">
            <w:pPr>
              <w:spacing w:before="0"/>
              <w:jc w:val="left"/>
              <w:rPr>
                <w:sz w:val="20"/>
              </w:rPr>
            </w:pPr>
          </w:p>
        </w:tc>
        <w:tc>
          <w:tcPr>
            <w:tcW w:w="7795" w:type="dxa"/>
          </w:tcPr>
          <w:p w:rsidR="00476CB6" w:rsidRPr="006E7FEB" w:rsidRDefault="00476CB6" w:rsidP="00476CB6">
            <w:pPr>
              <w:spacing w:before="100" w:beforeAutospacing="1" w:after="100" w:afterAutospacing="1"/>
              <w:jc w:val="left"/>
              <w:rPr>
                <w:sz w:val="20"/>
              </w:rPr>
            </w:pPr>
            <w:r w:rsidRPr="00F47051">
              <w:rPr>
                <w:b/>
                <w:sz w:val="20"/>
              </w:rPr>
              <w:t>Öffentliche Investitionsprogramme</w:t>
            </w:r>
            <w:r w:rsidRPr="00F47051">
              <w:rPr>
                <w:b/>
                <w:sz w:val="20"/>
              </w:rPr>
              <w:br/>
            </w:r>
            <w:r>
              <w:rPr>
                <w:sz w:val="20"/>
              </w:rPr>
              <w:t xml:space="preserve">Durch geplante Investitionen in die öffentliche Infrastruktur auf Landes- und Bundesebene, insbesondere in den Bereichen Straßenunterhaltung und -neubau, ergeben sich kontinuierliche Auftragschancen im Kerngeschäft Straßenbau und Erschließung. </w:t>
            </w:r>
          </w:p>
        </w:tc>
      </w:tr>
      <w:tr w:rsidR="00476CB6" w:rsidTr="00476CB6">
        <w:tc>
          <w:tcPr>
            <w:tcW w:w="556" w:type="dxa"/>
          </w:tcPr>
          <w:p w:rsidR="00476CB6" w:rsidRDefault="00476CB6" w:rsidP="00476CB6">
            <w:pPr>
              <w:spacing w:before="0"/>
              <w:jc w:val="left"/>
              <w:rPr>
                <w:sz w:val="20"/>
              </w:rPr>
            </w:pPr>
            <w:r>
              <w:rPr>
                <w:sz w:val="20"/>
              </w:rPr>
              <w:t>12</w:t>
            </w:r>
          </w:p>
        </w:tc>
        <w:tc>
          <w:tcPr>
            <w:tcW w:w="613" w:type="dxa"/>
          </w:tcPr>
          <w:p w:rsidR="00476CB6" w:rsidRDefault="00476CB6" w:rsidP="00476CB6">
            <w:pPr>
              <w:spacing w:before="0"/>
              <w:jc w:val="left"/>
              <w:rPr>
                <w:sz w:val="20"/>
              </w:rPr>
            </w:pPr>
          </w:p>
        </w:tc>
        <w:tc>
          <w:tcPr>
            <w:tcW w:w="7795" w:type="dxa"/>
          </w:tcPr>
          <w:p w:rsidR="00476CB6" w:rsidRPr="006E7FEB" w:rsidRDefault="00476CB6" w:rsidP="00476CB6">
            <w:pPr>
              <w:spacing w:before="100" w:beforeAutospacing="1" w:after="100" w:afterAutospacing="1"/>
              <w:jc w:val="left"/>
              <w:rPr>
                <w:sz w:val="20"/>
              </w:rPr>
            </w:pPr>
            <w:r w:rsidRPr="00F47051">
              <w:rPr>
                <w:b/>
                <w:sz w:val="20"/>
              </w:rPr>
              <w:t>Spezialisierung auf Nachhaltigkeit</w:t>
            </w:r>
            <w:r>
              <w:rPr>
                <w:sz w:val="20"/>
              </w:rPr>
              <w:br/>
              <w:t xml:space="preserve">Mit der Herstellung von Flüssigboden sowie Recyclingmaterialien leisten wir einen Beitrag zur Ressourcenschonung und Kreislaufwirtschaft. Dieser Bereich wird durch die zunehmende Bedeutung nachhaltiger Baustoffe in Zukunft weiter an Bedeutung gewinnen und bietet Differenzierungspotenzial. </w:t>
            </w:r>
          </w:p>
        </w:tc>
      </w:tr>
      <w:tr w:rsidR="00476CB6" w:rsidTr="00476CB6">
        <w:tc>
          <w:tcPr>
            <w:tcW w:w="556" w:type="dxa"/>
          </w:tcPr>
          <w:p w:rsidR="00476CB6" w:rsidRDefault="00476CB6" w:rsidP="00476CB6">
            <w:pPr>
              <w:spacing w:before="0"/>
              <w:jc w:val="left"/>
              <w:rPr>
                <w:sz w:val="20"/>
              </w:rPr>
            </w:pPr>
            <w:r>
              <w:rPr>
                <w:sz w:val="20"/>
              </w:rPr>
              <w:t>13</w:t>
            </w:r>
          </w:p>
        </w:tc>
        <w:tc>
          <w:tcPr>
            <w:tcW w:w="613" w:type="dxa"/>
          </w:tcPr>
          <w:p w:rsidR="00476CB6" w:rsidRDefault="00476CB6" w:rsidP="00476CB6">
            <w:pPr>
              <w:spacing w:before="0"/>
              <w:jc w:val="left"/>
              <w:rPr>
                <w:sz w:val="20"/>
              </w:rPr>
            </w:pPr>
          </w:p>
        </w:tc>
        <w:tc>
          <w:tcPr>
            <w:tcW w:w="7795" w:type="dxa"/>
          </w:tcPr>
          <w:p w:rsidR="00476CB6" w:rsidRPr="006E7FEB" w:rsidRDefault="00476CB6" w:rsidP="00476CB6">
            <w:pPr>
              <w:spacing w:before="100" w:beforeAutospacing="1" w:after="100" w:afterAutospacing="1"/>
              <w:jc w:val="left"/>
              <w:rPr>
                <w:sz w:val="20"/>
              </w:rPr>
            </w:pPr>
            <w:r w:rsidRPr="00F47051">
              <w:rPr>
                <w:b/>
                <w:sz w:val="20"/>
              </w:rPr>
              <w:t>Wachstumspotenziale in der Betonfertigteilproduktion</w:t>
            </w:r>
            <w:r w:rsidRPr="00F47051">
              <w:rPr>
                <w:b/>
                <w:sz w:val="20"/>
              </w:rPr>
              <w:br/>
            </w:r>
            <w:r>
              <w:rPr>
                <w:sz w:val="20"/>
              </w:rPr>
              <w:t>Die Betonfertigteilproduktion bietet durch industrielle Vorfertigung und verkürzte Bauzeiten strategische Vorteile, insbesondere bei der Erschließung von Baugebieten und im Wohnungsbau. Der Trend zur Vorfertigung kann mittelfristig weiteres Wachstum ermöglichen.</w:t>
            </w:r>
            <w:r>
              <w:rPr>
                <w:sz w:val="20"/>
              </w:rPr>
              <w:br/>
            </w:r>
          </w:p>
        </w:tc>
      </w:tr>
      <w:tr w:rsidR="00476CB6" w:rsidTr="00476CB6">
        <w:tc>
          <w:tcPr>
            <w:tcW w:w="556" w:type="dxa"/>
          </w:tcPr>
          <w:p w:rsidR="00476CB6" w:rsidRDefault="00476CB6" w:rsidP="00476CB6">
            <w:pPr>
              <w:spacing w:before="0"/>
              <w:jc w:val="left"/>
              <w:rPr>
                <w:sz w:val="20"/>
              </w:rPr>
            </w:pPr>
            <w:r>
              <w:rPr>
                <w:sz w:val="20"/>
              </w:rPr>
              <w:t>14</w:t>
            </w:r>
          </w:p>
        </w:tc>
        <w:tc>
          <w:tcPr>
            <w:tcW w:w="613" w:type="dxa"/>
          </w:tcPr>
          <w:p w:rsidR="00476CB6" w:rsidRDefault="00476CB6" w:rsidP="00476CB6">
            <w:pPr>
              <w:spacing w:before="0"/>
              <w:jc w:val="left"/>
              <w:rPr>
                <w:sz w:val="20"/>
              </w:rPr>
            </w:pPr>
          </w:p>
        </w:tc>
        <w:tc>
          <w:tcPr>
            <w:tcW w:w="7795" w:type="dxa"/>
          </w:tcPr>
          <w:p w:rsidR="00476CB6" w:rsidRPr="006E7FEB" w:rsidRDefault="00476CB6" w:rsidP="00476CB6">
            <w:pPr>
              <w:spacing w:before="100" w:beforeAutospacing="1" w:after="100" w:afterAutospacing="1"/>
              <w:jc w:val="left"/>
              <w:rPr>
                <w:sz w:val="20"/>
              </w:rPr>
            </w:pPr>
            <w:r w:rsidRPr="00F47051">
              <w:rPr>
                <w:b/>
                <w:sz w:val="20"/>
              </w:rPr>
              <w:t>Technologische Chancen</w:t>
            </w:r>
            <w:r w:rsidRPr="00F47051">
              <w:rPr>
                <w:b/>
                <w:sz w:val="20"/>
              </w:rPr>
              <w:br/>
            </w:r>
            <w:r>
              <w:rPr>
                <w:sz w:val="20"/>
              </w:rPr>
              <w:t>Digitalisierung, etwa durch den Einsatz von BIM (Building Information Modeling), GPS-gesteuerten Baumaschinen oder digitalem Baustellenmanagement, kann Effizienzgewinne und eine präzisere Projektabwicklung ermöglichen.</w:t>
            </w:r>
          </w:p>
        </w:tc>
      </w:tr>
      <w:tr w:rsidR="00476CB6" w:rsidTr="00476CB6">
        <w:trPr>
          <w:trHeight w:val="227"/>
        </w:trPr>
        <w:tc>
          <w:tcPr>
            <w:tcW w:w="556" w:type="dxa"/>
          </w:tcPr>
          <w:p w:rsidR="00476CB6" w:rsidRDefault="00476CB6" w:rsidP="00465D75">
            <w:pPr>
              <w:spacing w:before="0"/>
              <w:jc w:val="left"/>
              <w:rPr>
                <w:sz w:val="20"/>
              </w:rPr>
            </w:pPr>
            <w:r>
              <w:rPr>
                <w:sz w:val="20"/>
              </w:rPr>
              <w:t>15</w:t>
            </w:r>
          </w:p>
        </w:tc>
        <w:tc>
          <w:tcPr>
            <w:tcW w:w="613" w:type="dxa"/>
          </w:tcPr>
          <w:p w:rsidR="00476CB6" w:rsidRDefault="00476CB6" w:rsidP="00465D75">
            <w:pPr>
              <w:spacing w:before="0"/>
              <w:jc w:val="left"/>
              <w:rPr>
                <w:sz w:val="20"/>
              </w:rPr>
            </w:pPr>
          </w:p>
        </w:tc>
        <w:tc>
          <w:tcPr>
            <w:tcW w:w="7795" w:type="dxa"/>
            <w:vAlign w:val="center"/>
          </w:tcPr>
          <w:p w:rsidR="00476CB6" w:rsidRPr="00726D24" w:rsidRDefault="00476CB6" w:rsidP="00465D75">
            <w:pPr>
              <w:pStyle w:val="Listenabsatz"/>
              <w:numPr>
                <w:ilvl w:val="0"/>
                <w:numId w:val="42"/>
              </w:numPr>
              <w:spacing w:before="0"/>
              <w:ind w:left="357" w:hanging="357"/>
              <w:jc w:val="left"/>
              <w:rPr>
                <w:b/>
                <w:sz w:val="20"/>
              </w:rPr>
            </w:pPr>
            <w:r>
              <w:rPr>
                <w:b/>
                <w:sz w:val="20"/>
              </w:rPr>
              <w:t>Risikobericht</w:t>
            </w:r>
          </w:p>
        </w:tc>
      </w:tr>
      <w:tr w:rsidR="00476CB6" w:rsidTr="00476CB6">
        <w:tc>
          <w:tcPr>
            <w:tcW w:w="556" w:type="dxa"/>
          </w:tcPr>
          <w:p w:rsidR="00476CB6" w:rsidRDefault="00476CB6" w:rsidP="00476CB6">
            <w:pPr>
              <w:spacing w:before="0"/>
              <w:jc w:val="left"/>
              <w:rPr>
                <w:sz w:val="20"/>
              </w:rPr>
            </w:pPr>
          </w:p>
        </w:tc>
        <w:tc>
          <w:tcPr>
            <w:tcW w:w="613" w:type="dxa"/>
          </w:tcPr>
          <w:p w:rsidR="00476CB6" w:rsidRDefault="00476CB6" w:rsidP="00476CB6">
            <w:pPr>
              <w:spacing w:before="0"/>
              <w:jc w:val="left"/>
              <w:rPr>
                <w:sz w:val="20"/>
              </w:rPr>
            </w:pPr>
          </w:p>
        </w:tc>
        <w:tc>
          <w:tcPr>
            <w:tcW w:w="7795" w:type="dxa"/>
          </w:tcPr>
          <w:p w:rsidR="00476CB6" w:rsidRPr="006E7FEB" w:rsidRDefault="00476CB6" w:rsidP="00476CB6">
            <w:pPr>
              <w:spacing w:before="0"/>
              <w:rPr>
                <w:b/>
                <w:sz w:val="20"/>
              </w:rPr>
            </w:pPr>
            <w:r w:rsidRPr="00C452A1">
              <w:rPr>
                <w:sz w:val="20"/>
              </w:rPr>
              <w:t xml:space="preserve">Das Risikomanagement richtet sich vor </w:t>
            </w:r>
            <w:r>
              <w:rPr>
                <w:sz w:val="20"/>
              </w:rPr>
              <w:t>a</w:t>
            </w:r>
            <w:r w:rsidRPr="00C452A1">
              <w:rPr>
                <w:sz w:val="20"/>
              </w:rPr>
              <w:t>llem auf die Minimierung von Baustellen- und Kapazitätsrisiken. Preisanstiege auf dem Beschaffungsmarkt können nur verzögert an die Auftraggeber weitergegeben werden. Die Baustellen werden fortlaufend von den Bauleitern überwacht und der Geschäftsführung berichtet. Die Gesellschaft verfügt darüber hinaus über ein branchenübliches Controlling-Instrumentarium.</w:t>
            </w:r>
          </w:p>
        </w:tc>
      </w:tr>
      <w:tr w:rsidR="00476CB6" w:rsidTr="00476CB6">
        <w:tc>
          <w:tcPr>
            <w:tcW w:w="556" w:type="dxa"/>
          </w:tcPr>
          <w:p w:rsidR="00476CB6" w:rsidRDefault="00476CB6" w:rsidP="00476CB6">
            <w:pPr>
              <w:spacing w:before="0"/>
              <w:jc w:val="left"/>
              <w:rPr>
                <w:sz w:val="20"/>
              </w:rPr>
            </w:pPr>
            <w:r>
              <w:rPr>
                <w:sz w:val="20"/>
              </w:rPr>
              <w:t>16</w:t>
            </w:r>
          </w:p>
        </w:tc>
        <w:tc>
          <w:tcPr>
            <w:tcW w:w="613" w:type="dxa"/>
          </w:tcPr>
          <w:p w:rsidR="00476CB6" w:rsidRDefault="00476CB6" w:rsidP="00476CB6">
            <w:pPr>
              <w:spacing w:before="0"/>
              <w:jc w:val="left"/>
              <w:rPr>
                <w:sz w:val="20"/>
              </w:rPr>
            </w:pPr>
          </w:p>
        </w:tc>
        <w:tc>
          <w:tcPr>
            <w:tcW w:w="7795" w:type="dxa"/>
          </w:tcPr>
          <w:p w:rsidR="00476CB6" w:rsidRPr="006E7FEB" w:rsidRDefault="00476CB6" w:rsidP="00476CB6">
            <w:pPr>
              <w:spacing w:before="100" w:beforeAutospacing="1" w:after="100" w:afterAutospacing="1"/>
              <w:jc w:val="left"/>
              <w:rPr>
                <w:sz w:val="20"/>
              </w:rPr>
            </w:pPr>
            <w:r w:rsidRPr="00F47051">
              <w:rPr>
                <w:b/>
                <w:sz w:val="20"/>
              </w:rPr>
              <w:t>Marktrisiken</w:t>
            </w:r>
            <w:r w:rsidRPr="00F47051">
              <w:rPr>
                <w:b/>
                <w:sz w:val="20"/>
              </w:rPr>
              <w:br/>
            </w:r>
            <w:r>
              <w:rPr>
                <w:sz w:val="20"/>
              </w:rPr>
              <w:t>Die allgemeine wirtschaftliche Entwicklung in Deutschland sowie die Investitionsbereitschaft öffentlicher und privater Auftraggeber haben wesentlichen Einfluss auf unsere Geschäftstätigkeit. Eine mögliche konjunkturelle Eintrübung oder restriktivere Haushaltsführung öffentlicher Auftraggeber kann zu einer rückläufigen Auftragslage insbesondere im Straßenbau führen.</w:t>
            </w:r>
          </w:p>
        </w:tc>
      </w:tr>
      <w:tr w:rsidR="00476CB6" w:rsidTr="00476CB6">
        <w:tc>
          <w:tcPr>
            <w:tcW w:w="556" w:type="dxa"/>
          </w:tcPr>
          <w:p w:rsidR="00476CB6" w:rsidRDefault="00476CB6" w:rsidP="00476CB6">
            <w:pPr>
              <w:spacing w:before="0"/>
              <w:jc w:val="left"/>
              <w:rPr>
                <w:sz w:val="20"/>
              </w:rPr>
            </w:pPr>
            <w:r>
              <w:rPr>
                <w:sz w:val="20"/>
              </w:rPr>
              <w:t>17</w:t>
            </w:r>
          </w:p>
        </w:tc>
        <w:tc>
          <w:tcPr>
            <w:tcW w:w="613" w:type="dxa"/>
          </w:tcPr>
          <w:p w:rsidR="00476CB6" w:rsidRDefault="00476CB6" w:rsidP="00476CB6">
            <w:pPr>
              <w:spacing w:before="0"/>
              <w:jc w:val="left"/>
              <w:rPr>
                <w:sz w:val="20"/>
              </w:rPr>
            </w:pPr>
          </w:p>
        </w:tc>
        <w:tc>
          <w:tcPr>
            <w:tcW w:w="7795" w:type="dxa"/>
          </w:tcPr>
          <w:p w:rsidR="00476CB6" w:rsidRPr="006E7FEB" w:rsidRDefault="00476CB6" w:rsidP="00476CB6">
            <w:pPr>
              <w:spacing w:before="100" w:beforeAutospacing="1" w:after="100" w:afterAutospacing="1"/>
              <w:jc w:val="left"/>
              <w:rPr>
                <w:b/>
                <w:sz w:val="20"/>
              </w:rPr>
            </w:pPr>
            <w:r>
              <w:rPr>
                <w:b/>
                <w:sz w:val="20"/>
              </w:rPr>
              <w:t>Preis- und Beschaffungsrisiken</w:t>
            </w:r>
            <w:r>
              <w:rPr>
                <w:b/>
                <w:sz w:val="20"/>
              </w:rPr>
              <w:br/>
            </w:r>
            <w:r w:rsidRPr="00F47051">
              <w:rPr>
                <w:sz w:val="20"/>
              </w:rPr>
              <w:t>Die anhaltende Volatilität der Rohstoffpreise, insbesondere bei Bitumen, Baustahl und Zement, stellt ein erhebliches Risiko für die Kalkulationssicherheit dar. Zusätzlich bestehen Risiken in der Lieferkettenstabilität, etwa bei der Verfügbarkeit von Baugeräten, Vorprodukten und Baustoffen. Lieferverzögerungen können zu Bauverzögerungen und Vertragsstrafen führen.</w:t>
            </w:r>
          </w:p>
        </w:tc>
      </w:tr>
      <w:tr w:rsidR="00476CB6" w:rsidTr="00476CB6">
        <w:tc>
          <w:tcPr>
            <w:tcW w:w="556" w:type="dxa"/>
          </w:tcPr>
          <w:p w:rsidR="00476CB6" w:rsidRDefault="00476CB6" w:rsidP="00476CB6">
            <w:pPr>
              <w:spacing w:before="0"/>
              <w:jc w:val="left"/>
              <w:rPr>
                <w:sz w:val="20"/>
              </w:rPr>
            </w:pPr>
            <w:r>
              <w:rPr>
                <w:sz w:val="20"/>
              </w:rPr>
              <w:t>18</w:t>
            </w:r>
          </w:p>
        </w:tc>
        <w:tc>
          <w:tcPr>
            <w:tcW w:w="613" w:type="dxa"/>
          </w:tcPr>
          <w:p w:rsidR="00476CB6" w:rsidRDefault="00476CB6" w:rsidP="00476CB6">
            <w:pPr>
              <w:spacing w:before="0"/>
              <w:jc w:val="left"/>
              <w:rPr>
                <w:sz w:val="20"/>
              </w:rPr>
            </w:pPr>
          </w:p>
        </w:tc>
        <w:tc>
          <w:tcPr>
            <w:tcW w:w="7795" w:type="dxa"/>
          </w:tcPr>
          <w:p w:rsidR="00476CB6" w:rsidRPr="00F47051" w:rsidRDefault="00476CB6" w:rsidP="00476CB6">
            <w:pPr>
              <w:spacing w:before="100" w:beforeAutospacing="1" w:after="100" w:afterAutospacing="1"/>
              <w:jc w:val="left"/>
              <w:rPr>
                <w:sz w:val="20"/>
              </w:rPr>
            </w:pPr>
            <w:r>
              <w:rPr>
                <w:b/>
                <w:sz w:val="20"/>
              </w:rPr>
              <w:t>Personalrisiken</w:t>
            </w:r>
            <w:r>
              <w:rPr>
                <w:b/>
                <w:sz w:val="20"/>
              </w:rPr>
              <w:br/>
            </w:r>
            <w:r w:rsidRPr="00F47051">
              <w:rPr>
                <w:sz w:val="20"/>
              </w:rPr>
              <w:t>Wie in der gesamten Baubranche stellt der Fachkräftemangel ein zunehmendes Risiko dar. Schwierigkeiten bei der Rekrutierung und Bindung qualifizierten Personals können die Kapazität zur Auftragserfüllung begrenzen und die Lohnkosten erhöhen.</w:t>
            </w:r>
          </w:p>
        </w:tc>
      </w:tr>
      <w:tr w:rsidR="00476CB6" w:rsidTr="00476CB6">
        <w:tc>
          <w:tcPr>
            <w:tcW w:w="556" w:type="dxa"/>
          </w:tcPr>
          <w:p w:rsidR="00476CB6" w:rsidRDefault="00476CB6" w:rsidP="00476CB6">
            <w:pPr>
              <w:spacing w:before="0"/>
              <w:jc w:val="left"/>
              <w:rPr>
                <w:sz w:val="20"/>
              </w:rPr>
            </w:pPr>
            <w:r>
              <w:rPr>
                <w:sz w:val="20"/>
              </w:rPr>
              <w:t>19</w:t>
            </w:r>
          </w:p>
        </w:tc>
        <w:tc>
          <w:tcPr>
            <w:tcW w:w="613" w:type="dxa"/>
          </w:tcPr>
          <w:p w:rsidR="00476CB6" w:rsidRDefault="00476CB6" w:rsidP="00476CB6">
            <w:pPr>
              <w:spacing w:before="0"/>
              <w:jc w:val="left"/>
              <w:rPr>
                <w:sz w:val="20"/>
              </w:rPr>
            </w:pPr>
          </w:p>
        </w:tc>
        <w:tc>
          <w:tcPr>
            <w:tcW w:w="7795" w:type="dxa"/>
          </w:tcPr>
          <w:p w:rsidR="00476CB6" w:rsidRPr="00F47051" w:rsidRDefault="00476CB6" w:rsidP="00465D75">
            <w:pPr>
              <w:spacing w:before="100" w:beforeAutospacing="1" w:after="100" w:afterAutospacing="1"/>
              <w:jc w:val="left"/>
              <w:rPr>
                <w:sz w:val="20"/>
              </w:rPr>
            </w:pPr>
            <w:r w:rsidRPr="006E7FEB">
              <w:rPr>
                <w:b/>
                <w:sz w:val="20"/>
              </w:rPr>
              <w:t>Rechtliche und regulatorische Risiken</w:t>
            </w:r>
            <w:r w:rsidRPr="00F47051">
              <w:rPr>
                <w:sz w:val="20"/>
              </w:rPr>
              <w:br/>
              <w:t xml:space="preserve">Änderungen im Bau- und Umweltrecht, insbesondere strengere </w:t>
            </w:r>
            <w:r w:rsidRPr="00F47051">
              <w:rPr>
                <w:sz w:val="20"/>
              </w:rPr>
              <w:lastRenderedPageBreak/>
              <w:t>Anforderungen an Recyclingquoten, Emissionen oder die Entsorgung von Baureststoffen, können die Betriebsabläufe beeinflussen und Investitionen erforderlich machen. Auch die Einhaltung arbeitsschutzrechtlicher Vorschriften birgt bei Nichterfüllung potenzielle Haftungsrisiken.</w:t>
            </w:r>
          </w:p>
        </w:tc>
      </w:tr>
      <w:tr w:rsidR="00476CB6" w:rsidTr="00476CB6">
        <w:tc>
          <w:tcPr>
            <w:tcW w:w="556" w:type="dxa"/>
          </w:tcPr>
          <w:p w:rsidR="00476CB6" w:rsidRDefault="00476CB6" w:rsidP="00465D75">
            <w:pPr>
              <w:spacing w:before="0"/>
              <w:jc w:val="left"/>
              <w:rPr>
                <w:sz w:val="20"/>
              </w:rPr>
            </w:pPr>
            <w:r>
              <w:rPr>
                <w:sz w:val="20"/>
              </w:rPr>
              <w:lastRenderedPageBreak/>
              <w:t>20</w:t>
            </w:r>
          </w:p>
        </w:tc>
        <w:tc>
          <w:tcPr>
            <w:tcW w:w="613" w:type="dxa"/>
          </w:tcPr>
          <w:p w:rsidR="00476CB6" w:rsidRDefault="00476CB6" w:rsidP="00465D75">
            <w:pPr>
              <w:spacing w:before="0"/>
              <w:jc w:val="left"/>
              <w:rPr>
                <w:sz w:val="20"/>
              </w:rPr>
            </w:pPr>
          </w:p>
        </w:tc>
        <w:tc>
          <w:tcPr>
            <w:tcW w:w="7795" w:type="dxa"/>
          </w:tcPr>
          <w:p w:rsidR="00476CB6" w:rsidRPr="00F47051" w:rsidRDefault="00476CB6" w:rsidP="00465D75">
            <w:pPr>
              <w:pStyle w:val="Listenabsatz"/>
              <w:numPr>
                <w:ilvl w:val="0"/>
                <w:numId w:val="42"/>
              </w:numPr>
              <w:spacing w:before="0"/>
              <w:ind w:left="357" w:hanging="357"/>
              <w:jc w:val="left"/>
              <w:rPr>
                <w:b/>
                <w:sz w:val="20"/>
              </w:rPr>
            </w:pPr>
            <w:r w:rsidRPr="00F47051">
              <w:rPr>
                <w:b/>
                <w:sz w:val="20"/>
              </w:rPr>
              <w:t>Gesamtaussage</w:t>
            </w:r>
          </w:p>
        </w:tc>
      </w:tr>
      <w:tr w:rsidR="00476CB6" w:rsidTr="00476CB6">
        <w:tc>
          <w:tcPr>
            <w:tcW w:w="556" w:type="dxa"/>
          </w:tcPr>
          <w:p w:rsidR="00476CB6" w:rsidRDefault="00476CB6" w:rsidP="00476CB6">
            <w:pPr>
              <w:spacing w:before="0"/>
              <w:jc w:val="left"/>
              <w:rPr>
                <w:sz w:val="20"/>
              </w:rPr>
            </w:pPr>
          </w:p>
        </w:tc>
        <w:tc>
          <w:tcPr>
            <w:tcW w:w="613" w:type="dxa"/>
          </w:tcPr>
          <w:p w:rsidR="00476CB6" w:rsidRDefault="00476CB6" w:rsidP="00476CB6">
            <w:pPr>
              <w:spacing w:before="0"/>
              <w:jc w:val="left"/>
              <w:rPr>
                <w:sz w:val="20"/>
              </w:rPr>
            </w:pPr>
          </w:p>
        </w:tc>
        <w:tc>
          <w:tcPr>
            <w:tcW w:w="7795" w:type="dxa"/>
          </w:tcPr>
          <w:p w:rsidR="00476CB6" w:rsidRPr="00726D24" w:rsidRDefault="00476CB6" w:rsidP="00476CB6">
            <w:pPr>
              <w:spacing w:before="0"/>
              <w:rPr>
                <w:b/>
                <w:sz w:val="20"/>
              </w:rPr>
            </w:pPr>
            <w:r w:rsidRPr="00C452A1">
              <w:rPr>
                <w:sz w:val="20"/>
              </w:rPr>
              <w:t xml:space="preserve">Das Risikomanagement richtet sich vor </w:t>
            </w:r>
            <w:r>
              <w:rPr>
                <w:sz w:val="20"/>
              </w:rPr>
              <w:t>a</w:t>
            </w:r>
            <w:r w:rsidRPr="00C452A1">
              <w:rPr>
                <w:sz w:val="20"/>
              </w:rPr>
              <w:t>llem auf die Minimierung von Baustellen- und Kapazitätsrisiken. Preisanstiege auf dem Beschaffungsmarkt können nur verzögert an die Auftraggeber weitergegeben werden. Die Baustellen werden fortlaufend von den Bauleitern überwacht und der Geschäftsführung berichtet. Die Gesellschaft verfügt darüber hinaus über ein branchenübliches Controlling-Instrumentarium.</w:t>
            </w:r>
          </w:p>
        </w:tc>
      </w:tr>
      <w:tr w:rsidR="00476CB6" w:rsidTr="00476CB6">
        <w:tc>
          <w:tcPr>
            <w:tcW w:w="556" w:type="dxa"/>
          </w:tcPr>
          <w:p w:rsidR="00476CB6" w:rsidRDefault="00476CB6" w:rsidP="00476CB6">
            <w:pPr>
              <w:spacing w:before="0"/>
              <w:jc w:val="left"/>
              <w:rPr>
                <w:sz w:val="20"/>
              </w:rPr>
            </w:pPr>
          </w:p>
        </w:tc>
        <w:tc>
          <w:tcPr>
            <w:tcW w:w="613" w:type="dxa"/>
          </w:tcPr>
          <w:p w:rsidR="00476CB6" w:rsidRDefault="00476CB6" w:rsidP="00476CB6">
            <w:pPr>
              <w:spacing w:before="0"/>
              <w:jc w:val="left"/>
              <w:rPr>
                <w:sz w:val="20"/>
              </w:rPr>
            </w:pPr>
          </w:p>
        </w:tc>
        <w:tc>
          <w:tcPr>
            <w:tcW w:w="7795" w:type="dxa"/>
          </w:tcPr>
          <w:p w:rsidR="00476CB6" w:rsidRDefault="00476CB6" w:rsidP="00476CB6">
            <w:pPr>
              <w:spacing w:before="100" w:beforeAutospacing="1" w:after="100" w:afterAutospacing="1"/>
              <w:jc w:val="left"/>
              <w:rPr>
                <w:sz w:val="20"/>
              </w:rPr>
            </w:pPr>
            <w:r>
              <w:rPr>
                <w:sz w:val="20"/>
              </w:rPr>
              <w:t xml:space="preserve">Die größten Risiken für die künftige Entwicklung sehen wir aktuell vor allem im Fachkräftemangel und der Zunahme der weltpolitischen Krisenherde. Auch die immer häufigeren Umweltkatastrophen aufgrund des Klimawandels stellen ein steigendes Risiko dar, da die Folgen weitreichend sein können. Vor dem Hintergrund unterer finanziellen Stabilität sehen wir uns für die Bewältigung der künftigen Risiken aktuell aber gut gerüstet. </w:t>
            </w:r>
          </w:p>
          <w:p w:rsidR="00476CB6" w:rsidRPr="00F47051" w:rsidRDefault="00476CB6" w:rsidP="00476CB6">
            <w:pPr>
              <w:spacing w:before="100" w:beforeAutospacing="1" w:after="100" w:afterAutospacing="1"/>
              <w:jc w:val="left"/>
              <w:rPr>
                <w:sz w:val="20"/>
              </w:rPr>
            </w:pPr>
            <w:r>
              <w:rPr>
                <w:sz w:val="20"/>
              </w:rPr>
              <w:t xml:space="preserve">Bestandsgefährdende Risiken im laufenden Jahr oder in absehbarer Zeit sind derzeit nicht zu erwarten, können aber, je nach Entwicklung der aktuellen Lage, nicht gänzlich ausgeschlossen werden. </w:t>
            </w:r>
          </w:p>
        </w:tc>
      </w:tr>
      <w:tr w:rsidR="00476CB6" w:rsidTr="00476CB6">
        <w:tc>
          <w:tcPr>
            <w:tcW w:w="556" w:type="dxa"/>
          </w:tcPr>
          <w:p w:rsidR="00476CB6" w:rsidRDefault="00476CB6" w:rsidP="00476CB6">
            <w:pPr>
              <w:spacing w:before="0"/>
              <w:jc w:val="left"/>
              <w:rPr>
                <w:sz w:val="20"/>
              </w:rPr>
            </w:pPr>
            <w:r>
              <w:rPr>
                <w:sz w:val="20"/>
              </w:rPr>
              <w:t>21</w:t>
            </w:r>
          </w:p>
        </w:tc>
        <w:tc>
          <w:tcPr>
            <w:tcW w:w="613" w:type="dxa"/>
          </w:tcPr>
          <w:p w:rsidR="00476CB6" w:rsidRPr="00F47051" w:rsidRDefault="00476CB6" w:rsidP="00476CB6">
            <w:pPr>
              <w:spacing w:before="0"/>
              <w:jc w:val="left"/>
              <w:rPr>
                <w:b/>
                <w:sz w:val="20"/>
              </w:rPr>
            </w:pPr>
            <w:r w:rsidRPr="00F47051">
              <w:rPr>
                <w:b/>
                <w:sz w:val="20"/>
              </w:rPr>
              <w:t>E.</w:t>
            </w:r>
          </w:p>
        </w:tc>
        <w:tc>
          <w:tcPr>
            <w:tcW w:w="7795" w:type="dxa"/>
          </w:tcPr>
          <w:p w:rsidR="00476CB6" w:rsidRPr="006E7FEB" w:rsidRDefault="00476CB6" w:rsidP="00476CB6">
            <w:pPr>
              <w:spacing w:before="100" w:beforeAutospacing="1" w:after="100" w:afterAutospacing="1"/>
              <w:jc w:val="left"/>
              <w:rPr>
                <w:b/>
                <w:sz w:val="20"/>
              </w:rPr>
            </w:pPr>
            <w:r>
              <w:rPr>
                <w:b/>
                <w:sz w:val="20"/>
              </w:rPr>
              <w:t>Bericht über Zweigniederlassungen</w:t>
            </w:r>
          </w:p>
        </w:tc>
      </w:tr>
      <w:tr w:rsidR="00476CB6" w:rsidTr="00476CB6">
        <w:tc>
          <w:tcPr>
            <w:tcW w:w="556" w:type="dxa"/>
          </w:tcPr>
          <w:p w:rsidR="00476CB6" w:rsidRDefault="00476CB6" w:rsidP="00476CB6">
            <w:pPr>
              <w:spacing w:before="0"/>
              <w:jc w:val="left"/>
              <w:rPr>
                <w:sz w:val="20"/>
              </w:rPr>
            </w:pPr>
          </w:p>
        </w:tc>
        <w:tc>
          <w:tcPr>
            <w:tcW w:w="613" w:type="dxa"/>
          </w:tcPr>
          <w:p w:rsidR="00476CB6" w:rsidRDefault="00476CB6" w:rsidP="00476CB6">
            <w:pPr>
              <w:spacing w:before="0"/>
              <w:jc w:val="left"/>
              <w:rPr>
                <w:sz w:val="20"/>
              </w:rPr>
            </w:pPr>
          </w:p>
        </w:tc>
        <w:tc>
          <w:tcPr>
            <w:tcW w:w="7795" w:type="dxa"/>
          </w:tcPr>
          <w:p w:rsidR="00476CB6" w:rsidRPr="006E7FEB" w:rsidRDefault="00476CB6" w:rsidP="00476CB6">
            <w:pPr>
              <w:spacing w:before="100" w:beforeAutospacing="1" w:after="100" w:afterAutospacing="1"/>
              <w:jc w:val="left"/>
              <w:rPr>
                <w:sz w:val="20"/>
              </w:rPr>
            </w:pPr>
            <w:r>
              <w:rPr>
                <w:sz w:val="20"/>
              </w:rPr>
              <w:t xml:space="preserve">Zweigniederlassungen werden von der Gesellschaft nicht unterhalten. </w:t>
            </w:r>
          </w:p>
        </w:tc>
      </w:tr>
    </w:tbl>
    <w:p w:rsidR="00C452A1" w:rsidRDefault="00C452A1" w:rsidP="00AE548E">
      <w:pPr>
        <w:spacing w:before="0"/>
        <w:rPr>
          <w:b/>
          <w:sz w:val="20"/>
        </w:rPr>
      </w:pPr>
    </w:p>
    <w:p w:rsidR="00AE548E" w:rsidRPr="00C452A1" w:rsidRDefault="00C452A1" w:rsidP="00AE548E">
      <w:pPr>
        <w:spacing w:before="0"/>
        <w:rPr>
          <w:b/>
          <w:sz w:val="20"/>
        </w:rPr>
      </w:pPr>
      <w:r w:rsidRPr="00C452A1">
        <w:rPr>
          <w:b/>
          <w:sz w:val="20"/>
        </w:rPr>
        <w:t>Musterstadt, den 25.05.</w:t>
      </w:r>
      <w:r w:rsidR="00433B8D">
        <w:rPr>
          <w:b/>
          <w:sz w:val="20"/>
        </w:rPr>
        <w:t>03</w:t>
      </w:r>
    </w:p>
    <w:p w:rsidR="00C452A1" w:rsidRPr="00C452A1" w:rsidRDefault="00C452A1" w:rsidP="00C452A1">
      <w:pPr>
        <w:spacing w:before="0"/>
        <w:jc w:val="center"/>
        <w:rPr>
          <w:b/>
          <w:i/>
          <w:sz w:val="20"/>
        </w:rPr>
      </w:pPr>
      <w:r w:rsidRPr="00C452A1">
        <w:rPr>
          <w:b/>
          <w:i/>
          <w:sz w:val="20"/>
        </w:rPr>
        <w:t>Die Geschäftsführung</w:t>
      </w:r>
    </w:p>
    <w:sectPr w:rsidR="00C452A1" w:rsidRPr="00C452A1" w:rsidSect="00771B5D">
      <w:headerReference w:type="default" r:id="rId9"/>
      <w:footerReference w:type="default" r:id="rId10"/>
      <w:headerReference w:type="first" r:id="rId11"/>
      <w:footerReference w:type="first" r:id="rId12"/>
      <w:pgSz w:w="11907" w:h="16839" w:code="9"/>
      <w:pgMar w:top="1099" w:right="1701" w:bottom="1134" w:left="1134"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E8F" w:rsidRDefault="00115E8F">
      <w:pPr>
        <w:spacing w:before="0"/>
      </w:pPr>
      <w:r>
        <w:separator/>
      </w:r>
    </w:p>
  </w:endnote>
  <w:endnote w:type="continuationSeparator" w:id="0">
    <w:p w:rsidR="00115E8F" w:rsidRDefault="00115E8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CE8" w:rsidRPr="00FB7895" w:rsidRDefault="00FB7895" w:rsidP="00FB7895">
    <w:pPr>
      <w:tabs>
        <w:tab w:val="center" w:pos="4536"/>
        <w:tab w:val="right" w:pos="9072"/>
      </w:tabs>
      <w:spacing w:before="520" w:after="120"/>
      <w:rPr>
        <w:rFonts w:eastAsiaTheme="minorHAnsi"/>
        <w:sz w:val="20"/>
        <w:lang w:eastAsia="en-US"/>
      </w:rPr>
    </w:pPr>
    <w:r w:rsidRPr="00E211D2">
      <w:rPr>
        <w:sz w:val="20"/>
      </w:rPr>
      <w:t xml:space="preserve">Seite </w:t>
    </w:r>
    <w:r w:rsidRPr="00E211D2">
      <w:rPr>
        <w:rFonts w:eastAsiaTheme="minorHAnsi" w:cstheme="minorBidi"/>
        <w:sz w:val="20"/>
        <w:lang w:eastAsia="en-US"/>
      </w:rPr>
      <w:fldChar w:fldCharType="begin"/>
    </w:r>
    <w:r w:rsidRPr="00E211D2">
      <w:rPr>
        <w:rFonts w:eastAsiaTheme="minorHAnsi" w:cstheme="minorBidi"/>
        <w:sz w:val="20"/>
        <w:lang w:eastAsia="en-US"/>
      </w:rPr>
      <w:instrText>PAGE   \* MERGEFORMAT</w:instrText>
    </w:r>
    <w:r w:rsidRPr="00E211D2">
      <w:rPr>
        <w:rFonts w:eastAsiaTheme="minorHAnsi" w:cstheme="minorBidi"/>
        <w:sz w:val="20"/>
        <w:lang w:eastAsia="en-US"/>
      </w:rPr>
      <w:fldChar w:fldCharType="separate"/>
    </w:r>
    <w:r>
      <w:rPr>
        <w:rFonts w:eastAsiaTheme="minorHAnsi" w:cstheme="minorBidi"/>
        <w:sz w:val="20"/>
        <w:lang w:eastAsia="en-US"/>
      </w:rPr>
      <w:t>1</w:t>
    </w:r>
    <w:r w:rsidRPr="00E211D2">
      <w:rPr>
        <w:rFonts w:eastAsiaTheme="minorHAnsi" w:cstheme="minorBidi"/>
        <w:sz w:val="20"/>
        <w:lang w:eastAsia="en-US"/>
      </w:rPr>
      <w:fldChar w:fldCharType="end"/>
    </w:r>
    <w:r w:rsidRPr="00E211D2">
      <w:rPr>
        <w:rFonts w:eastAsiaTheme="minorHAnsi" w:cstheme="minorBidi"/>
        <w:sz w:val="20"/>
        <w:lang w:eastAsia="en-US"/>
      </w:rPr>
      <w:t xml:space="preserve"> </w:t>
    </w:r>
    <w:sdt>
      <w:sdtPr>
        <w:rPr>
          <w:rFonts w:eastAsiaTheme="minorHAnsi" w:cstheme="minorBidi"/>
          <w:sz w:val="20"/>
          <w:lang w:eastAsia="en-US"/>
        </w:rPr>
        <w:id w:val="708998601"/>
        <w:docPartObj>
          <w:docPartGallery w:val="Page Numbers (Top of Page)"/>
          <w:docPartUnique/>
        </w:docPartObj>
      </w:sdtPr>
      <w:sdtContent>
        <w:r w:rsidRPr="00E211D2">
          <w:rPr>
            <w:rFonts w:eastAsiaTheme="minorHAnsi" w:cstheme="minorBidi"/>
            <w:sz w:val="20"/>
            <w:lang w:eastAsia="en-US"/>
          </w:rPr>
          <w:t xml:space="preserve">von </w:t>
        </w:r>
        <w:r w:rsidRPr="00E211D2">
          <w:rPr>
            <w:rFonts w:eastAsiaTheme="minorHAnsi" w:cstheme="minorBidi"/>
            <w:sz w:val="20"/>
            <w:lang w:eastAsia="en-US"/>
          </w:rPr>
          <w:fldChar w:fldCharType="begin"/>
        </w:r>
        <w:r w:rsidRPr="00E211D2">
          <w:rPr>
            <w:rFonts w:eastAsiaTheme="minorHAnsi" w:cstheme="minorBidi"/>
            <w:sz w:val="20"/>
            <w:lang w:eastAsia="en-US"/>
          </w:rPr>
          <w:instrText xml:space="preserve"> NUMPAGES  \* Arabic  \* MERGEFORMAT </w:instrText>
        </w:r>
        <w:r w:rsidRPr="00E211D2">
          <w:rPr>
            <w:rFonts w:eastAsiaTheme="minorHAnsi" w:cstheme="minorBidi"/>
            <w:sz w:val="20"/>
            <w:lang w:eastAsia="en-US"/>
          </w:rPr>
          <w:fldChar w:fldCharType="separate"/>
        </w:r>
        <w:r>
          <w:rPr>
            <w:rFonts w:eastAsiaTheme="minorHAnsi" w:cstheme="minorBidi"/>
            <w:sz w:val="20"/>
            <w:lang w:eastAsia="en-US"/>
          </w:rPr>
          <w:t>7</w:t>
        </w:r>
        <w:r w:rsidRPr="00E211D2">
          <w:rPr>
            <w:rFonts w:eastAsiaTheme="minorHAnsi" w:cstheme="minorBidi"/>
            <w:sz w:val="20"/>
            <w:lang w:eastAsia="en-US"/>
          </w:rPr>
          <w:fldChar w:fldCharType="end"/>
        </w:r>
      </w:sdtContent>
    </w:sdt>
    <w:r w:rsidRPr="00E211D2">
      <w:rPr>
        <w:rFonts w:eastAsiaTheme="minorHAnsi" w:cstheme="minorBidi"/>
        <w:sz w:val="20"/>
        <w:lang w:eastAsia="en-US"/>
      </w:rPr>
      <w:tab/>
    </w:r>
    <w:r>
      <w:rPr>
        <w:noProof/>
        <w:sz w:val="20"/>
      </w:rPr>
      <w:drawing>
        <wp:anchor distT="0" distB="0" distL="114300" distR="114300" simplePos="0" relativeHeight="251661312" behindDoc="0" locked="0" layoutInCell="1" allowOverlap="1" wp14:anchorId="3C05A906" wp14:editId="40320FF7">
          <wp:simplePos x="0" y="0"/>
          <wp:positionH relativeFrom="column">
            <wp:posOffset>1737360</wp:posOffset>
          </wp:positionH>
          <wp:positionV relativeFrom="paragraph">
            <wp:posOffset>133985</wp:posOffset>
          </wp:positionV>
          <wp:extent cx="2283460" cy="323850"/>
          <wp:effectExtent l="0" t="0" r="254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3460" cy="323850"/>
                  </a:xfrm>
                  <a:prstGeom prst="rect">
                    <a:avLst/>
                  </a:prstGeom>
                  <a:noFill/>
                  <a:ln>
                    <a:noFill/>
                  </a:ln>
                </pic:spPr>
              </pic:pic>
            </a:graphicData>
          </a:graphic>
        </wp:anchor>
      </w:drawing>
    </w:r>
    <w:r w:rsidRPr="00E211D2">
      <w:rPr>
        <w:rFonts w:eastAsiaTheme="minorHAnsi" w:cstheme="minorBidi"/>
        <w:sz w:val="20"/>
        <w:lang w:eastAsia="en-US"/>
      </w:rPr>
      <w:tab/>
    </w:r>
    <w:r>
      <w:rPr>
        <w:rFonts w:eastAsiaTheme="minorHAnsi" w:cstheme="minorBidi"/>
        <w:b/>
        <w:color w:val="00B0F0"/>
        <w:sz w:val="20"/>
        <w:lang w:eastAsia="en-US"/>
      </w:rPr>
      <w:t>Handout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CE8" w:rsidRPr="00FB7895" w:rsidRDefault="00FB7895" w:rsidP="00FB7895">
    <w:pPr>
      <w:tabs>
        <w:tab w:val="center" w:pos="4536"/>
        <w:tab w:val="right" w:pos="9072"/>
      </w:tabs>
      <w:spacing w:before="520" w:after="120"/>
      <w:rPr>
        <w:rFonts w:eastAsiaTheme="minorHAnsi"/>
        <w:sz w:val="20"/>
        <w:lang w:eastAsia="en-US"/>
      </w:rPr>
    </w:pPr>
    <w:r w:rsidRPr="00E211D2">
      <w:rPr>
        <w:sz w:val="20"/>
      </w:rPr>
      <w:t xml:space="preserve">Seite </w:t>
    </w:r>
    <w:r w:rsidRPr="00E211D2">
      <w:rPr>
        <w:rFonts w:eastAsiaTheme="minorHAnsi" w:cstheme="minorBidi"/>
        <w:sz w:val="20"/>
        <w:lang w:eastAsia="en-US"/>
      </w:rPr>
      <w:fldChar w:fldCharType="begin"/>
    </w:r>
    <w:r w:rsidRPr="00E211D2">
      <w:rPr>
        <w:rFonts w:eastAsiaTheme="minorHAnsi" w:cstheme="minorBidi"/>
        <w:sz w:val="20"/>
        <w:lang w:eastAsia="en-US"/>
      </w:rPr>
      <w:instrText>PAGE   \* MERGEFORMAT</w:instrText>
    </w:r>
    <w:r w:rsidRPr="00E211D2">
      <w:rPr>
        <w:rFonts w:eastAsiaTheme="minorHAnsi" w:cstheme="minorBidi"/>
        <w:sz w:val="20"/>
        <w:lang w:eastAsia="en-US"/>
      </w:rPr>
      <w:fldChar w:fldCharType="separate"/>
    </w:r>
    <w:r>
      <w:rPr>
        <w:rFonts w:eastAsiaTheme="minorHAnsi"/>
        <w:sz w:val="20"/>
        <w:lang w:eastAsia="en-US"/>
      </w:rPr>
      <w:t>1</w:t>
    </w:r>
    <w:r w:rsidRPr="00E211D2">
      <w:rPr>
        <w:rFonts w:eastAsiaTheme="minorHAnsi" w:cstheme="minorBidi"/>
        <w:sz w:val="20"/>
        <w:lang w:eastAsia="en-US"/>
      </w:rPr>
      <w:fldChar w:fldCharType="end"/>
    </w:r>
    <w:r w:rsidRPr="00E211D2">
      <w:rPr>
        <w:rFonts w:eastAsiaTheme="minorHAnsi" w:cstheme="minorBidi"/>
        <w:sz w:val="20"/>
        <w:lang w:eastAsia="en-US"/>
      </w:rPr>
      <w:t xml:space="preserve"> </w:t>
    </w:r>
    <w:sdt>
      <w:sdtPr>
        <w:rPr>
          <w:rFonts w:eastAsiaTheme="minorHAnsi" w:cstheme="minorBidi"/>
          <w:sz w:val="20"/>
          <w:lang w:eastAsia="en-US"/>
        </w:rPr>
        <w:id w:val="-2014915945"/>
        <w:docPartObj>
          <w:docPartGallery w:val="Page Numbers (Top of Page)"/>
          <w:docPartUnique/>
        </w:docPartObj>
      </w:sdtPr>
      <w:sdtContent>
        <w:r w:rsidRPr="00E211D2">
          <w:rPr>
            <w:rFonts w:eastAsiaTheme="minorHAnsi" w:cstheme="minorBidi"/>
            <w:sz w:val="20"/>
            <w:lang w:eastAsia="en-US"/>
          </w:rPr>
          <w:t xml:space="preserve">von </w:t>
        </w:r>
        <w:r w:rsidRPr="00E211D2">
          <w:rPr>
            <w:rFonts w:eastAsiaTheme="minorHAnsi" w:cstheme="minorBidi"/>
            <w:sz w:val="20"/>
            <w:lang w:eastAsia="en-US"/>
          </w:rPr>
          <w:fldChar w:fldCharType="begin"/>
        </w:r>
        <w:r w:rsidRPr="00E211D2">
          <w:rPr>
            <w:rFonts w:eastAsiaTheme="minorHAnsi" w:cstheme="minorBidi"/>
            <w:sz w:val="20"/>
            <w:lang w:eastAsia="en-US"/>
          </w:rPr>
          <w:instrText xml:space="preserve"> NUMPAGES  \* Arabic  \* MERGEFORMAT </w:instrText>
        </w:r>
        <w:r w:rsidRPr="00E211D2">
          <w:rPr>
            <w:rFonts w:eastAsiaTheme="minorHAnsi" w:cstheme="minorBidi"/>
            <w:sz w:val="20"/>
            <w:lang w:eastAsia="en-US"/>
          </w:rPr>
          <w:fldChar w:fldCharType="separate"/>
        </w:r>
        <w:r>
          <w:rPr>
            <w:rFonts w:eastAsiaTheme="minorHAnsi"/>
            <w:sz w:val="20"/>
            <w:lang w:eastAsia="en-US"/>
          </w:rPr>
          <w:t>9</w:t>
        </w:r>
        <w:r w:rsidRPr="00E211D2">
          <w:rPr>
            <w:rFonts w:eastAsiaTheme="minorHAnsi" w:cstheme="minorBidi"/>
            <w:sz w:val="20"/>
            <w:lang w:eastAsia="en-US"/>
          </w:rPr>
          <w:fldChar w:fldCharType="end"/>
        </w:r>
      </w:sdtContent>
    </w:sdt>
    <w:r w:rsidRPr="00E211D2">
      <w:rPr>
        <w:rFonts w:eastAsiaTheme="minorHAnsi" w:cstheme="minorBidi"/>
        <w:sz w:val="20"/>
        <w:lang w:eastAsia="en-US"/>
      </w:rPr>
      <w:tab/>
    </w:r>
    <w:r>
      <w:rPr>
        <w:noProof/>
        <w:sz w:val="20"/>
      </w:rPr>
      <w:drawing>
        <wp:anchor distT="0" distB="0" distL="114300" distR="114300" simplePos="0" relativeHeight="251659264" behindDoc="0" locked="0" layoutInCell="1" allowOverlap="1" wp14:anchorId="598F224D" wp14:editId="6323CA53">
          <wp:simplePos x="0" y="0"/>
          <wp:positionH relativeFrom="column">
            <wp:posOffset>1737360</wp:posOffset>
          </wp:positionH>
          <wp:positionV relativeFrom="paragraph">
            <wp:posOffset>133985</wp:posOffset>
          </wp:positionV>
          <wp:extent cx="2283460" cy="32385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3460" cy="323850"/>
                  </a:xfrm>
                  <a:prstGeom prst="rect">
                    <a:avLst/>
                  </a:prstGeom>
                  <a:noFill/>
                  <a:ln>
                    <a:noFill/>
                  </a:ln>
                </pic:spPr>
              </pic:pic>
            </a:graphicData>
          </a:graphic>
        </wp:anchor>
      </w:drawing>
    </w:r>
    <w:r w:rsidRPr="00E211D2">
      <w:rPr>
        <w:rFonts w:eastAsiaTheme="minorHAnsi" w:cstheme="minorBidi"/>
        <w:sz w:val="20"/>
        <w:lang w:eastAsia="en-US"/>
      </w:rPr>
      <w:tab/>
    </w:r>
    <w:r>
      <w:rPr>
        <w:rFonts w:eastAsiaTheme="minorHAnsi" w:cstheme="minorBidi"/>
        <w:b/>
        <w:color w:val="00B0F0"/>
        <w:sz w:val="20"/>
        <w:lang w:eastAsia="en-US"/>
      </w:rPr>
      <w:t>Handout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E8F" w:rsidRDefault="00115E8F" w:rsidP="00EE217B">
      <w:pPr>
        <w:pStyle w:val="Fuzeile"/>
      </w:pPr>
    </w:p>
    <w:p w:rsidR="00115E8F" w:rsidRPr="00EE217B" w:rsidRDefault="00115E8F" w:rsidP="00EE217B">
      <w:pPr>
        <w:spacing w:before="0"/>
        <w:jc w:val="center"/>
      </w:pPr>
      <w:r w:rsidRPr="00027F72">
        <w:separator/>
      </w:r>
      <w:r w:rsidRPr="00027F72">
        <w:separator/>
      </w:r>
    </w:p>
  </w:footnote>
  <w:footnote w:type="continuationSeparator" w:id="0">
    <w:p w:rsidR="00115E8F" w:rsidRDefault="00115E8F" w:rsidP="00711AB6">
      <w:pPr>
        <w:spacing w:before="0"/>
        <w:jc w:val="center"/>
      </w:pPr>
    </w:p>
    <w:p w:rsidR="00115E8F" w:rsidRPr="00711AB6" w:rsidRDefault="00115E8F" w:rsidP="00711AB6">
      <w:pPr>
        <w:spacing w:before="0"/>
        <w:jc w:val="center"/>
      </w:pPr>
      <w:r w:rsidRPr="00027F72">
        <w:separator/>
      </w:r>
      <w:r w:rsidRPr="00027F72">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65"/>
      <w:gridCol w:w="417"/>
      <w:gridCol w:w="7982"/>
    </w:tblGrid>
    <w:tr w:rsidR="00AE548E" w:rsidTr="00670CE8">
      <w:tc>
        <w:tcPr>
          <w:tcW w:w="566" w:type="dxa"/>
        </w:tcPr>
        <w:p w:rsidR="00AE548E" w:rsidRDefault="00AE548E" w:rsidP="00AE548E">
          <w:pPr>
            <w:spacing w:before="0"/>
            <w:jc w:val="left"/>
            <w:rPr>
              <w:sz w:val="20"/>
            </w:rPr>
          </w:pPr>
          <w:r>
            <w:rPr>
              <w:sz w:val="20"/>
            </w:rPr>
            <w:t>Tz.</w:t>
          </w:r>
        </w:p>
      </w:tc>
      <w:tc>
        <w:tcPr>
          <w:tcW w:w="420" w:type="dxa"/>
        </w:tcPr>
        <w:p w:rsidR="00AE548E" w:rsidRDefault="00AE548E" w:rsidP="00AE548E">
          <w:pPr>
            <w:spacing w:before="0"/>
            <w:rPr>
              <w:sz w:val="20"/>
            </w:rPr>
          </w:pPr>
        </w:p>
      </w:tc>
      <w:tc>
        <w:tcPr>
          <w:tcW w:w="8086" w:type="dxa"/>
        </w:tcPr>
        <w:p w:rsidR="00AE548E" w:rsidRDefault="00AE548E" w:rsidP="00AE548E">
          <w:pPr>
            <w:spacing w:before="0"/>
            <w:rPr>
              <w:sz w:val="20"/>
            </w:rPr>
          </w:pPr>
        </w:p>
      </w:tc>
    </w:tr>
  </w:tbl>
  <w:p w:rsidR="00115E8F" w:rsidRPr="00670CE8" w:rsidRDefault="00115E8F" w:rsidP="00B73242">
    <w:pPr>
      <w:pStyle w:val="Kopfzeile"/>
      <w:pBdr>
        <w:bottom w:val="none" w:sz="0" w:space="0" w:color="auto"/>
      </w:pBdr>
      <w:spacing w:before="0"/>
      <w:rPr>
        <w:sz w:val="10"/>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08" w:type="dxa"/>
      <w:tblLayout w:type="fixed"/>
      <w:tblLook w:val="04A0" w:firstRow="1" w:lastRow="0" w:firstColumn="1" w:lastColumn="0" w:noHBand="0" w:noVBand="1"/>
    </w:tblPr>
    <w:tblGrid>
      <w:gridCol w:w="567"/>
      <w:gridCol w:w="1560"/>
      <w:gridCol w:w="2126"/>
      <w:gridCol w:w="1276"/>
      <w:gridCol w:w="2126"/>
      <w:gridCol w:w="1417"/>
    </w:tblGrid>
    <w:tr w:rsidR="00AE548E" w:rsidTr="00AD2DCA">
      <w:trPr>
        <w:trHeight w:val="203"/>
      </w:trPr>
      <w:tc>
        <w:tcPr>
          <w:tcW w:w="567" w:type="dxa"/>
          <w:vMerge w:val="restart"/>
        </w:tcPr>
        <w:p w:rsidR="00AE548E" w:rsidRDefault="00AE548E" w:rsidP="00AE548E">
          <w:pPr>
            <w:pStyle w:val="Kopfzeile"/>
            <w:pBdr>
              <w:bottom w:val="none" w:sz="0" w:space="0" w:color="auto"/>
            </w:pBdr>
          </w:pPr>
        </w:p>
      </w:tc>
      <w:tc>
        <w:tcPr>
          <w:tcW w:w="7088" w:type="dxa"/>
          <w:gridSpan w:val="4"/>
          <w:vMerge w:val="restart"/>
        </w:tcPr>
        <w:p w:rsidR="00AE548E" w:rsidRPr="00E359CA" w:rsidRDefault="00AE548E" w:rsidP="00AE548E">
          <w:pPr>
            <w:pStyle w:val="Kopfzeile"/>
            <w:pBdr>
              <w:bottom w:val="none" w:sz="0" w:space="0" w:color="auto"/>
            </w:pBdr>
            <w:jc w:val="left"/>
            <w:rPr>
              <w:sz w:val="16"/>
            </w:rPr>
          </w:pPr>
        </w:p>
      </w:tc>
      <w:tc>
        <w:tcPr>
          <w:tcW w:w="1417" w:type="dxa"/>
          <w:tcBorders>
            <w:bottom w:val="nil"/>
          </w:tcBorders>
        </w:tcPr>
        <w:p w:rsidR="00AE548E" w:rsidRPr="00E359CA" w:rsidRDefault="00AE548E" w:rsidP="00AE548E">
          <w:pPr>
            <w:pStyle w:val="Kopfzeile"/>
            <w:pBdr>
              <w:bottom w:val="none" w:sz="0" w:space="0" w:color="auto"/>
            </w:pBdr>
            <w:spacing w:before="0"/>
            <w:jc w:val="left"/>
            <w:rPr>
              <w:sz w:val="16"/>
            </w:rPr>
          </w:pPr>
          <w:r w:rsidRPr="00E359CA">
            <w:rPr>
              <w:sz w:val="16"/>
            </w:rPr>
            <w:t>Index/Ablage:</w:t>
          </w:r>
        </w:p>
      </w:tc>
    </w:tr>
    <w:tr w:rsidR="00AE548E" w:rsidTr="00AD2DCA">
      <w:trPr>
        <w:trHeight w:val="202"/>
      </w:trPr>
      <w:tc>
        <w:tcPr>
          <w:tcW w:w="567" w:type="dxa"/>
          <w:vMerge/>
        </w:tcPr>
        <w:p w:rsidR="00AE548E" w:rsidRDefault="00AE548E" w:rsidP="00AE548E">
          <w:pPr>
            <w:pStyle w:val="Kopfzeile"/>
            <w:pBdr>
              <w:bottom w:val="none" w:sz="0" w:space="0" w:color="auto"/>
            </w:pBdr>
            <w:rPr>
              <w:noProof/>
            </w:rPr>
          </w:pPr>
        </w:p>
      </w:tc>
      <w:tc>
        <w:tcPr>
          <w:tcW w:w="7088" w:type="dxa"/>
          <w:gridSpan w:val="4"/>
          <w:vMerge/>
        </w:tcPr>
        <w:p w:rsidR="00AE548E" w:rsidRPr="00E359CA" w:rsidRDefault="00AE548E" w:rsidP="00AE548E">
          <w:pPr>
            <w:pStyle w:val="Kopfzeile"/>
            <w:pBdr>
              <w:bottom w:val="none" w:sz="0" w:space="0" w:color="auto"/>
            </w:pBdr>
            <w:jc w:val="left"/>
            <w:rPr>
              <w:sz w:val="16"/>
            </w:rPr>
          </w:pPr>
        </w:p>
      </w:tc>
      <w:tc>
        <w:tcPr>
          <w:tcW w:w="1417" w:type="dxa"/>
          <w:tcBorders>
            <w:top w:val="nil"/>
            <w:bottom w:val="single" w:sz="4" w:space="0" w:color="auto"/>
          </w:tcBorders>
        </w:tcPr>
        <w:p w:rsidR="00AE548E" w:rsidRPr="00E359CA" w:rsidRDefault="00AE548E" w:rsidP="00AE548E">
          <w:pPr>
            <w:pStyle w:val="Kopfzeile"/>
            <w:pBdr>
              <w:bottom w:val="none" w:sz="0" w:space="0" w:color="auto"/>
            </w:pBdr>
            <w:spacing w:before="0"/>
            <w:jc w:val="left"/>
            <w:rPr>
              <w:sz w:val="16"/>
            </w:rPr>
          </w:pPr>
        </w:p>
      </w:tc>
    </w:tr>
    <w:tr w:rsidR="00AE548E" w:rsidTr="00AD2DCA">
      <w:trPr>
        <w:trHeight w:val="278"/>
      </w:trPr>
      <w:tc>
        <w:tcPr>
          <w:tcW w:w="567" w:type="dxa"/>
          <w:vMerge/>
        </w:tcPr>
        <w:p w:rsidR="00AE548E" w:rsidRDefault="00AE548E" w:rsidP="00AE548E">
          <w:pPr>
            <w:pStyle w:val="Kopfzeile"/>
            <w:pBdr>
              <w:bottom w:val="none" w:sz="0" w:space="0" w:color="auto"/>
            </w:pBdr>
          </w:pPr>
        </w:p>
      </w:tc>
      <w:tc>
        <w:tcPr>
          <w:tcW w:w="1560" w:type="dxa"/>
          <w:vMerge w:val="restart"/>
        </w:tcPr>
        <w:p w:rsidR="00AE548E" w:rsidRDefault="00AE548E" w:rsidP="00AE548E">
          <w:pPr>
            <w:pStyle w:val="Kopfzeile"/>
            <w:pBdr>
              <w:bottom w:val="none" w:sz="0" w:space="0" w:color="auto"/>
            </w:pBdr>
            <w:spacing w:before="0"/>
            <w:jc w:val="left"/>
            <w:rPr>
              <w:sz w:val="16"/>
            </w:rPr>
          </w:pPr>
          <w:r>
            <w:rPr>
              <w:sz w:val="16"/>
            </w:rPr>
            <w:t>Prüfung:</w:t>
          </w:r>
        </w:p>
        <w:p w:rsidR="00AE548E" w:rsidRPr="00D72D04" w:rsidRDefault="00AE548E" w:rsidP="00AE548E">
          <w:pPr>
            <w:pStyle w:val="Kopfzeile"/>
            <w:pBdr>
              <w:bottom w:val="none" w:sz="0" w:space="0" w:color="auto"/>
            </w:pBdr>
            <w:jc w:val="left"/>
            <w:rPr>
              <w:b/>
              <w:sz w:val="16"/>
            </w:rPr>
          </w:pPr>
          <w:r>
            <w:rPr>
              <w:b/>
              <w:sz w:val="16"/>
            </w:rPr>
            <w:t>JA und LB</w:t>
          </w:r>
        </w:p>
      </w:tc>
      <w:tc>
        <w:tcPr>
          <w:tcW w:w="2126" w:type="dxa"/>
          <w:tcBorders>
            <w:bottom w:val="nil"/>
          </w:tcBorders>
        </w:tcPr>
        <w:p w:rsidR="00AE548E" w:rsidRPr="00E359CA" w:rsidRDefault="00AE548E" w:rsidP="00AE548E">
          <w:pPr>
            <w:pStyle w:val="Kopfzeile"/>
            <w:pBdr>
              <w:bottom w:val="none" w:sz="0" w:space="0" w:color="auto"/>
            </w:pBdr>
            <w:spacing w:before="0"/>
            <w:jc w:val="left"/>
            <w:rPr>
              <w:sz w:val="16"/>
            </w:rPr>
          </w:pPr>
          <w:r>
            <w:rPr>
              <w:sz w:val="16"/>
            </w:rPr>
            <w:t>Stichtag:</w:t>
          </w:r>
        </w:p>
      </w:tc>
      <w:tc>
        <w:tcPr>
          <w:tcW w:w="1276" w:type="dxa"/>
          <w:tcBorders>
            <w:bottom w:val="nil"/>
          </w:tcBorders>
        </w:tcPr>
        <w:p w:rsidR="00AE548E" w:rsidRPr="00E359CA" w:rsidRDefault="00AE548E" w:rsidP="00AE548E">
          <w:pPr>
            <w:pStyle w:val="Kopfzeile"/>
            <w:pBdr>
              <w:bottom w:val="none" w:sz="0" w:space="0" w:color="auto"/>
            </w:pBdr>
            <w:spacing w:before="0"/>
            <w:jc w:val="left"/>
            <w:rPr>
              <w:sz w:val="16"/>
            </w:rPr>
          </w:pPr>
          <w:r w:rsidRPr="00E359CA">
            <w:rPr>
              <w:sz w:val="16"/>
            </w:rPr>
            <w:t>Hz. 1:</w:t>
          </w:r>
        </w:p>
      </w:tc>
      <w:tc>
        <w:tcPr>
          <w:tcW w:w="2126" w:type="dxa"/>
          <w:tcBorders>
            <w:bottom w:val="nil"/>
          </w:tcBorders>
        </w:tcPr>
        <w:p w:rsidR="00AE548E" w:rsidRPr="00E359CA" w:rsidRDefault="00AE548E" w:rsidP="00AE548E">
          <w:pPr>
            <w:pStyle w:val="Kopfzeile"/>
            <w:pBdr>
              <w:bottom w:val="none" w:sz="0" w:space="0" w:color="auto"/>
            </w:pBdr>
            <w:spacing w:before="0"/>
            <w:jc w:val="left"/>
            <w:rPr>
              <w:sz w:val="16"/>
            </w:rPr>
          </w:pPr>
          <w:r w:rsidRPr="00E359CA">
            <w:rPr>
              <w:sz w:val="16"/>
            </w:rPr>
            <w:t>Hz. 2:</w:t>
          </w:r>
        </w:p>
      </w:tc>
      <w:tc>
        <w:tcPr>
          <w:tcW w:w="1417" w:type="dxa"/>
          <w:tcBorders>
            <w:bottom w:val="nil"/>
          </w:tcBorders>
        </w:tcPr>
        <w:p w:rsidR="00AE548E" w:rsidRPr="00E359CA" w:rsidRDefault="00AE548E" w:rsidP="00AE548E">
          <w:pPr>
            <w:pStyle w:val="Kopfzeile"/>
            <w:pBdr>
              <w:bottom w:val="none" w:sz="0" w:space="0" w:color="auto"/>
            </w:pBdr>
            <w:spacing w:before="0"/>
            <w:jc w:val="left"/>
            <w:rPr>
              <w:sz w:val="16"/>
            </w:rPr>
          </w:pPr>
          <w:r w:rsidRPr="00E359CA">
            <w:rPr>
              <w:sz w:val="16"/>
            </w:rPr>
            <w:t>Seite</w:t>
          </w:r>
          <w:r>
            <w:rPr>
              <w:sz w:val="16"/>
            </w:rPr>
            <w:t>:</w:t>
          </w:r>
        </w:p>
      </w:tc>
    </w:tr>
    <w:tr w:rsidR="00AE548E" w:rsidTr="00AD2DCA">
      <w:trPr>
        <w:trHeight w:val="277"/>
      </w:trPr>
      <w:tc>
        <w:tcPr>
          <w:tcW w:w="567" w:type="dxa"/>
          <w:vMerge/>
          <w:tcBorders>
            <w:top w:val="nil"/>
          </w:tcBorders>
        </w:tcPr>
        <w:p w:rsidR="00AE548E" w:rsidRDefault="00AE548E" w:rsidP="00AE548E">
          <w:pPr>
            <w:pStyle w:val="Kopfzeile"/>
            <w:pBdr>
              <w:bottom w:val="none" w:sz="0" w:space="0" w:color="auto"/>
            </w:pBdr>
          </w:pPr>
        </w:p>
      </w:tc>
      <w:tc>
        <w:tcPr>
          <w:tcW w:w="1560" w:type="dxa"/>
          <w:vMerge/>
          <w:tcBorders>
            <w:top w:val="nil"/>
          </w:tcBorders>
        </w:tcPr>
        <w:p w:rsidR="00AE548E" w:rsidRDefault="00AE548E" w:rsidP="00AE548E">
          <w:pPr>
            <w:pStyle w:val="Kopfzeile"/>
            <w:pBdr>
              <w:bottom w:val="none" w:sz="0" w:space="0" w:color="auto"/>
            </w:pBdr>
            <w:spacing w:before="0"/>
            <w:jc w:val="left"/>
            <w:rPr>
              <w:sz w:val="16"/>
            </w:rPr>
          </w:pPr>
        </w:p>
      </w:tc>
      <w:tc>
        <w:tcPr>
          <w:tcW w:w="2126" w:type="dxa"/>
          <w:tcBorders>
            <w:top w:val="nil"/>
          </w:tcBorders>
        </w:tcPr>
        <w:p w:rsidR="00AE548E" w:rsidRDefault="00AE548E" w:rsidP="00AE548E">
          <w:pPr>
            <w:pStyle w:val="Kopfzeile"/>
            <w:pBdr>
              <w:bottom w:val="none" w:sz="0" w:space="0" w:color="auto"/>
            </w:pBdr>
            <w:spacing w:before="0"/>
            <w:jc w:val="left"/>
            <w:rPr>
              <w:sz w:val="16"/>
            </w:rPr>
          </w:pPr>
          <w:r>
            <w:rPr>
              <w:sz w:val="16"/>
            </w:rPr>
            <w:t>31.12.</w:t>
          </w:r>
          <w:r w:rsidR="00975A1A">
            <w:rPr>
              <w:sz w:val="16"/>
            </w:rPr>
            <w:t>02</w:t>
          </w:r>
        </w:p>
      </w:tc>
      <w:tc>
        <w:tcPr>
          <w:tcW w:w="1276" w:type="dxa"/>
          <w:tcBorders>
            <w:top w:val="nil"/>
          </w:tcBorders>
        </w:tcPr>
        <w:p w:rsidR="00AE548E" w:rsidRPr="00E359CA" w:rsidRDefault="00AE548E" w:rsidP="00AE548E">
          <w:pPr>
            <w:pStyle w:val="Kopfzeile"/>
            <w:pBdr>
              <w:bottom w:val="none" w:sz="0" w:space="0" w:color="auto"/>
            </w:pBdr>
            <w:spacing w:before="0"/>
            <w:jc w:val="left"/>
            <w:rPr>
              <w:sz w:val="16"/>
            </w:rPr>
          </w:pPr>
        </w:p>
      </w:tc>
      <w:tc>
        <w:tcPr>
          <w:tcW w:w="2126" w:type="dxa"/>
          <w:tcBorders>
            <w:top w:val="nil"/>
            <w:bottom w:val="single" w:sz="4" w:space="0" w:color="auto"/>
          </w:tcBorders>
        </w:tcPr>
        <w:p w:rsidR="00AE548E" w:rsidRPr="00E359CA" w:rsidRDefault="00AE548E" w:rsidP="00AE548E">
          <w:pPr>
            <w:pStyle w:val="Kopfzeile"/>
            <w:pBdr>
              <w:bottom w:val="none" w:sz="0" w:space="0" w:color="auto"/>
            </w:pBdr>
            <w:spacing w:before="0"/>
            <w:jc w:val="left"/>
            <w:rPr>
              <w:sz w:val="16"/>
            </w:rPr>
          </w:pPr>
        </w:p>
      </w:tc>
      <w:tc>
        <w:tcPr>
          <w:tcW w:w="1417" w:type="dxa"/>
          <w:tcBorders>
            <w:top w:val="nil"/>
          </w:tcBorders>
        </w:tcPr>
        <w:p w:rsidR="00AE548E" w:rsidRPr="00E359CA" w:rsidRDefault="00AE548E" w:rsidP="00AE548E">
          <w:pPr>
            <w:pStyle w:val="Kopfzeile"/>
            <w:pBdr>
              <w:bottom w:val="none" w:sz="0" w:space="0" w:color="auto"/>
            </w:pBdr>
            <w:spacing w:before="0"/>
            <w:jc w:val="left"/>
            <w:rPr>
              <w:sz w:val="16"/>
            </w:rPr>
          </w:pPr>
          <w:r>
            <w:rPr>
              <w:sz w:val="16"/>
            </w:rPr>
            <w:t xml:space="preserve">1 von </w:t>
          </w:r>
          <w:r w:rsidR="00DD0FDA">
            <w:rPr>
              <w:sz w:val="16"/>
            </w:rPr>
            <w:t>7</w:t>
          </w:r>
        </w:p>
      </w:tc>
    </w:tr>
    <w:tr w:rsidR="00AE548E" w:rsidTr="00AD2DCA">
      <w:tc>
        <w:tcPr>
          <w:tcW w:w="2127" w:type="dxa"/>
          <w:gridSpan w:val="2"/>
          <w:vMerge w:val="restart"/>
        </w:tcPr>
        <w:p w:rsidR="00AE548E" w:rsidRDefault="00AE548E" w:rsidP="00AE548E">
          <w:pPr>
            <w:pStyle w:val="Kopfzeile"/>
            <w:pBdr>
              <w:bottom w:val="none" w:sz="0" w:space="0" w:color="auto"/>
            </w:pBdr>
            <w:spacing w:before="0"/>
            <w:rPr>
              <w:sz w:val="16"/>
            </w:rPr>
          </w:pPr>
          <w:r>
            <w:rPr>
              <w:sz w:val="16"/>
            </w:rPr>
            <w:t>Mandant:</w:t>
          </w:r>
        </w:p>
        <w:p w:rsidR="00AE548E" w:rsidRDefault="00AE548E" w:rsidP="00AE548E">
          <w:pPr>
            <w:pStyle w:val="Kopfzeile"/>
            <w:pBdr>
              <w:bottom w:val="none" w:sz="0" w:space="0" w:color="auto"/>
            </w:pBdr>
            <w:spacing w:before="0"/>
            <w:rPr>
              <w:b/>
            </w:rPr>
          </w:pPr>
          <w:proofErr w:type="spellStart"/>
          <w:r>
            <w:rPr>
              <w:b/>
            </w:rPr>
            <w:t>MusterBau</w:t>
          </w:r>
          <w:proofErr w:type="spellEnd"/>
          <w:r>
            <w:rPr>
              <w:b/>
            </w:rPr>
            <w:t xml:space="preserve"> GmbH</w:t>
          </w:r>
        </w:p>
        <w:p w:rsidR="00AE548E" w:rsidRPr="00D72D04" w:rsidRDefault="007106E0" w:rsidP="00AE548E">
          <w:pPr>
            <w:pStyle w:val="Kopfzeile"/>
            <w:pBdr>
              <w:bottom w:val="none" w:sz="0" w:space="0" w:color="auto"/>
            </w:pBdr>
            <w:spacing w:before="0"/>
            <w:rPr>
              <w:b/>
              <w:sz w:val="22"/>
            </w:rPr>
          </w:pPr>
          <w:r w:rsidRPr="00975A1A">
            <w:rPr>
              <w:b/>
            </w:rPr>
            <w:t>Musterstadt</w:t>
          </w:r>
        </w:p>
      </w:tc>
      <w:tc>
        <w:tcPr>
          <w:tcW w:w="3402" w:type="dxa"/>
          <w:gridSpan w:val="2"/>
          <w:vMerge w:val="restart"/>
        </w:tcPr>
        <w:p w:rsidR="00AE548E" w:rsidRPr="00D72D04" w:rsidRDefault="00AE548E" w:rsidP="00AE548E">
          <w:pPr>
            <w:pStyle w:val="Kopfzeile"/>
            <w:pBdr>
              <w:bottom w:val="none" w:sz="0" w:space="0" w:color="auto"/>
            </w:pBdr>
            <w:spacing w:before="0"/>
            <w:rPr>
              <w:sz w:val="16"/>
            </w:rPr>
          </w:pPr>
          <w:r w:rsidRPr="00D72D04">
            <w:rPr>
              <w:sz w:val="16"/>
            </w:rPr>
            <w:t>Prüffeld:</w:t>
          </w:r>
        </w:p>
        <w:p w:rsidR="00AE548E" w:rsidRDefault="00277A5C" w:rsidP="00AE548E">
          <w:pPr>
            <w:pStyle w:val="Kopfzeile"/>
            <w:pBdr>
              <w:bottom w:val="none" w:sz="0" w:space="0" w:color="auto"/>
            </w:pBdr>
            <w:spacing w:before="0"/>
            <w:jc w:val="center"/>
          </w:pPr>
          <w:r>
            <w:rPr>
              <w:b/>
            </w:rPr>
            <w:t>Lagebericht für das</w:t>
          </w:r>
          <w:r w:rsidR="00AE548E">
            <w:rPr>
              <w:b/>
            </w:rPr>
            <w:t xml:space="preserve"> </w:t>
          </w:r>
          <w:r>
            <w:rPr>
              <w:b/>
            </w:rPr>
            <w:br/>
          </w:r>
          <w:r w:rsidR="00AE548E">
            <w:rPr>
              <w:b/>
            </w:rPr>
            <w:t>Geschäftsjahr vom 01.01.</w:t>
          </w:r>
          <w:r w:rsidR="00975A1A">
            <w:rPr>
              <w:b/>
            </w:rPr>
            <w:t>02</w:t>
          </w:r>
          <w:r w:rsidR="00AE548E">
            <w:rPr>
              <w:b/>
            </w:rPr>
            <w:t xml:space="preserve"> bis zum 31.12.</w:t>
          </w:r>
          <w:r w:rsidR="00975A1A">
            <w:rPr>
              <w:b/>
            </w:rPr>
            <w:t>02</w:t>
          </w:r>
        </w:p>
      </w:tc>
      <w:tc>
        <w:tcPr>
          <w:tcW w:w="2126" w:type="dxa"/>
          <w:tcBorders>
            <w:bottom w:val="single" w:sz="4" w:space="0" w:color="auto"/>
            <w:right w:val="nil"/>
          </w:tcBorders>
        </w:tcPr>
        <w:p w:rsidR="00AE548E" w:rsidRPr="00D72D04" w:rsidRDefault="00AE548E" w:rsidP="00AE548E">
          <w:pPr>
            <w:pStyle w:val="Kopfzeile"/>
            <w:pBdr>
              <w:bottom w:val="none" w:sz="0" w:space="0" w:color="auto"/>
            </w:pBdr>
            <w:spacing w:before="0"/>
            <w:jc w:val="left"/>
            <w:rPr>
              <w:sz w:val="16"/>
            </w:rPr>
          </w:pPr>
          <w:r w:rsidRPr="00D72D04">
            <w:rPr>
              <w:sz w:val="16"/>
            </w:rPr>
            <w:t>Anwendung:</w:t>
          </w:r>
        </w:p>
        <w:p w:rsidR="00AE548E" w:rsidRPr="00D72D04" w:rsidRDefault="00AE548E" w:rsidP="00AE548E">
          <w:pPr>
            <w:pStyle w:val="Kopfzeile"/>
            <w:pBdr>
              <w:bottom w:val="none" w:sz="0" w:space="0" w:color="auto"/>
            </w:pBdr>
            <w:spacing w:before="0"/>
            <w:jc w:val="left"/>
            <w:rPr>
              <w:sz w:val="16"/>
            </w:rPr>
          </w:pPr>
          <w:r w:rsidRPr="00D72D04">
            <w:rPr>
              <w:sz w:val="16"/>
            </w:rPr>
            <w:t>Stand:</w:t>
          </w:r>
          <w:r>
            <w:rPr>
              <w:sz w:val="16"/>
            </w:rPr>
            <w:t xml:space="preserve"> </w:t>
          </w:r>
        </w:p>
        <w:p w:rsidR="00AE548E" w:rsidRPr="00D72D04" w:rsidRDefault="00AE548E" w:rsidP="00AE548E">
          <w:pPr>
            <w:pStyle w:val="Kopfzeile"/>
            <w:pBdr>
              <w:bottom w:val="none" w:sz="0" w:space="0" w:color="auto"/>
            </w:pBdr>
            <w:spacing w:before="0"/>
            <w:jc w:val="left"/>
            <w:rPr>
              <w:sz w:val="16"/>
            </w:rPr>
          </w:pPr>
          <w:r w:rsidRPr="00D72D04">
            <w:rPr>
              <w:sz w:val="16"/>
            </w:rPr>
            <w:t>Version:</w:t>
          </w:r>
        </w:p>
      </w:tc>
      <w:tc>
        <w:tcPr>
          <w:tcW w:w="1417" w:type="dxa"/>
          <w:tcBorders>
            <w:left w:val="nil"/>
            <w:bottom w:val="single" w:sz="4" w:space="0" w:color="auto"/>
          </w:tcBorders>
        </w:tcPr>
        <w:p w:rsidR="00AE548E" w:rsidRDefault="00AE548E" w:rsidP="00AE548E">
          <w:pPr>
            <w:pStyle w:val="Kopfzeile"/>
            <w:pBdr>
              <w:bottom w:val="none" w:sz="0" w:space="0" w:color="auto"/>
            </w:pBdr>
            <w:spacing w:before="0"/>
            <w:rPr>
              <w:sz w:val="16"/>
              <w:szCs w:val="16"/>
            </w:rPr>
          </w:pPr>
          <w:r>
            <w:rPr>
              <w:sz w:val="16"/>
              <w:szCs w:val="16"/>
            </w:rPr>
            <w:t>Pflicht</w:t>
          </w:r>
        </w:p>
        <w:p w:rsidR="00AE548E" w:rsidRPr="00D72D04" w:rsidRDefault="00AE548E" w:rsidP="0085471F">
          <w:pPr>
            <w:pStyle w:val="Kopfzeile"/>
            <w:pBdr>
              <w:bottom w:val="none" w:sz="0" w:space="0" w:color="auto"/>
            </w:pBdr>
            <w:spacing w:before="0"/>
            <w:rPr>
              <w:sz w:val="16"/>
              <w:szCs w:val="16"/>
            </w:rPr>
          </w:pPr>
        </w:p>
      </w:tc>
    </w:tr>
    <w:tr w:rsidR="00AE548E" w:rsidTr="00AD2DCA">
      <w:trPr>
        <w:trHeight w:val="389"/>
      </w:trPr>
      <w:tc>
        <w:tcPr>
          <w:tcW w:w="2127" w:type="dxa"/>
          <w:gridSpan w:val="2"/>
          <w:vMerge/>
        </w:tcPr>
        <w:p w:rsidR="00AE548E" w:rsidRDefault="00AE548E" w:rsidP="00AE548E">
          <w:pPr>
            <w:pStyle w:val="Kopfzeile"/>
            <w:pBdr>
              <w:bottom w:val="none" w:sz="0" w:space="0" w:color="auto"/>
            </w:pBdr>
          </w:pPr>
        </w:p>
      </w:tc>
      <w:tc>
        <w:tcPr>
          <w:tcW w:w="3402" w:type="dxa"/>
          <w:gridSpan w:val="2"/>
          <w:vMerge/>
        </w:tcPr>
        <w:p w:rsidR="00AE548E" w:rsidRDefault="00AE548E" w:rsidP="00AE548E">
          <w:pPr>
            <w:pStyle w:val="Kopfzeile"/>
            <w:pBdr>
              <w:bottom w:val="none" w:sz="0" w:space="0" w:color="auto"/>
            </w:pBdr>
          </w:pPr>
        </w:p>
      </w:tc>
      <w:tc>
        <w:tcPr>
          <w:tcW w:w="2126" w:type="dxa"/>
          <w:tcBorders>
            <w:top w:val="single" w:sz="4" w:space="0" w:color="auto"/>
            <w:right w:val="nil"/>
          </w:tcBorders>
        </w:tcPr>
        <w:p w:rsidR="00AE548E" w:rsidRPr="00D72D04" w:rsidRDefault="00AE548E" w:rsidP="00AE548E">
          <w:pPr>
            <w:pStyle w:val="Kopfzeile"/>
            <w:pBdr>
              <w:bottom w:val="none" w:sz="0" w:space="0" w:color="auto"/>
            </w:pBdr>
            <w:spacing w:before="0"/>
            <w:jc w:val="left"/>
            <w:rPr>
              <w:sz w:val="16"/>
            </w:rPr>
          </w:pPr>
          <w:r w:rsidRPr="00D72D04">
            <w:rPr>
              <w:sz w:val="16"/>
            </w:rPr>
            <w:t>Datum der Bearbeitung:</w:t>
          </w:r>
        </w:p>
      </w:tc>
      <w:tc>
        <w:tcPr>
          <w:tcW w:w="1417" w:type="dxa"/>
          <w:tcBorders>
            <w:top w:val="single" w:sz="4" w:space="0" w:color="auto"/>
            <w:left w:val="nil"/>
          </w:tcBorders>
        </w:tcPr>
        <w:p w:rsidR="00AE548E" w:rsidRDefault="00AE548E" w:rsidP="00AE548E">
          <w:pPr>
            <w:pStyle w:val="Kopfzeile"/>
            <w:pBdr>
              <w:bottom w:val="none" w:sz="0" w:space="0" w:color="auto"/>
            </w:pBdr>
            <w:spacing w:before="0"/>
          </w:pPr>
        </w:p>
      </w:tc>
    </w:tr>
  </w:tbl>
  <w:p w:rsidR="00115E8F" w:rsidRPr="00E54C4E" w:rsidRDefault="00115E8F" w:rsidP="00AE548E">
    <w:pPr>
      <w:pStyle w:val="Kopfzeile"/>
      <w:pBdr>
        <w:bottom w:val="none" w:sz="0" w:space="0" w:color="auto"/>
      </w:pBdr>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8" w15:restartNumberingAfterBreak="0">
    <w:nsid w:val="03F20C2C"/>
    <w:multiLevelType w:val="hybridMultilevel"/>
    <w:tmpl w:val="5EE4C02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9" w15:restartNumberingAfterBreak="0">
    <w:nsid w:val="0A16220E"/>
    <w:multiLevelType w:val="hybridMultilevel"/>
    <w:tmpl w:val="72E40CF2"/>
    <w:lvl w:ilvl="0" w:tplc="1A5211CC">
      <w:start w:val="1"/>
      <w:numFmt w:val="decimal"/>
      <w:lvlText w:val="%1."/>
      <w:lvlJc w:val="lef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C7D592A"/>
    <w:multiLevelType w:val="hybridMultilevel"/>
    <w:tmpl w:val="D48EDEBE"/>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2"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3" w15:restartNumberingAfterBreak="0">
    <w:nsid w:val="1A7E0884"/>
    <w:multiLevelType w:val="hybridMultilevel"/>
    <w:tmpl w:val="AA76FFAE"/>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AA14DF7"/>
    <w:multiLevelType w:val="hybridMultilevel"/>
    <w:tmpl w:val="77DE1F2C"/>
    <w:lvl w:ilvl="0" w:tplc="CFCA15D8">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3AD5FF7"/>
    <w:multiLevelType w:val="hybridMultilevel"/>
    <w:tmpl w:val="B42C6DDE"/>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632026B"/>
    <w:multiLevelType w:val="hybridMultilevel"/>
    <w:tmpl w:val="C1EAD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C26238"/>
    <w:multiLevelType w:val="hybridMultilevel"/>
    <w:tmpl w:val="7A26A4EE"/>
    <w:lvl w:ilvl="0" w:tplc="CFCA15D8">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29FC63D6"/>
    <w:multiLevelType w:val="hybridMultilevel"/>
    <w:tmpl w:val="C11C0AB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BEA6563"/>
    <w:multiLevelType w:val="hybridMultilevel"/>
    <w:tmpl w:val="ACE2D6D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2C974BDC"/>
    <w:multiLevelType w:val="hybridMultilevel"/>
    <w:tmpl w:val="3D544440"/>
    <w:lvl w:ilvl="0" w:tplc="7D2EEAF4">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E0127B5"/>
    <w:multiLevelType w:val="hybridMultilevel"/>
    <w:tmpl w:val="F6527154"/>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01B353D"/>
    <w:multiLevelType w:val="hybridMultilevel"/>
    <w:tmpl w:val="4D147462"/>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1030990"/>
    <w:multiLevelType w:val="hybridMultilevel"/>
    <w:tmpl w:val="22B6EF8A"/>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32286E6C"/>
    <w:multiLevelType w:val="hybridMultilevel"/>
    <w:tmpl w:val="D1CE4880"/>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411C17E6"/>
    <w:multiLevelType w:val="hybridMultilevel"/>
    <w:tmpl w:val="EA2C5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3B944B6"/>
    <w:multiLevelType w:val="hybridMultilevel"/>
    <w:tmpl w:val="98A2F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7764C58"/>
    <w:multiLevelType w:val="hybridMultilevel"/>
    <w:tmpl w:val="479466F6"/>
    <w:lvl w:ilvl="0" w:tplc="A93E361A">
      <w:start w:val="1"/>
      <w:numFmt w:val="bullet"/>
      <w:lvlText w:val=""/>
      <w:lvlJc w:val="left"/>
      <w:pPr>
        <w:ind w:left="360" w:hanging="360"/>
      </w:pPr>
      <w:rPr>
        <w:rFonts w:ascii="Symbol" w:hAnsi="Symbol" w:hint="default"/>
        <w:spacing w:val="-560"/>
        <w:u w:color="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91B599D"/>
    <w:multiLevelType w:val="hybridMultilevel"/>
    <w:tmpl w:val="615EB476"/>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4AB4319B"/>
    <w:multiLevelType w:val="hybridMultilevel"/>
    <w:tmpl w:val="6F20BC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7800FA8"/>
    <w:multiLevelType w:val="hybridMultilevel"/>
    <w:tmpl w:val="B336B516"/>
    <w:lvl w:ilvl="0" w:tplc="CFCA15D8">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B504C2B"/>
    <w:multiLevelType w:val="hybridMultilevel"/>
    <w:tmpl w:val="A0602F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B9D71DC"/>
    <w:multiLevelType w:val="hybridMultilevel"/>
    <w:tmpl w:val="4628C72E"/>
    <w:lvl w:ilvl="0" w:tplc="C92E87F4">
      <w:start w:val="1"/>
      <w:numFmt w:val="lowerLetter"/>
      <w:pStyle w:val="Aufzhlungszeichen2"/>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37" w15:restartNumberingAfterBreak="0">
    <w:nsid w:val="5DDE473C"/>
    <w:multiLevelType w:val="hybridMultilevel"/>
    <w:tmpl w:val="146CC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EEB1A39"/>
    <w:multiLevelType w:val="hybridMultilevel"/>
    <w:tmpl w:val="45621048"/>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667A15A6"/>
    <w:multiLevelType w:val="hybridMultilevel"/>
    <w:tmpl w:val="8A1003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AA32C93"/>
    <w:multiLevelType w:val="hybridMultilevel"/>
    <w:tmpl w:val="80A6D38C"/>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2212496"/>
    <w:multiLevelType w:val="hybridMultilevel"/>
    <w:tmpl w:val="A00EA120"/>
    <w:lvl w:ilvl="0" w:tplc="CFCA15D8">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747E6572"/>
    <w:multiLevelType w:val="hybridMultilevel"/>
    <w:tmpl w:val="382EAF74"/>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CD973BE"/>
    <w:multiLevelType w:val="hybridMultilevel"/>
    <w:tmpl w:val="0DB8B096"/>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D8A6FE6"/>
    <w:multiLevelType w:val="multilevel"/>
    <w:tmpl w:val="50121D20"/>
    <w:lvl w:ilvl="0">
      <w:start w:val="1"/>
      <w:numFmt w:val="decimal"/>
      <w:pStyle w:val="berschrift1"/>
      <w:lvlText w:val="%1."/>
      <w:lvlJc w:val="left"/>
      <w:pPr>
        <w:tabs>
          <w:tab w:val="num" w:pos="1105"/>
        </w:tabs>
        <w:ind w:left="1105" w:hanging="680"/>
      </w:pPr>
      <w:rPr>
        <w:rFonts w:ascii="Arial" w:eastAsiaTheme="minorHAnsi" w:hAnsi="Arial" w:cs="Arial" w:hint="default"/>
      </w:rPr>
    </w:lvl>
    <w:lvl w:ilvl="1">
      <w:start w:val="1"/>
      <w:numFmt w:val="decimal"/>
      <w:pStyle w:val="berschrift2"/>
      <w:lvlText w:val="%1.%2"/>
      <w:lvlJc w:val="left"/>
      <w:pPr>
        <w:tabs>
          <w:tab w:val="num" w:pos="1105"/>
        </w:tabs>
        <w:ind w:left="1105" w:hanging="680"/>
      </w:pPr>
    </w:lvl>
    <w:lvl w:ilvl="2">
      <w:start w:val="1"/>
      <w:numFmt w:val="decimal"/>
      <w:pStyle w:val="berschrift3"/>
      <w:lvlText w:val="%1.%2.%3"/>
      <w:lvlJc w:val="left"/>
      <w:pPr>
        <w:tabs>
          <w:tab w:val="num" w:pos="1105"/>
        </w:tabs>
        <w:ind w:left="1105" w:hanging="68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433"/>
        </w:tabs>
        <w:ind w:left="1433" w:hanging="1008"/>
      </w:pPr>
    </w:lvl>
    <w:lvl w:ilvl="5">
      <w:start w:val="1"/>
      <w:numFmt w:val="decimal"/>
      <w:pStyle w:val="berschrift6"/>
      <w:lvlText w:val="%1.%2.%3.%4.%5.%6"/>
      <w:lvlJc w:val="left"/>
      <w:pPr>
        <w:tabs>
          <w:tab w:val="num" w:pos="1577"/>
        </w:tabs>
        <w:ind w:left="1577" w:hanging="1152"/>
      </w:pPr>
    </w:lvl>
    <w:lvl w:ilvl="6">
      <w:start w:val="1"/>
      <w:numFmt w:val="decimal"/>
      <w:pStyle w:val="berschrift7"/>
      <w:lvlText w:val="%1.%2.%3.%4.%5.%6.%7"/>
      <w:lvlJc w:val="left"/>
      <w:pPr>
        <w:tabs>
          <w:tab w:val="num" w:pos="1721"/>
        </w:tabs>
        <w:ind w:left="1721" w:hanging="1296"/>
      </w:pPr>
    </w:lvl>
    <w:lvl w:ilvl="7">
      <w:start w:val="1"/>
      <w:numFmt w:val="decimal"/>
      <w:pStyle w:val="berschrift8"/>
      <w:lvlText w:val="%1.%2.%3.%4.%5.%6.%7.%8"/>
      <w:lvlJc w:val="left"/>
      <w:pPr>
        <w:tabs>
          <w:tab w:val="num" w:pos="1865"/>
        </w:tabs>
        <w:ind w:left="1865" w:hanging="1440"/>
      </w:pPr>
    </w:lvl>
    <w:lvl w:ilvl="8">
      <w:start w:val="1"/>
      <w:numFmt w:val="decimal"/>
      <w:pStyle w:val="berschrift9"/>
      <w:lvlText w:val="%1.%2.%3.%4.%5.%6.%7.%8.%9"/>
      <w:lvlJc w:val="left"/>
      <w:pPr>
        <w:tabs>
          <w:tab w:val="num" w:pos="2585"/>
        </w:tabs>
        <w:ind w:left="2009" w:hanging="1584"/>
      </w:pPr>
    </w:lvl>
  </w:abstractNum>
  <w:num w:numId="1">
    <w:abstractNumId w:val="44"/>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36"/>
  </w:num>
  <w:num w:numId="12">
    <w:abstractNumId w:val="12"/>
  </w:num>
  <w:num w:numId="13">
    <w:abstractNumId w:val="15"/>
  </w:num>
  <w:num w:numId="14">
    <w:abstractNumId w:val="33"/>
  </w:num>
  <w:num w:numId="15">
    <w:abstractNumId w:val="19"/>
  </w:num>
  <w:num w:numId="16">
    <w:abstractNumId w:val="16"/>
  </w:num>
  <w:num w:numId="17">
    <w:abstractNumId w:val="40"/>
  </w:num>
  <w:num w:numId="18">
    <w:abstractNumId w:val="32"/>
  </w:num>
  <w:num w:numId="19">
    <w:abstractNumId w:val="41"/>
  </w:num>
  <w:num w:numId="20">
    <w:abstractNumId w:val="35"/>
  </w:num>
  <w:num w:numId="21">
    <w:abstractNumId w:val="20"/>
  </w:num>
  <w:num w:numId="22">
    <w:abstractNumId w:val="31"/>
  </w:num>
  <w:num w:numId="23">
    <w:abstractNumId w:val="26"/>
  </w:num>
  <w:num w:numId="24">
    <w:abstractNumId w:val="22"/>
  </w:num>
  <w:num w:numId="25">
    <w:abstractNumId w:val="42"/>
  </w:num>
  <w:num w:numId="26">
    <w:abstractNumId w:val="13"/>
  </w:num>
  <w:num w:numId="27">
    <w:abstractNumId w:val="27"/>
  </w:num>
  <w:num w:numId="28">
    <w:abstractNumId w:val="25"/>
  </w:num>
  <w:num w:numId="29">
    <w:abstractNumId w:val="43"/>
  </w:num>
  <w:num w:numId="30">
    <w:abstractNumId w:val="38"/>
  </w:num>
  <w:num w:numId="31">
    <w:abstractNumId w:val="21"/>
  </w:num>
  <w:num w:numId="32">
    <w:abstractNumId w:val="34"/>
  </w:num>
  <w:num w:numId="33">
    <w:abstractNumId w:val="14"/>
  </w:num>
  <w:num w:numId="34">
    <w:abstractNumId w:val="17"/>
  </w:num>
  <w:num w:numId="35">
    <w:abstractNumId w:val="24"/>
  </w:num>
  <w:num w:numId="36">
    <w:abstractNumId w:val="10"/>
  </w:num>
  <w:num w:numId="37">
    <w:abstractNumId w:val="30"/>
  </w:num>
  <w:num w:numId="38">
    <w:abstractNumId w:val="18"/>
  </w:num>
  <w:num w:numId="39">
    <w:abstractNumId w:val="37"/>
  </w:num>
  <w:num w:numId="40">
    <w:abstractNumId w:val="8"/>
  </w:num>
  <w:num w:numId="41">
    <w:abstractNumId w:val="28"/>
  </w:num>
  <w:num w:numId="42">
    <w:abstractNumId w:val="9"/>
  </w:num>
  <w:num w:numId="43">
    <w:abstractNumId w:val="39"/>
  </w:num>
  <w:num w:numId="44">
    <w:abstractNumId w:val="29"/>
  </w:num>
  <w:num w:numId="45">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BB"/>
    <w:rsid w:val="00002230"/>
    <w:rsid w:val="00002EED"/>
    <w:rsid w:val="000030A9"/>
    <w:rsid w:val="00007A2A"/>
    <w:rsid w:val="0001410F"/>
    <w:rsid w:val="0001477C"/>
    <w:rsid w:val="0002748A"/>
    <w:rsid w:val="0003242D"/>
    <w:rsid w:val="00033C5C"/>
    <w:rsid w:val="00034DF0"/>
    <w:rsid w:val="0004061E"/>
    <w:rsid w:val="000503CF"/>
    <w:rsid w:val="0005326E"/>
    <w:rsid w:val="000609DD"/>
    <w:rsid w:val="000616B8"/>
    <w:rsid w:val="00064F40"/>
    <w:rsid w:val="00073753"/>
    <w:rsid w:val="00075E7C"/>
    <w:rsid w:val="00080B9A"/>
    <w:rsid w:val="00086B8A"/>
    <w:rsid w:val="0009344D"/>
    <w:rsid w:val="00097B2B"/>
    <w:rsid w:val="000A34C3"/>
    <w:rsid w:val="000A5F66"/>
    <w:rsid w:val="000B1337"/>
    <w:rsid w:val="000D1EBA"/>
    <w:rsid w:val="000D2BD6"/>
    <w:rsid w:val="000E26F7"/>
    <w:rsid w:val="000F20AD"/>
    <w:rsid w:val="001048D6"/>
    <w:rsid w:val="00111AC6"/>
    <w:rsid w:val="00115E8F"/>
    <w:rsid w:val="001205E2"/>
    <w:rsid w:val="00121205"/>
    <w:rsid w:val="0012142A"/>
    <w:rsid w:val="00121E19"/>
    <w:rsid w:val="00143F11"/>
    <w:rsid w:val="00165A53"/>
    <w:rsid w:val="00180880"/>
    <w:rsid w:val="001813A6"/>
    <w:rsid w:val="00184E10"/>
    <w:rsid w:val="00185B94"/>
    <w:rsid w:val="00193EBD"/>
    <w:rsid w:val="00194734"/>
    <w:rsid w:val="0019585B"/>
    <w:rsid w:val="001A1B58"/>
    <w:rsid w:val="001B3F50"/>
    <w:rsid w:val="001B4C6C"/>
    <w:rsid w:val="001B7E25"/>
    <w:rsid w:val="001C0D6B"/>
    <w:rsid w:val="001C1789"/>
    <w:rsid w:val="001C7FAD"/>
    <w:rsid w:val="001D0DAA"/>
    <w:rsid w:val="001D22E2"/>
    <w:rsid w:val="001E1F96"/>
    <w:rsid w:val="001E29AB"/>
    <w:rsid w:val="001E38E2"/>
    <w:rsid w:val="001E7A82"/>
    <w:rsid w:val="001F04DD"/>
    <w:rsid w:val="002065BE"/>
    <w:rsid w:val="0021047B"/>
    <w:rsid w:val="00213C34"/>
    <w:rsid w:val="002200D6"/>
    <w:rsid w:val="0022234F"/>
    <w:rsid w:val="002323D1"/>
    <w:rsid w:val="00234DA9"/>
    <w:rsid w:val="00240A09"/>
    <w:rsid w:val="00257647"/>
    <w:rsid w:val="00264C94"/>
    <w:rsid w:val="002717FB"/>
    <w:rsid w:val="00274A37"/>
    <w:rsid w:val="002761EF"/>
    <w:rsid w:val="00277A5C"/>
    <w:rsid w:val="00283F41"/>
    <w:rsid w:val="00284FA6"/>
    <w:rsid w:val="00285560"/>
    <w:rsid w:val="00285C0D"/>
    <w:rsid w:val="00285D3D"/>
    <w:rsid w:val="00286D3F"/>
    <w:rsid w:val="00290924"/>
    <w:rsid w:val="0029592F"/>
    <w:rsid w:val="002966CD"/>
    <w:rsid w:val="002A064F"/>
    <w:rsid w:val="002B17CE"/>
    <w:rsid w:val="002B298F"/>
    <w:rsid w:val="002B37AC"/>
    <w:rsid w:val="002C6C12"/>
    <w:rsid w:val="002D088C"/>
    <w:rsid w:val="002D0908"/>
    <w:rsid w:val="002D7E2D"/>
    <w:rsid w:val="002F09D8"/>
    <w:rsid w:val="002F0A1A"/>
    <w:rsid w:val="002F6B99"/>
    <w:rsid w:val="002F771F"/>
    <w:rsid w:val="00304799"/>
    <w:rsid w:val="00305CD6"/>
    <w:rsid w:val="00307B5F"/>
    <w:rsid w:val="003112CD"/>
    <w:rsid w:val="00312BD6"/>
    <w:rsid w:val="0031332A"/>
    <w:rsid w:val="00334344"/>
    <w:rsid w:val="00340216"/>
    <w:rsid w:val="00342964"/>
    <w:rsid w:val="00352142"/>
    <w:rsid w:val="00360F3D"/>
    <w:rsid w:val="00364269"/>
    <w:rsid w:val="003731EE"/>
    <w:rsid w:val="00376DCD"/>
    <w:rsid w:val="00382BCD"/>
    <w:rsid w:val="00392ACA"/>
    <w:rsid w:val="003932A1"/>
    <w:rsid w:val="003A5651"/>
    <w:rsid w:val="003A6FEB"/>
    <w:rsid w:val="003B420D"/>
    <w:rsid w:val="003C4110"/>
    <w:rsid w:val="003D5301"/>
    <w:rsid w:val="003E15DC"/>
    <w:rsid w:val="003E348F"/>
    <w:rsid w:val="003E5835"/>
    <w:rsid w:val="003E6800"/>
    <w:rsid w:val="003F1B18"/>
    <w:rsid w:val="0041402E"/>
    <w:rsid w:val="004148C6"/>
    <w:rsid w:val="004248A0"/>
    <w:rsid w:val="00433509"/>
    <w:rsid w:val="00433B8D"/>
    <w:rsid w:val="00440124"/>
    <w:rsid w:val="00440D21"/>
    <w:rsid w:val="00445BB8"/>
    <w:rsid w:val="0044742E"/>
    <w:rsid w:val="00451CA3"/>
    <w:rsid w:val="00454705"/>
    <w:rsid w:val="00457F69"/>
    <w:rsid w:val="00463244"/>
    <w:rsid w:val="00465D75"/>
    <w:rsid w:val="00465DB3"/>
    <w:rsid w:val="00465F89"/>
    <w:rsid w:val="004666FA"/>
    <w:rsid w:val="00476CB6"/>
    <w:rsid w:val="0048292A"/>
    <w:rsid w:val="004867BC"/>
    <w:rsid w:val="0049126F"/>
    <w:rsid w:val="004B2234"/>
    <w:rsid w:val="004B5526"/>
    <w:rsid w:val="004B5A8E"/>
    <w:rsid w:val="004B6415"/>
    <w:rsid w:val="004C3F5D"/>
    <w:rsid w:val="004C60FF"/>
    <w:rsid w:val="004D43D5"/>
    <w:rsid w:val="004D6C91"/>
    <w:rsid w:val="004E659D"/>
    <w:rsid w:val="004E699D"/>
    <w:rsid w:val="004F1C26"/>
    <w:rsid w:val="004F1E92"/>
    <w:rsid w:val="005010BE"/>
    <w:rsid w:val="0050152B"/>
    <w:rsid w:val="00501CCC"/>
    <w:rsid w:val="005060F4"/>
    <w:rsid w:val="00507934"/>
    <w:rsid w:val="005110C4"/>
    <w:rsid w:val="00516C43"/>
    <w:rsid w:val="0052103B"/>
    <w:rsid w:val="005218DB"/>
    <w:rsid w:val="00525CDB"/>
    <w:rsid w:val="00527267"/>
    <w:rsid w:val="00534A4B"/>
    <w:rsid w:val="00536C62"/>
    <w:rsid w:val="005473EF"/>
    <w:rsid w:val="0055136F"/>
    <w:rsid w:val="0055156D"/>
    <w:rsid w:val="0055177D"/>
    <w:rsid w:val="00554103"/>
    <w:rsid w:val="005557FE"/>
    <w:rsid w:val="00561E64"/>
    <w:rsid w:val="00566C21"/>
    <w:rsid w:val="00567521"/>
    <w:rsid w:val="00575A43"/>
    <w:rsid w:val="00575A5F"/>
    <w:rsid w:val="00575B41"/>
    <w:rsid w:val="00583AA1"/>
    <w:rsid w:val="005913EC"/>
    <w:rsid w:val="005921A2"/>
    <w:rsid w:val="005967E6"/>
    <w:rsid w:val="0059751B"/>
    <w:rsid w:val="005B57D7"/>
    <w:rsid w:val="005B7F7F"/>
    <w:rsid w:val="005C1C85"/>
    <w:rsid w:val="005C39B1"/>
    <w:rsid w:val="005C5708"/>
    <w:rsid w:val="005C6BDE"/>
    <w:rsid w:val="005D1825"/>
    <w:rsid w:val="005D26BD"/>
    <w:rsid w:val="005D2A74"/>
    <w:rsid w:val="005E07BD"/>
    <w:rsid w:val="005E7803"/>
    <w:rsid w:val="005F6F40"/>
    <w:rsid w:val="006167FE"/>
    <w:rsid w:val="00622432"/>
    <w:rsid w:val="00626D7D"/>
    <w:rsid w:val="00632C1A"/>
    <w:rsid w:val="00644BDB"/>
    <w:rsid w:val="006454CF"/>
    <w:rsid w:val="006511C4"/>
    <w:rsid w:val="0065198F"/>
    <w:rsid w:val="006521FF"/>
    <w:rsid w:val="0066511F"/>
    <w:rsid w:val="00665F75"/>
    <w:rsid w:val="0066763B"/>
    <w:rsid w:val="00670CE8"/>
    <w:rsid w:val="00671439"/>
    <w:rsid w:val="00684B37"/>
    <w:rsid w:val="006C4228"/>
    <w:rsid w:val="006D45A1"/>
    <w:rsid w:val="006E24F6"/>
    <w:rsid w:val="006E2787"/>
    <w:rsid w:val="006E49E2"/>
    <w:rsid w:val="006E7126"/>
    <w:rsid w:val="006E7FEB"/>
    <w:rsid w:val="006F3ABB"/>
    <w:rsid w:val="00700C9E"/>
    <w:rsid w:val="007026D1"/>
    <w:rsid w:val="007106E0"/>
    <w:rsid w:val="00711AB6"/>
    <w:rsid w:val="00716DD5"/>
    <w:rsid w:val="00720E5C"/>
    <w:rsid w:val="00742EA1"/>
    <w:rsid w:val="00744316"/>
    <w:rsid w:val="00744772"/>
    <w:rsid w:val="007460F3"/>
    <w:rsid w:val="00746E92"/>
    <w:rsid w:val="007506E6"/>
    <w:rsid w:val="00754D9A"/>
    <w:rsid w:val="007626C5"/>
    <w:rsid w:val="00763FC1"/>
    <w:rsid w:val="007648E0"/>
    <w:rsid w:val="00765666"/>
    <w:rsid w:val="007666DB"/>
    <w:rsid w:val="00771B5D"/>
    <w:rsid w:val="0077219B"/>
    <w:rsid w:val="0078728B"/>
    <w:rsid w:val="00790130"/>
    <w:rsid w:val="00796513"/>
    <w:rsid w:val="007A060E"/>
    <w:rsid w:val="007A3929"/>
    <w:rsid w:val="007A3E0C"/>
    <w:rsid w:val="007B1945"/>
    <w:rsid w:val="007C0C96"/>
    <w:rsid w:val="007C48EB"/>
    <w:rsid w:val="007D3976"/>
    <w:rsid w:val="007E0249"/>
    <w:rsid w:val="007F3A7C"/>
    <w:rsid w:val="007F62B9"/>
    <w:rsid w:val="007F7447"/>
    <w:rsid w:val="00801B27"/>
    <w:rsid w:val="00802ED4"/>
    <w:rsid w:val="00805892"/>
    <w:rsid w:val="0080773A"/>
    <w:rsid w:val="0081072B"/>
    <w:rsid w:val="00814963"/>
    <w:rsid w:val="00823BAD"/>
    <w:rsid w:val="008248D3"/>
    <w:rsid w:val="00841BCF"/>
    <w:rsid w:val="008471C9"/>
    <w:rsid w:val="0085471F"/>
    <w:rsid w:val="00855B99"/>
    <w:rsid w:val="00862BD7"/>
    <w:rsid w:val="00862DDF"/>
    <w:rsid w:val="00870FFE"/>
    <w:rsid w:val="0087191D"/>
    <w:rsid w:val="00872C95"/>
    <w:rsid w:val="00872F5F"/>
    <w:rsid w:val="0087591D"/>
    <w:rsid w:val="008778E7"/>
    <w:rsid w:val="0088020C"/>
    <w:rsid w:val="00884570"/>
    <w:rsid w:val="008858CB"/>
    <w:rsid w:val="008916D1"/>
    <w:rsid w:val="00891EEA"/>
    <w:rsid w:val="008976BA"/>
    <w:rsid w:val="008A5560"/>
    <w:rsid w:val="008A791C"/>
    <w:rsid w:val="008C44B0"/>
    <w:rsid w:val="008D1A8E"/>
    <w:rsid w:val="008D21CF"/>
    <w:rsid w:val="008E0D82"/>
    <w:rsid w:val="008E0FAA"/>
    <w:rsid w:val="008E0FC7"/>
    <w:rsid w:val="008E42C1"/>
    <w:rsid w:val="008E7739"/>
    <w:rsid w:val="008F75E7"/>
    <w:rsid w:val="00905F9B"/>
    <w:rsid w:val="009075A9"/>
    <w:rsid w:val="00911D73"/>
    <w:rsid w:val="009212B4"/>
    <w:rsid w:val="00970211"/>
    <w:rsid w:val="00975A1A"/>
    <w:rsid w:val="009760D0"/>
    <w:rsid w:val="009842CF"/>
    <w:rsid w:val="0099236A"/>
    <w:rsid w:val="009A6529"/>
    <w:rsid w:val="009A6E64"/>
    <w:rsid w:val="009B4C2B"/>
    <w:rsid w:val="009B5B81"/>
    <w:rsid w:val="009C22C0"/>
    <w:rsid w:val="009C2FF2"/>
    <w:rsid w:val="009C6EFB"/>
    <w:rsid w:val="009C7757"/>
    <w:rsid w:val="009D07D3"/>
    <w:rsid w:val="009D429E"/>
    <w:rsid w:val="009E1FB1"/>
    <w:rsid w:val="009E6D47"/>
    <w:rsid w:val="009F0E11"/>
    <w:rsid w:val="009F6E01"/>
    <w:rsid w:val="00A00166"/>
    <w:rsid w:val="00A06317"/>
    <w:rsid w:val="00A14495"/>
    <w:rsid w:val="00A237ED"/>
    <w:rsid w:val="00A31197"/>
    <w:rsid w:val="00A42664"/>
    <w:rsid w:val="00A5114A"/>
    <w:rsid w:val="00A536C3"/>
    <w:rsid w:val="00A613A1"/>
    <w:rsid w:val="00A649A3"/>
    <w:rsid w:val="00A7113B"/>
    <w:rsid w:val="00A75CE3"/>
    <w:rsid w:val="00A8486F"/>
    <w:rsid w:val="00A86815"/>
    <w:rsid w:val="00A87FE5"/>
    <w:rsid w:val="00A946ED"/>
    <w:rsid w:val="00AA65D6"/>
    <w:rsid w:val="00AB5C71"/>
    <w:rsid w:val="00AC17EE"/>
    <w:rsid w:val="00AE290A"/>
    <w:rsid w:val="00AE548E"/>
    <w:rsid w:val="00AF1983"/>
    <w:rsid w:val="00B13741"/>
    <w:rsid w:val="00B15817"/>
    <w:rsid w:val="00B1680D"/>
    <w:rsid w:val="00B22993"/>
    <w:rsid w:val="00B261B2"/>
    <w:rsid w:val="00B312BF"/>
    <w:rsid w:val="00B43E31"/>
    <w:rsid w:val="00B53629"/>
    <w:rsid w:val="00B6345C"/>
    <w:rsid w:val="00B73242"/>
    <w:rsid w:val="00B77530"/>
    <w:rsid w:val="00B91410"/>
    <w:rsid w:val="00BA02EC"/>
    <w:rsid w:val="00BA1533"/>
    <w:rsid w:val="00BA1564"/>
    <w:rsid w:val="00BA1750"/>
    <w:rsid w:val="00BA7590"/>
    <w:rsid w:val="00BC4BA9"/>
    <w:rsid w:val="00BC6A51"/>
    <w:rsid w:val="00BC7A1A"/>
    <w:rsid w:val="00BD2864"/>
    <w:rsid w:val="00BD37FF"/>
    <w:rsid w:val="00BD62C0"/>
    <w:rsid w:val="00BE243B"/>
    <w:rsid w:val="00BE368B"/>
    <w:rsid w:val="00BF0354"/>
    <w:rsid w:val="00BF2B89"/>
    <w:rsid w:val="00BF7EB9"/>
    <w:rsid w:val="00C24E59"/>
    <w:rsid w:val="00C30D7D"/>
    <w:rsid w:val="00C32739"/>
    <w:rsid w:val="00C35B6C"/>
    <w:rsid w:val="00C43D74"/>
    <w:rsid w:val="00C452A1"/>
    <w:rsid w:val="00C470A2"/>
    <w:rsid w:val="00C569CE"/>
    <w:rsid w:val="00C61048"/>
    <w:rsid w:val="00C80002"/>
    <w:rsid w:val="00C8522D"/>
    <w:rsid w:val="00C91AC1"/>
    <w:rsid w:val="00C940C7"/>
    <w:rsid w:val="00CA5FDE"/>
    <w:rsid w:val="00CA6FFC"/>
    <w:rsid w:val="00CB24C7"/>
    <w:rsid w:val="00CB490D"/>
    <w:rsid w:val="00CC09BD"/>
    <w:rsid w:val="00CC19EF"/>
    <w:rsid w:val="00CD1A9A"/>
    <w:rsid w:val="00CD4117"/>
    <w:rsid w:val="00CD49C1"/>
    <w:rsid w:val="00CE73C2"/>
    <w:rsid w:val="00D13BD1"/>
    <w:rsid w:val="00D15F57"/>
    <w:rsid w:val="00D36B9E"/>
    <w:rsid w:val="00D40AA8"/>
    <w:rsid w:val="00D43267"/>
    <w:rsid w:val="00D43E36"/>
    <w:rsid w:val="00D45365"/>
    <w:rsid w:val="00D50BA9"/>
    <w:rsid w:val="00D51976"/>
    <w:rsid w:val="00D51F75"/>
    <w:rsid w:val="00D61222"/>
    <w:rsid w:val="00D66AF7"/>
    <w:rsid w:val="00D67A77"/>
    <w:rsid w:val="00D72D04"/>
    <w:rsid w:val="00D822E3"/>
    <w:rsid w:val="00DA6374"/>
    <w:rsid w:val="00DA70BE"/>
    <w:rsid w:val="00DB3534"/>
    <w:rsid w:val="00DB3B77"/>
    <w:rsid w:val="00DC44D7"/>
    <w:rsid w:val="00DC5CF9"/>
    <w:rsid w:val="00DD0FDA"/>
    <w:rsid w:val="00DD3447"/>
    <w:rsid w:val="00DD5810"/>
    <w:rsid w:val="00DD687E"/>
    <w:rsid w:val="00DE10AB"/>
    <w:rsid w:val="00DE2B44"/>
    <w:rsid w:val="00DE579C"/>
    <w:rsid w:val="00DE61EC"/>
    <w:rsid w:val="00DF5A92"/>
    <w:rsid w:val="00E016C0"/>
    <w:rsid w:val="00E1093E"/>
    <w:rsid w:val="00E211D2"/>
    <w:rsid w:val="00E25DB8"/>
    <w:rsid w:val="00E318F9"/>
    <w:rsid w:val="00E31AD1"/>
    <w:rsid w:val="00E342CA"/>
    <w:rsid w:val="00E359CA"/>
    <w:rsid w:val="00E368C3"/>
    <w:rsid w:val="00E50734"/>
    <w:rsid w:val="00E54C4E"/>
    <w:rsid w:val="00E54CF5"/>
    <w:rsid w:val="00E57522"/>
    <w:rsid w:val="00E57793"/>
    <w:rsid w:val="00E6105D"/>
    <w:rsid w:val="00E61BCD"/>
    <w:rsid w:val="00E74E88"/>
    <w:rsid w:val="00E77518"/>
    <w:rsid w:val="00E942AC"/>
    <w:rsid w:val="00EA2ACF"/>
    <w:rsid w:val="00EA74B3"/>
    <w:rsid w:val="00EB33D1"/>
    <w:rsid w:val="00EC00F0"/>
    <w:rsid w:val="00EE217B"/>
    <w:rsid w:val="00EF0772"/>
    <w:rsid w:val="00EF2558"/>
    <w:rsid w:val="00F029CC"/>
    <w:rsid w:val="00F02A61"/>
    <w:rsid w:val="00F14CC4"/>
    <w:rsid w:val="00F16E10"/>
    <w:rsid w:val="00F20DA9"/>
    <w:rsid w:val="00F21ACD"/>
    <w:rsid w:val="00F2421E"/>
    <w:rsid w:val="00F3121A"/>
    <w:rsid w:val="00F32442"/>
    <w:rsid w:val="00F35160"/>
    <w:rsid w:val="00F35247"/>
    <w:rsid w:val="00F37E87"/>
    <w:rsid w:val="00F43427"/>
    <w:rsid w:val="00F47051"/>
    <w:rsid w:val="00F508B7"/>
    <w:rsid w:val="00F51F9C"/>
    <w:rsid w:val="00F52962"/>
    <w:rsid w:val="00F579A0"/>
    <w:rsid w:val="00F607DD"/>
    <w:rsid w:val="00F624CA"/>
    <w:rsid w:val="00F672A4"/>
    <w:rsid w:val="00F67FF5"/>
    <w:rsid w:val="00F71476"/>
    <w:rsid w:val="00F84850"/>
    <w:rsid w:val="00F87375"/>
    <w:rsid w:val="00F90867"/>
    <w:rsid w:val="00F920AB"/>
    <w:rsid w:val="00FA1E51"/>
    <w:rsid w:val="00FA5641"/>
    <w:rsid w:val="00FA676E"/>
    <w:rsid w:val="00FA785F"/>
    <w:rsid w:val="00FA7FCA"/>
    <w:rsid w:val="00FB19BE"/>
    <w:rsid w:val="00FB74D4"/>
    <w:rsid w:val="00FB7895"/>
    <w:rsid w:val="00FC1CFB"/>
    <w:rsid w:val="00FC26DF"/>
    <w:rsid w:val="00FC2E61"/>
    <w:rsid w:val="00FD0600"/>
    <w:rsid w:val="00FD18DB"/>
    <w:rsid w:val="00FD2A89"/>
    <w:rsid w:val="00FD6CCC"/>
    <w:rsid w:val="00FE431A"/>
    <w:rsid w:val="00FE65A7"/>
    <w:rsid w:val="00FE7141"/>
    <w:rsid w:val="00FF58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C623F9A"/>
  <w15:docId w15:val="{544D5AC6-66D1-4951-A803-5AFFA5DD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qFormat/>
    <w:rsid w:val="00364269"/>
    <w:pPr>
      <w:keepNext/>
      <w:pageBreakBefore/>
      <w:numPr>
        <w:numId w:val="1"/>
      </w:numPr>
      <w:tabs>
        <w:tab w:val="num" w:pos="709"/>
      </w:tabs>
      <w:suppressAutoHyphens/>
      <w:spacing w:before="0"/>
      <w:ind w:left="709" w:hanging="709"/>
      <w:jc w:val="left"/>
      <w:outlineLvl w:val="0"/>
    </w:pPr>
    <w:rPr>
      <w:rFonts w:ascii="Futura Md BT" w:hAnsi="Futura Md BT"/>
      <w:b/>
      <w:color w:val="00A7DE"/>
      <w:kern w:val="28"/>
      <w:sz w:val="32"/>
    </w:rPr>
  </w:style>
  <w:style w:type="paragraph" w:styleId="berschrift2">
    <w:name w:val="heading 2"/>
    <w:basedOn w:val="berschrift1"/>
    <w:next w:val="Standardeinzug"/>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qFormat/>
    <w:rsid w:val="00CB24C7"/>
    <w:pPr>
      <w:numPr>
        <w:ilvl w:val="2"/>
      </w:numPr>
      <w:spacing w:before="360"/>
      <w:ind w:left="709" w:hanging="709"/>
      <w:outlineLvl w:val="2"/>
    </w:pPr>
    <w:rPr>
      <w:sz w:val="24"/>
    </w:rPr>
  </w:style>
  <w:style w:type="paragraph" w:styleId="berschrift4">
    <w:name w:val="heading 4"/>
    <w:basedOn w:val="berschrift3"/>
    <w:next w:val="Standardeinzug"/>
    <w:qFormat/>
    <w:pPr>
      <w:numPr>
        <w:ilvl w:val="3"/>
      </w:numPr>
      <w:spacing w:before="240"/>
      <w:ind w:left="720" w:hanging="720"/>
      <w:outlineLvl w:val="3"/>
    </w:pPr>
    <w:rPr>
      <w:b w:val="0"/>
    </w:rPr>
  </w:style>
  <w:style w:type="paragraph" w:styleId="berschrift5">
    <w:name w:val="heading 5"/>
    <w:basedOn w:val="berschrift4"/>
    <w:next w:val="Standard"/>
    <w:pPr>
      <w:numPr>
        <w:ilvl w:val="4"/>
      </w:numPr>
      <w:ind w:left="720" w:hanging="720"/>
      <w:outlineLvl w:val="4"/>
    </w:pPr>
  </w:style>
  <w:style w:type="paragraph" w:styleId="berschrift6">
    <w:name w:val="heading 6"/>
    <w:basedOn w:val="berschrift5"/>
    <w:next w:val="Standard"/>
    <w:pPr>
      <w:numPr>
        <w:ilvl w:val="5"/>
      </w:numPr>
      <w:ind w:left="720" w:hanging="720"/>
      <w:outlineLvl w:val="5"/>
    </w:pPr>
  </w:style>
  <w:style w:type="paragraph" w:styleId="berschrift7">
    <w:name w:val="heading 7"/>
    <w:basedOn w:val="berschrift6"/>
    <w:next w:val="Standard"/>
    <w:pPr>
      <w:numPr>
        <w:ilvl w:val="6"/>
      </w:numPr>
      <w:ind w:left="720" w:hanging="720"/>
      <w:outlineLvl w:val="6"/>
    </w:pPr>
  </w:style>
  <w:style w:type="paragraph" w:styleId="berschrift8">
    <w:name w:val="heading 8"/>
    <w:basedOn w:val="berschrift7"/>
    <w:next w:val="Standard"/>
    <w:pPr>
      <w:numPr>
        <w:ilvl w:val="7"/>
      </w:numPr>
      <w:ind w:left="720" w:hanging="720"/>
      <w:outlineLvl w:val="7"/>
    </w:pPr>
  </w:style>
  <w:style w:type="paragraph" w:styleId="berschrift9">
    <w:name w:val="heading 9"/>
    <w:basedOn w:val="berschrift8"/>
    <w:next w:val="Standard"/>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semiHidden/>
    <w:qFormat/>
    <w:rsid w:val="001E1F96"/>
    <w:pPr>
      <w:tabs>
        <w:tab w:val="left" w:pos="142"/>
      </w:tabs>
      <w:spacing w:before="60"/>
      <w:ind w:left="108" w:hanging="108"/>
      <w:jc w:val="left"/>
    </w:pPr>
    <w:rPr>
      <w:sz w:val="14"/>
    </w:rPr>
  </w:style>
  <w:style w:type="paragraph" w:styleId="Kopfzeile">
    <w:name w:val="header"/>
    <w:basedOn w:val="Standard"/>
    <w:semiHidden/>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numPr>
        <w:numId w:val="11"/>
      </w:numPr>
      <w:spacing w:before="60" w:after="60"/>
      <w:ind w:left="1134" w:hanging="42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ind w:left="1134" w:hanging="42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numPr>
        <w:numId w:val="0"/>
      </w:numPr>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 w:type="paragraph" w:customStyle="1" w:styleId="Text">
    <w:name w:val="Text"/>
    <w:basedOn w:val="Standard"/>
    <w:rsid w:val="000503CF"/>
    <w:pPr>
      <w:spacing w:before="0" w:after="60"/>
      <w:jc w:val="left"/>
    </w:pPr>
    <w:rPr>
      <w:rFonts w:ascii="Arial" w:hAnsi="Arial"/>
    </w:rPr>
  </w:style>
  <w:style w:type="paragraph" w:customStyle="1" w:styleId="TabBeschr">
    <w:name w:val="Tab_Beschr"/>
    <w:basedOn w:val="Standard"/>
    <w:rsid w:val="000503CF"/>
    <w:pPr>
      <w:spacing w:before="0"/>
      <w:jc w:val="left"/>
    </w:pPr>
    <w:rPr>
      <w:rFonts w:ascii="Arial" w:hAnsi="Arial"/>
      <w:b/>
      <w:sz w:val="20"/>
    </w:rPr>
  </w:style>
  <w:style w:type="paragraph" w:customStyle="1" w:styleId="Abstand">
    <w:name w:val="Abstand"/>
    <w:basedOn w:val="Standard"/>
    <w:rsid w:val="000503CF"/>
    <w:pPr>
      <w:spacing w:before="0"/>
      <w:jc w:val="left"/>
    </w:pPr>
    <w:rPr>
      <w:rFonts w:ascii="Arial" w:hAnsi="Arial"/>
      <w:sz w:val="16"/>
    </w:rPr>
  </w:style>
  <w:style w:type="paragraph" w:customStyle="1" w:styleId="Hinweisausgeblendet">
    <w:name w:val="Hinweis ausgeblendet"/>
    <w:basedOn w:val="Standard"/>
    <w:link w:val="HinweisausgeblendetZchn"/>
    <w:qFormat/>
    <w:rsid w:val="000503CF"/>
    <w:pPr>
      <w:spacing w:before="60"/>
      <w:jc w:val="left"/>
    </w:pPr>
    <w:rPr>
      <w:rFonts w:ascii="Arial" w:hAnsi="Arial" w:cs="Arial"/>
      <w:i/>
      <w:iCs/>
      <w:vanish/>
      <w:color w:val="0070C0"/>
    </w:rPr>
  </w:style>
  <w:style w:type="character" w:customStyle="1" w:styleId="HinweisausgeblendetZchn">
    <w:name w:val="Hinweis ausgeblendet Zchn"/>
    <w:link w:val="Hinweisausgeblendet"/>
    <w:rsid w:val="000503CF"/>
    <w:rPr>
      <w:rFonts w:ascii="Arial" w:hAnsi="Arial" w:cs="Arial"/>
      <w:i/>
      <w:iCs/>
      <w:vanish/>
      <w:color w:val="0070C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73083">
      <w:bodyDiv w:val="1"/>
      <w:marLeft w:val="0"/>
      <w:marRight w:val="0"/>
      <w:marTop w:val="0"/>
      <w:marBottom w:val="0"/>
      <w:divBdr>
        <w:top w:val="none" w:sz="0" w:space="0" w:color="auto"/>
        <w:left w:val="none" w:sz="0" w:space="0" w:color="auto"/>
        <w:bottom w:val="none" w:sz="0" w:space="0" w:color="auto"/>
        <w:right w:val="none" w:sz="0" w:space="0" w:color="auto"/>
      </w:divBdr>
    </w:div>
    <w:div w:id="224461672">
      <w:bodyDiv w:val="1"/>
      <w:marLeft w:val="0"/>
      <w:marRight w:val="0"/>
      <w:marTop w:val="0"/>
      <w:marBottom w:val="0"/>
      <w:divBdr>
        <w:top w:val="none" w:sz="0" w:space="0" w:color="auto"/>
        <w:left w:val="none" w:sz="0" w:space="0" w:color="auto"/>
        <w:bottom w:val="none" w:sz="0" w:space="0" w:color="auto"/>
        <w:right w:val="none" w:sz="0" w:space="0" w:color="auto"/>
      </w:divBdr>
    </w:div>
    <w:div w:id="407462449">
      <w:bodyDiv w:val="1"/>
      <w:marLeft w:val="0"/>
      <w:marRight w:val="0"/>
      <w:marTop w:val="0"/>
      <w:marBottom w:val="0"/>
      <w:divBdr>
        <w:top w:val="none" w:sz="0" w:space="0" w:color="auto"/>
        <w:left w:val="none" w:sz="0" w:space="0" w:color="auto"/>
        <w:bottom w:val="none" w:sz="0" w:space="0" w:color="auto"/>
        <w:right w:val="none" w:sz="0" w:space="0" w:color="auto"/>
      </w:divBdr>
    </w:div>
    <w:div w:id="662969654">
      <w:bodyDiv w:val="1"/>
      <w:marLeft w:val="0"/>
      <w:marRight w:val="0"/>
      <w:marTop w:val="0"/>
      <w:marBottom w:val="0"/>
      <w:divBdr>
        <w:top w:val="none" w:sz="0" w:space="0" w:color="auto"/>
        <w:left w:val="none" w:sz="0" w:space="0" w:color="auto"/>
        <w:bottom w:val="none" w:sz="0" w:space="0" w:color="auto"/>
        <w:right w:val="none" w:sz="0" w:space="0" w:color="auto"/>
      </w:divBdr>
    </w:div>
    <w:div w:id="1271009555">
      <w:bodyDiv w:val="1"/>
      <w:marLeft w:val="0"/>
      <w:marRight w:val="0"/>
      <w:marTop w:val="0"/>
      <w:marBottom w:val="0"/>
      <w:divBdr>
        <w:top w:val="none" w:sz="0" w:space="0" w:color="auto"/>
        <w:left w:val="none" w:sz="0" w:space="0" w:color="auto"/>
        <w:bottom w:val="none" w:sz="0" w:space="0" w:color="auto"/>
        <w:right w:val="none" w:sz="0" w:space="0" w:color="auto"/>
      </w:divBdr>
    </w:div>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FFC87F19-7793-4C0F-87B0-F3145EE5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2116</Words>
  <Characters>14773</Characters>
  <Application>Microsoft Office Word</Application>
  <DocSecurity>0</DocSecurity>
  <Lines>123</Lines>
  <Paragraphs>33</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Benz, Sarah - LÖSLE</dc:creator>
  <cp:lastModifiedBy>Koch, Anja - AUDfIT</cp:lastModifiedBy>
  <cp:revision>11</cp:revision>
  <cp:lastPrinted>2025-10-09T10:29:00Z</cp:lastPrinted>
  <dcterms:created xsi:type="dcterms:W3CDTF">2025-04-23T11:06:00Z</dcterms:created>
  <dcterms:modified xsi:type="dcterms:W3CDTF">2025-10-09T10:30:00Z</dcterms:modified>
</cp:coreProperties>
</file>