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ECFF"/>
        <w:tblLayout w:type="fixed"/>
        <w:tblLook w:val="04A0" w:firstRow="1" w:lastRow="0" w:firstColumn="1" w:lastColumn="0" w:noHBand="0" w:noVBand="1"/>
      </w:tblPr>
      <w:tblGrid>
        <w:gridCol w:w="8647"/>
        <w:gridCol w:w="425"/>
      </w:tblGrid>
      <w:tr w:rsidR="00181773" w:rsidRPr="00DE5B92" w:rsidTr="004C4255">
        <w:trPr>
          <w:cantSplit/>
          <w:trHeight w:val="774"/>
        </w:trPr>
        <w:tc>
          <w:tcPr>
            <w:tcW w:w="8647" w:type="dxa"/>
            <w:tcBorders>
              <w:bottom w:val="nil"/>
              <w:right w:val="nil"/>
            </w:tcBorders>
            <w:shd w:val="clear" w:color="auto" w:fill="CCECFF"/>
            <w:tcMar>
              <w:top w:w="113" w:type="dxa"/>
              <w:bottom w:w="113" w:type="dxa"/>
            </w:tcMar>
            <w:vAlign w:val="center"/>
          </w:tcPr>
          <w:p w:rsidR="00181773" w:rsidRPr="005A3CE3" w:rsidRDefault="005A3CE3" w:rsidP="00181773">
            <w:pPr>
              <w:spacing w:before="60" w:after="60"/>
              <w:jc w:val="left"/>
              <w:rPr>
                <w:b/>
                <w:color w:val="FFFFFF" w:themeColor="background1"/>
                <w:sz w:val="32"/>
                <w:szCs w:val="32"/>
              </w:rPr>
            </w:pPr>
            <w:bookmarkStart w:id="0" w:name="_GoBack"/>
            <w:bookmarkEnd w:id="0"/>
            <w:r w:rsidRPr="005A3CE3">
              <w:rPr>
                <w:b/>
                <w:color w:val="00B0F0"/>
                <w:sz w:val="32"/>
                <w:szCs w:val="32"/>
              </w:rPr>
              <w:t>Praxisfall: Grenzüberschreitender Formwechsel der „Société Avenir S.A.“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shd w:val="clear" w:color="auto" w:fill="CCECFF"/>
            <w:textDirection w:val="btLr"/>
          </w:tcPr>
          <w:p w:rsidR="00181773" w:rsidRPr="00181773" w:rsidRDefault="00181773" w:rsidP="00181773">
            <w:pPr>
              <w:spacing w:before="0"/>
              <w:ind w:left="113" w:right="113"/>
              <w:jc w:val="center"/>
              <w:rPr>
                <w:b/>
                <w:color w:val="FFFFFF" w:themeColor="background1"/>
                <w:sz w:val="12"/>
                <w:szCs w:val="12"/>
              </w:rPr>
            </w:pPr>
            <w:r w:rsidRPr="00181773">
              <w:rPr>
                <w:color w:val="00B0F0"/>
                <w:sz w:val="12"/>
                <w:szCs w:val="12"/>
                <w:shd w:val="clear" w:color="auto" w:fill="00B0F0"/>
              </w:rPr>
              <w:t>05/2025</w:t>
            </w:r>
          </w:p>
        </w:tc>
      </w:tr>
      <w:tr w:rsidR="004C4255" w:rsidRPr="004C4255" w:rsidTr="004C4255">
        <w:trPr>
          <w:cantSplit/>
          <w:trHeight w:val="56"/>
        </w:trPr>
        <w:tc>
          <w:tcPr>
            <w:tcW w:w="8647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4C4255" w:rsidRPr="004C4255" w:rsidRDefault="004C4255" w:rsidP="004C425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shd w:val="clear" w:color="auto" w:fill="auto"/>
            <w:textDirection w:val="btLr"/>
          </w:tcPr>
          <w:p w:rsidR="004C4255" w:rsidRPr="004C4255" w:rsidRDefault="004C4255" w:rsidP="004C4255">
            <w:pPr>
              <w:rPr>
                <w:sz w:val="16"/>
                <w:szCs w:val="16"/>
              </w:rPr>
            </w:pPr>
          </w:p>
        </w:tc>
      </w:tr>
    </w:tbl>
    <w:p w:rsidR="005A3CE3" w:rsidRPr="003E41BC" w:rsidRDefault="005A3CE3" w:rsidP="005A3CE3">
      <w:pPr>
        <w:pStyle w:val="Listenabsatz"/>
        <w:numPr>
          <w:ilvl w:val="0"/>
          <w:numId w:val="22"/>
        </w:numPr>
        <w:rPr>
          <w:b/>
          <w:color w:val="00B0F0"/>
          <w:sz w:val="24"/>
        </w:rPr>
      </w:pPr>
      <w:r w:rsidRPr="003E41BC">
        <w:rPr>
          <w:b/>
          <w:color w:val="00B0F0"/>
          <w:sz w:val="24"/>
        </w:rPr>
        <w:t xml:space="preserve">Sachverhalt: </w:t>
      </w:r>
    </w:p>
    <w:p w:rsidR="005A3CE3" w:rsidRDefault="005A3CE3" w:rsidP="005A3CE3">
      <w:r>
        <w:t xml:space="preserve">Die </w:t>
      </w:r>
      <w:r w:rsidRPr="003E41BC">
        <w:rPr>
          <w:b/>
        </w:rPr>
        <w:t>Société Avenir S.A</w:t>
      </w:r>
      <w:r>
        <w:t xml:space="preserve">., </w:t>
      </w:r>
    </w:p>
    <w:p w:rsidR="005A3CE3" w:rsidRDefault="005A3CE3" w:rsidP="005A3CE3">
      <w:pPr>
        <w:pStyle w:val="Aufzhlungszeichen"/>
        <w:ind w:left="851"/>
      </w:pPr>
      <w:r>
        <w:t xml:space="preserve">eine </w:t>
      </w:r>
      <w:r w:rsidRPr="003E41BC">
        <w:rPr>
          <w:b/>
        </w:rPr>
        <w:t>französische Kapitalgesellschaft</w:t>
      </w:r>
      <w:r>
        <w:t xml:space="preserve"> </w:t>
      </w:r>
    </w:p>
    <w:p w:rsidR="005A3CE3" w:rsidRDefault="005A3CE3" w:rsidP="005A3CE3">
      <w:pPr>
        <w:pStyle w:val="Aufzhlungszeichen"/>
        <w:ind w:left="851"/>
      </w:pPr>
      <w:r>
        <w:t xml:space="preserve">mit </w:t>
      </w:r>
      <w:r w:rsidRPr="003E41BC">
        <w:rPr>
          <w:b/>
        </w:rPr>
        <w:t>Sitz in Lyon</w:t>
      </w:r>
      <w:r>
        <w:t xml:space="preserve">, </w:t>
      </w:r>
    </w:p>
    <w:p w:rsidR="005A3CE3" w:rsidRDefault="005A3CE3" w:rsidP="005A3CE3">
      <w:pPr>
        <w:pStyle w:val="Aufzhlungszeichen"/>
        <w:numPr>
          <w:ilvl w:val="0"/>
          <w:numId w:val="0"/>
        </w:numPr>
      </w:pPr>
      <w:r>
        <w:t xml:space="preserve">betreibt seit Jahren die </w:t>
      </w:r>
      <w:r w:rsidRPr="003E41BC">
        <w:rPr>
          <w:b/>
        </w:rPr>
        <w:t>Entwicklung und den Vertrieb von medizinischen Geräten</w:t>
      </w:r>
      <w:r>
        <w:t xml:space="preserve"> in Westeuropa. </w:t>
      </w:r>
    </w:p>
    <w:p w:rsidR="005A3CE3" w:rsidRDefault="005A3CE3" w:rsidP="005A3CE3">
      <w:pPr>
        <w:pStyle w:val="Standardeinzug"/>
        <w:ind w:left="0"/>
      </w:pPr>
      <w:r>
        <w:t xml:space="preserve">Das Unternehmen möchte seine </w:t>
      </w:r>
      <w:r w:rsidRPr="003E41BC">
        <w:rPr>
          <w:b/>
        </w:rPr>
        <w:t>Geschäftstätigkeit</w:t>
      </w:r>
      <w:r>
        <w:t xml:space="preserve"> zukünftig </w:t>
      </w:r>
      <w:r w:rsidRPr="003E41BC">
        <w:rPr>
          <w:b/>
        </w:rPr>
        <w:t>auf den deutschen Markt</w:t>
      </w:r>
      <w:r>
        <w:t xml:space="preserve"> konzentrieren. </w:t>
      </w:r>
    </w:p>
    <w:p w:rsidR="005A3CE3" w:rsidRDefault="005A3CE3" w:rsidP="005A3CE3">
      <w:pPr>
        <w:pStyle w:val="Standardeinzug"/>
        <w:ind w:left="0"/>
      </w:pPr>
      <w:r>
        <w:t xml:space="preserve">Im Zuge dieser </w:t>
      </w:r>
      <w:r w:rsidRPr="003E41BC">
        <w:rPr>
          <w:b/>
        </w:rPr>
        <w:t>strategischen Neuausrichtung</w:t>
      </w:r>
      <w:r>
        <w:t xml:space="preserve"> </w:t>
      </w:r>
      <w:r w:rsidRPr="003E41BC">
        <w:rPr>
          <w:b/>
        </w:rPr>
        <w:t>beschließen die Anteilseigner</w:t>
      </w:r>
      <w:r>
        <w:t xml:space="preserve"> </w:t>
      </w:r>
    </w:p>
    <w:p w:rsidR="005A3CE3" w:rsidRDefault="005A3CE3" w:rsidP="005A3CE3">
      <w:pPr>
        <w:pStyle w:val="Aufzhlungszeichen"/>
        <w:ind w:left="851"/>
      </w:pPr>
      <w:r>
        <w:t xml:space="preserve">im Jahr </w:t>
      </w:r>
      <w:r w:rsidRPr="003E41BC">
        <w:rPr>
          <w:b/>
        </w:rPr>
        <w:t>202</w:t>
      </w:r>
      <w:r>
        <w:rPr>
          <w:b/>
        </w:rPr>
        <w:t>4</w:t>
      </w:r>
      <w:r>
        <w:t xml:space="preserve">, </w:t>
      </w:r>
    </w:p>
    <w:p w:rsidR="005A3CE3" w:rsidRDefault="005A3CE3" w:rsidP="005A3CE3">
      <w:pPr>
        <w:pStyle w:val="Aufzhlungszeichen"/>
        <w:ind w:left="851"/>
      </w:pPr>
      <w:r>
        <w:t xml:space="preserve">die </w:t>
      </w:r>
      <w:r w:rsidRPr="003E41BC">
        <w:rPr>
          <w:b/>
        </w:rPr>
        <w:t xml:space="preserve">Gesellschaft in eine Avenir </w:t>
      </w:r>
      <w:proofErr w:type="spellStart"/>
      <w:r w:rsidRPr="003E41BC">
        <w:rPr>
          <w:b/>
        </w:rPr>
        <w:t>MedTech</w:t>
      </w:r>
      <w:proofErr w:type="spellEnd"/>
      <w:r w:rsidRPr="003E41BC">
        <w:rPr>
          <w:b/>
        </w:rPr>
        <w:t xml:space="preserve"> GmbH</w:t>
      </w:r>
      <w:r>
        <w:t xml:space="preserve"> </w:t>
      </w:r>
    </w:p>
    <w:p w:rsidR="005A3CE3" w:rsidRDefault="005A3CE3" w:rsidP="005A3CE3">
      <w:pPr>
        <w:pStyle w:val="Aufzhlungszeichen"/>
        <w:ind w:left="851"/>
      </w:pPr>
      <w:r>
        <w:t xml:space="preserve">mit </w:t>
      </w:r>
      <w:r w:rsidRPr="003E41BC">
        <w:rPr>
          <w:b/>
        </w:rPr>
        <w:t>Sitz in München</w:t>
      </w:r>
      <w:r>
        <w:t xml:space="preserve"> </w:t>
      </w:r>
    </w:p>
    <w:p w:rsidR="005A3CE3" w:rsidRDefault="005A3CE3" w:rsidP="005A3CE3">
      <w:pPr>
        <w:pStyle w:val="Aufzhlungszeichen"/>
        <w:numPr>
          <w:ilvl w:val="0"/>
          <w:numId w:val="0"/>
        </w:numPr>
      </w:pPr>
      <w:r>
        <w:t xml:space="preserve">umzuwandeln. </w:t>
      </w:r>
    </w:p>
    <w:p w:rsidR="00B21EEF" w:rsidRDefault="00B21EEF" w:rsidP="007B195D">
      <w:pPr>
        <w:spacing w:before="0"/>
        <w:jc w:val="center"/>
        <w:rPr>
          <w:szCs w:val="32"/>
        </w:rPr>
      </w:pPr>
    </w:p>
    <w:p w:rsidR="00A72444" w:rsidRDefault="00A72444" w:rsidP="00A72444">
      <w:pPr>
        <w:pStyle w:val="Standardeinzug"/>
        <w:ind w:left="0"/>
        <w:jc w:val="left"/>
      </w:pPr>
      <w:r>
        <w:t xml:space="preserve">Die </w:t>
      </w:r>
    </w:p>
    <w:p w:rsidR="00A72444" w:rsidRDefault="00A72444" w:rsidP="00A72444">
      <w:pPr>
        <w:pStyle w:val="Aufzhlungszeichen"/>
        <w:ind w:left="851"/>
      </w:pPr>
      <w:r w:rsidRPr="003E41BC">
        <w:rPr>
          <w:b/>
        </w:rPr>
        <w:t>Eintragung der neuen GmbH</w:t>
      </w:r>
      <w:r>
        <w:t xml:space="preserve"> </w:t>
      </w:r>
    </w:p>
    <w:p w:rsidR="00A72444" w:rsidRDefault="00A72444" w:rsidP="00A72444">
      <w:pPr>
        <w:pStyle w:val="Aufzhlungszeichen"/>
        <w:ind w:left="851"/>
      </w:pPr>
      <w:r>
        <w:t xml:space="preserve">im </w:t>
      </w:r>
      <w:r w:rsidRPr="003E41BC">
        <w:rPr>
          <w:b/>
        </w:rPr>
        <w:t>deutschen Handelsregister</w:t>
      </w:r>
      <w:r>
        <w:t xml:space="preserve"> </w:t>
      </w:r>
    </w:p>
    <w:p w:rsidR="00A72444" w:rsidRDefault="00A72444" w:rsidP="00A72444">
      <w:pPr>
        <w:pStyle w:val="Aufzhlungszeichen"/>
        <w:numPr>
          <w:ilvl w:val="0"/>
          <w:numId w:val="0"/>
        </w:numPr>
        <w:ind w:left="426" w:hanging="420"/>
      </w:pPr>
      <w:r>
        <w:t xml:space="preserve">erfolgt (aus Vereinfachungsgründen) </w:t>
      </w:r>
      <w:r w:rsidRPr="003E41BC">
        <w:rPr>
          <w:b/>
        </w:rPr>
        <w:t xml:space="preserve">zum </w:t>
      </w:r>
      <w:r w:rsidRPr="003E41BC">
        <w:rPr>
          <w:b/>
          <w:color w:val="FF0000"/>
        </w:rPr>
        <w:t>01.01.2025</w:t>
      </w:r>
      <w:r>
        <w:t>.</w:t>
      </w:r>
    </w:p>
    <w:p w:rsidR="007B195D" w:rsidRDefault="007B195D" w:rsidP="00A72444">
      <w:pPr>
        <w:spacing w:before="0"/>
        <w:jc w:val="left"/>
        <w:rPr>
          <w:szCs w:val="32"/>
        </w:rPr>
      </w:pPr>
    </w:p>
    <w:p w:rsidR="00C4784D" w:rsidRPr="003E41BC" w:rsidRDefault="00C4784D" w:rsidP="00C4784D">
      <w:pPr>
        <w:pStyle w:val="Listenabsatz"/>
        <w:numPr>
          <w:ilvl w:val="0"/>
          <w:numId w:val="22"/>
        </w:numPr>
        <w:rPr>
          <w:b/>
          <w:color w:val="00B0F0"/>
          <w:sz w:val="24"/>
        </w:rPr>
      </w:pPr>
      <w:r w:rsidRPr="003E41BC">
        <w:rPr>
          <w:b/>
          <w:color w:val="00B0F0"/>
          <w:sz w:val="24"/>
        </w:rPr>
        <w:t xml:space="preserve">Ziele des Formwechsels: </w:t>
      </w:r>
    </w:p>
    <w:p w:rsidR="00C4784D" w:rsidRDefault="00C4784D" w:rsidP="00C4784D">
      <w:pPr>
        <w:pStyle w:val="Aufzhlungszeichen"/>
        <w:ind w:left="851"/>
      </w:pPr>
      <w:r w:rsidRPr="003E41BC">
        <w:rPr>
          <w:b/>
        </w:rPr>
        <w:t>Zugang zum deutschen Kapitalmarkt</w:t>
      </w:r>
      <w:r>
        <w:t xml:space="preserve"> (mögliche spätere Umwandlung in eine AG denkbar)</w:t>
      </w:r>
    </w:p>
    <w:p w:rsidR="00C4784D" w:rsidRDefault="00C4784D" w:rsidP="00C4784D">
      <w:pPr>
        <w:pStyle w:val="Aufzhlungszeichen"/>
        <w:ind w:left="851"/>
      </w:pPr>
      <w:r>
        <w:rPr>
          <w:b/>
        </w:rPr>
        <w:t>Sitz der Gesellschaft n</w:t>
      </w:r>
      <w:r w:rsidRPr="003E41BC">
        <w:rPr>
          <w:b/>
        </w:rPr>
        <w:t>äher am Hauptabsatzmarkt</w:t>
      </w:r>
      <w:r>
        <w:t xml:space="preserve"> (Deutschland)</w:t>
      </w:r>
    </w:p>
    <w:p w:rsidR="00C4784D" w:rsidRDefault="00C4784D" w:rsidP="00C4784D">
      <w:pPr>
        <w:pStyle w:val="Aufzhlungszeichen"/>
        <w:ind w:left="851"/>
      </w:pPr>
      <w:r w:rsidRPr="00743DF4">
        <w:rPr>
          <w:b/>
        </w:rPr>
        <w:t>Vereinfachung der Finanzierungsstrukturen</w:t>
      </w:r>
      <w:r>
        <w:t xml:space="preserve"> (bessere Bankkontakte in Deutschland)</w:t>
      </w:r>
    </w:p>
    <w:p w:rsidR="007C1D15" w:rsidRDefault="007C1D15" w:rsidP="007C1D15">
      <w:pPr>
        <w:pStyle w:val="Standardeinzug"/>
      </w:pPr>
    </w:p>
    <w:p w:rsidR="007C1D15" w:rsidRDefault="007C1D15" w:rsidP="007C1D15">
      <w:pPr>
        <w:pStyle w:val="Standardeinzug"/>
        <w:numPr>
          <w:ilvl w:val="0"/>
          <w:numId w:val="22"/>
        </w:numPr>
        <w:rPr>
          <w:b/>
          <w:color w:val="00B0F0"/>
          <w:sz w:val="24"/>
        </w:rPr>
      </w:pPr>
      <w:r>
        <w:rPr>
          <w:b/>
          <w:color w:val="00B0F0"/>
          <w:sz w:val="24"/>
        </w:rPr>
        <w:t>Überleitungsrechnung</w:t>
      </w:r>
    </w:p>
    <w:p w:rsidR="007C1D15" w:rsidRDefault="007C1D15" w:rsidP="007C1D15">
      <w:pPr>
        <w:pStyle w:val="Aufzhlungszeichen"/>
        <w:numPr>
          <w:ilvl w:val="0"/>
          <w:numId w:val="0"/>
        </w:numPr>
        <w:ind w:left="714"/>
      </w:pPr>
      <w:r w:rsidRPr="003E41BC">
        <w:rPr>
          <w:b/>
        </w:rPr>
        <w:t>Stichtag</w:t>
      </w:r>
      <w:r>
        <w:t xml:space="preserve"> für die Überleitung der französischen Bilanz in die deutsche Bilanz nach HGB ist der </w:t>
      </w:r>
      <w:r w:rsidRPr="003E41BC">
        <w:rPr>
          <w:b/>
        </w:rPr>
        <w:t>01.01.2025</w:t>
      </w:r>
      <w:r>
        <w:t>.</w:t>
      </w:r>
    </w:p>
    <w:p w:rsidR="007C1D15" w:rsidRDefault="007C1D15" w:rsidP="007C1D15">
      <w:pPr>
        <w:pStyle w:val="Standardeinzug"/>
      </w:pPr>
      <w:r w:rsidRPr="009E4B94">
        <w:rPr>
          <w:b/>
          <w:color w:val="FF0000"/>
        </w:rPr>
        <w:t>Grundsatz</w:t>
      </w:r>
      <w:r>
        <w:t xml:space="preserve">: Es werden die </w:t>
      </w:r>
      <w:r w:rsidRPr="009E4B94">
        <w:rPr>
          <w:b/>
        </w:rPr>
        <w:t>Buchwerte aus der französischen Bilanz übernommen,</w:t>
      </w:r>
      <w:r>
        <w:t xml:space="preserve"> </w:t>
      </w:r>
      <w:r w:rsidRPr="007C1D15">
        <w:t>sofern diese</w:t>
      </w:r>
      <w:r>
        <w:t xml:space="preserve"> </w:t>
      </w:r>
      <w:r w:rsidRPr="009E4B94">
        <w:rPr>
          <w:b/>
          <w:color w:val="FF0000"/>
        </w:rPr>
        <w:t>HGB-konform</w:t>
      </w:r>
      <w:r>
        <w:t xml:space="preserve"> sind.</w:t>
      </w:r>
    </w:p>
    <w:p w:rsidR="007C1D15" w:rsidRDefault="007C1D15" w:rsidP="007C1D15">
      <w:pPr>
        <w:pStyle w:val="Standardeinzug"/>
      </w:pPr>
      <w:r>
        <w:br w:type="page"/>
      </w:r>
    </w:p>
    <w:p w:rsidR="007C1D15" w:rsidRPr="009E4B94" w:rsidRDefault="007C1D15" w:rsidP="00523633">
      <w:pPr>
        <w:pStyle w:val="Standardeinzug"/>
        <w:ind w:hanging="708"/>
      </w:pPr>
    </w:p>
    <w:p w:rsidR="007C1D15" w:rsidRDefault="007C1D15" w:rsidP="00523633">
      <w:pPr>
        <w:pStyle w:val="Aufzhlungszeichen"/>
        <w:numPr>
          <w:ilvl w:val="0"/>
          <w:numId w:val="0"/>
        </w:numPr>
        <w:ind w:left="714" w:hanging="708"/>
      </w:pPr>
      <w:r w:rsidRPr="003E41BC">
        <w:rPr>
          <w:b/>
        </w:rPr>
        <w:t xml:space="preserve">Technische </w:t>
      </w:r>
      <w:r w:rsidR="00523633">
        <w:rPr>
          <w:b/>
        </w:rPr>
        <w:t xml:space="preserve">und praktische </w:t>
      </w:r>
      <w:r w:rsidRPr="003E41BC">
        <w:rPr>
          <w:b/>
        </w:rPr>
        <w:t>Umsetzung</w:t>
      </w:r>
      <w:r>
        <w:t>:</w:t>
      </w:r>
    </w:p>
    <w:p w:rsidR="007C1D15" w:rsidRPr="00AC73CA" w:rsidRDefault="007C1D15" w:rsidP="00523633">
      <w:pPr>
        <w:pStyle w:val="Aufzhlungszeichen"/>
        <w:ind w:left="851" w:hanging="425"/>
        <w:rPr>
          <w:sz w:val="20"/>
        </w:rPr>
      </w:pPr>
      <w:r w:rsidRPr="00AC73CA">
        <w:rPr>
          <w:sz w:val="20"/>
        </w:rPr>
        <w:t xml:space="preserve">Ansatz und Bewertung richten sich ab dem Stichtag des Formwechsels </w:t>
      </w:r>
      <w:r w:rsidRPr="00AC73CA">
        <w:rPr>
          <w:b/>
          <w:sz w:val="20"/>
        </w:rPr>
        <w:t>nach dem HGB.</w:t>
      </w:r>
    </w:p>
    <w:p w:rsidR="007C1D15" w:rsidRPr="00AC73CA" w:rsidRDefault="007C1D15" w:rsidP="00523633">
      <w:pPr>
        <w:pStyle w:val="Aufzhlungszeichen"/>
        <w:ind w:left="851" w:hanging="425"/>
        <w:rPr>
          <w:sz w:val="20"/>
        </w:rPr>
      </w:pPr>
      <w:r w:rsidRPr="00AC73CA">
        <w:rPr>
          <w:b/>
          <w:sz w:val="20"/>
        </w:rPr>
        <w:t xml:space="preserve">„Überleitungsstatus“ </w:t>
      </w:r>
      <w:r w:rsidRPr="00AC73CA">
        <w:rPr>
          <w:sz w:val="20"/>
        </w:rPr>
        <w:t>wird erstellt: Alle Bilanzposten werden</w:t>
      </w:r>
      <w:r w:rsidR="00523633">
        <w:rPr>
          <w:sz w:val="20"/>
        </w:rPr>
        <w:t xml:space="preserve"> einzeln</w:t>
      </w:r>
      <w:r w:rsidRPr="00AC73CA">
        <w:rPr>
          <w:sz w:val="20"/>
        </w:rPr>
        <w:t xml:space="preserve"> geprüft. </w:t>
      </w:r>
    </w:p>
    <w:p w:rsidR="007C1D15" w:rsidRPr="00AC73CA" w:rsidRDefault="007C1D15" w:rsidP="00523633">
      <w:pPr>
        <w:pStyle w:val="Aufzhlungszeichen"/>
        <w:ind w:left="851" w:hanging="425"/>
        <w:rPr>
          <w:sz w:val="20"/>
        </w:rPr>
      </w:pPr>
      <w:r w:rsidRPr="00AC73CA">
        <w:rPr>
          <w:b/>
          <w:sz w:val="20"/>
        </w:rPr>
        <w:t>Keine Neubewertung</w:t>
      </w:r>
      <w:r w:rsidRPr="00AC73CA">
        <w:rPr>
          <w:sz w:val="20"/>
        </w:rPr>
        <w:t xml:space="preserve"> zum Fair Value, sondern </w:t>
      </w:r>
      <w:r w:rsidRPr="00AC73CA">
        <w:rPr>
          <w:b/>
          <w:sz w:val="20"/>
        </w:rPr>
        <w:t>Übernahme der Werte</w:t>
      </w:r>
      <w:r w:rsidRPr="00AC73CA">
        <w:rPr>
          <w:sz w:val="20"/>
        </w:rPr>
        <w:t xml:space="preserve">, soweit mit </w:t>
      </w:r>
      <w:r w:rsidR="00523633">
        <w:rPr>
          <w:sz w:val="20"/>
        </w:rPr>
        <w:t xml:space="preserve">dem </w:t>
      </w:r>
      <w:r w:rsidRPr="00AC73CA">
        <w:rPr>
          <w:sz w:val="20"/>
        </w:rPr>
        <w:t>HGB vereinbar.</w:t>
      </w:r>
    </w:p>
    <w:p w:rsidR="007C1D15" w:rsidRPr="00AC73CA" w:rsidRDefault="007C1D15" w:rsidP="00523633">
      <w:pPr>
        <w:pStyle w:val="Aufzhlungszeichen"/>
        <w:ind w:left="851" w:hanging="425"/>
        <w:rPr>
          <w:sz w:val="20"/>
        </w:rPr>
      </w:pPr>
      <w:r w:rsidRPr="00AC73CA">
        <w:rPr>
          <w:sz w:val="20"/>
        </w:rPr>
        <w:t xml:space="preserve">Nur solche Vermögensgegenstände und Schulden aus der französischen Bilanz, die </w:t>
      </w:r>
      <w:r w:rsidRPr="00AC73CA">
        <w:rPr>
          <w:b/>
          <w:sz w:val="20"/>
        </w:rPr>
        <w:t>auch nach HGB ein Ansatzrecht/-pflicht besitzen</w:t>
      </w:r>
      <w:r w:rsidRPr="00AC73CA">
        <w:rPr>
          <w:sz w:val="20"/>
        </w:rPr>
        <w:t xml:space="preserve">, werden </w:t>
      </w:r>
      <w:r w:rsidRPr="00AC73CA">
        <w:rPr>
          <w:b/>
          <w:sz w:val="20"/>
        </w:rPr>
        <w:t>übernommen</w:t>
      </w:r>
      <w:r w:rsidRPr="00AC73CA">
        <w:rPr>
          <w:sz w:val="20"/>
        </w:rPr>
        <w:t xml:space="preserve">. </w:t>
      </w:r>
    </w:p>
    <w:p w:rsidR="007C1D15" w:rsidRPr="00AC73CA" w:rsidRDefault="007C1D15" w:rsidP="00523633">
      <w:pPr>
        <w:pStyle w:val="Aufzhlungszeichen"/>
        <w:ind w:left="851" w:hanging="425"/>
        <w:rPr>
          <w:sz w:val="20"/>
        </w:rPr>
      </w:pPr>
      <w:r w:rsidRPr="00AC73CA">
        <w:rPr>
          <w:b/>
          <w:sz w:val="20"/>
        </w:rPr>
        <w:t>Ansatz- oder Bewertungsunterschiede</w:t>
      </w:r>
      <w:r w:rsidRPr="00AC73CA">
        <w:rPr>
          <w:sz w:val="20"/>
        </w:rPr>
        <w:t xml:space="preserve"> werden als „</w:t>
      </w:r>
      <w:r w:rsidRPr="00AC73CA">
        <w:rPr>
          <w:b/>
          <w:color w:val="FF0000"/>
          <w:sz w:val="20"/>
        </w:rPr>
        <w:t>Anpassungssaldo</w:t>
      </w:r>
      <w:r w:rsidRPr="00AC73CA">
        <w:rPr>
          <w:sz w:val="20"/>
        </w:rPr>
        <w:t xml:space="preserve">“ erfasst. </w:t>
      </w:r>
    </w:p>
    <w:p w:rsidR="007C1D15" w:rsidRDefault="007C1D15" w:rsidP="007C1D15">
      <w:pPr>
        <w:pStyle w:val="Standardeinzug"/>
      </w:pPr>
    </w:p>
    <w:tbl>
      <w:tblPr>
        <w:tblStyle w:val="Tabellenraster"/>
        <w:tblW w:w="8359" w:type="dxa"/>
        <w:tblInd w:w="708" w:type="dxa"/>
        <w:tblLook w:val="04A0" w:firstRow="1" w:lastRow="0" w:firstColumn="1" w:lastColumn="0" w:noHBand="0" w:noVBand="1"/>
      </w:tblPr>
      <w:tblGrid>
        <w:gridCol w:w="1681"/>
        <w:gridCol w:w="1434"/>
        <w:gridCol w:w="1134"/>
        <w:gridCol w:w="3118"/>
        <w:gridCol w:w="992"/>
      </w:tblGrid>
      <w:tr w:rsidR="007C1D15" w:rsidRPr="00B6532F" w:rsidTr="00862488">
        <w:tc>
          <w:tcPr>
            <w:tcW w:w="1681" w:type="dxa"/>
            <w:shd w:val="clear" w:color="auto" w:fill="D9D9D9" w:themeFill="background1" w:themeFillShade="D9"/>
          </w:tcPr>
          <w:p w:rsidR="007C1D15" w:rsidRPr="00B6532F" w:rsidRDefault="007C1D15" w:rsidP="00862488">
            <w:pPr>
              <w:pStyle w:val="Standardeinzug"/>
              <w:ind w:left="0"/>
              <w:rPr>
                <w:b/>
                <w:sz w:val="18"/>
              </w:rPr>
            </w:pPr>
            <w:r w:rsidRPr="00B6532F">
              <w:rPr>
                <w:b/>
                <w:sz w:val="18"/>
              </w:rPr>
              <w:t>Position</w:t>
            </w:r>
            <w:r>
              <w:rPr>
                <w:b/>
                <w:sz w:val="18"/>
              </w:rPr>
              <w:t xml:space="preserve"> Aktiva</w:t>
            </w:r>
          </w:p>
        </w:tc>
        <w:tc>
          <w:tcPr>
            <w:tcW w:w="1434" w:type="dxa"/>
            <w:shd w:val="clear" w:color="auto" w:fill="D9D9D9" w:themeFill="background1" w:themeFillShade="D9"/>
          </w:tcPr>
          <w:p w:rsidR="007C1D15" w:rsidRPr="00B6532F" w:rsidRDefault="007C1D15" w:rsidP="00862488">
            <w:pPr>
              <w:pStyle w:val="Standardeinzug"/>
              <w:ind w:left="0"/>
              <w:rPr>
                <w:b/>
                <w:sz w:val="18"/>
              </w:rPr>
            </w:pPr>
            <w:r w:rsidRPr="00B6532F">
              <w:rPr>
                <w:b/>
                <w:sz w:val="18"/>
              </w:rPr>
              <w:t>PCG-Buchwert</w:t>
            </w:r>
            <w:r w:rsidRPr="00B6532F">
              <w:rPr>
                <w:rStyle w:val="Funotenzeichen"/>
                <w:b/>
                <w:sz w:val="18"/>
              </w:rPr>
              <w:footnoteReference w:id="1"/>
            </w:r>
            <w:r w:rsidRPr="00B6532F">
              <w:rPr>
                <w:b/>
                <w:sz w:val="18"/>
              </w:rPr>
              <w:t xml:space="preserve"> in T€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C1D15" w:rsidRPr="00B6532F" w:rsidRDefault="007C1D15" w:rsidP="00862488">
            <w:pPr>
              <w:pStyle w:val="Standardeinzug"/>
              <w:ind w:left="0"/>
              <w:rPr>
                <w:b/>
                <w:sz w:val="18"/>
              </w:rPr>
            </w:pPr>
            <w:r w:rsidRPr="00B6532F">
              <w:rPr>
                <w:b/>
                <w:sz w:val="18"/>
              </w:rPr>
              <w:t>Anpassung</w:t>
            </w:r>
            <w:r>
              <w:rPr>
                <w:rStyle w:val="Funotenzeichen"/>
                <w:b/>
                <w:sz w:val="18"/>
              </w:rPr>
              <w:footnoteReference w:id="2"/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7C1D15" w:rsidRPr="00B6532F" w:rsidRDefault="007C1D15" w:rsidP="00862488">
            <w:pPr>
              <w:pStyle w:val="Standardeinzug"/>
              <w:ind w:left="0"/>
              <w:rPr>
                <w:b/>
                <w:sz w:val="18"/>
              </w:rPr>
            </w:pPr>
            <w:r w:rsidRPr="00B6532F">
              <w:rPr>
                <w:b/>
                <w:sz w:val="18"/>
              </w:rPr>
              <w:t>Begründung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7C1D15" w:rsidRPr="00B6532F" w:rsidRDefault="007C1D15" w:rsidP="00862488">
            <w:pPr>
              <w:pStyle w:val="Standardeinzug"/>
              <w:ind w:left="0"/>
              <w:rPr>
                <w:b/>
                <w:sz w:val="18"/>
              </w:rPr>
            </w:pPr>
            <w:r w:rsidRPr="00B6532F">
              <w:rPr>
                <w:b/>
                <w:sz w:val="18"/>
              </w:rPr>
              <w:t>HGB-Wert in T€</w:t>
            </w:r>
          </w:p>
        </w:tc>
      </w:tr>
      <w:tr w:rsidR="007C1D15" w:rsidRPr="00B6532F" w:rsidTr="00862488">
        <w:tc>
          <w:tcPr>
            <w:tcW w:w="1681" w:type="dxa"/>
          </w:tcPr>
          <w:p w:rsidR="007C1D15" w:rsidRPr="00B6532F" w:rsidRDefault="007C1D15" w:rsidP="00862488">
            <w:pPr>
              <w:pStyle w:val="Standardeinzug"/>
              <w:ind w:left="0"/>
              <w:rPr>
                <w:sz w:val="18"/>
              </w:rPr>
            </w:pPr>
            <w:r w:rsidRPr="00B6532F">
              <w:rPr>
                <w:sz w:val="18"/>
              </w:rPr>
              <w:t>Immaterielle VG</w:t>
            </w:r>
          </w:p>
        </w:tc>
        <w:tc>
          <w:tcPr>
            <w:tcW w:w="1434" w:type="dxa"/>
          </w:tcPr>
          <w:p w:rsidR="007C1D15" w:rsidRPr="00B6532F" w:rsidRDefault="007C1D15" w:rsidP="00862488">
            <w:pPr>
              <w:pStyle w:val="Standardeinzug"/>
              <w:ind w:left="0"/>
              <w:jc w:val="right"/>
              <w:rPr>
                <w:sz w:val="18"/>
              </w:rPr>
            </w:pPr>
            <w:r w:rsidRPr="00B6532F">
              <w:rPr>
                <w:sz w:val="18"/>
              </w:rPr>
              <w:t>1.200</w:t>
            </w:r>
          </w:p>
        </w:tc>
        <w:tc>
          <w:tcPr>
            <w:tcW w:w="1134" w:type="dxa"/>
          </w:tcPr>
          <w:p w:rsidR="007C1D15" w:rsidRPr="00B6532F" w:rsidRDefault="007C1D15" w:rsidP="00862488">
            <w:pPr>
              <w:pStyle w:val="Standardeinzug"/>
              <w:ind w:left="0"/>
              <w:jc w:val="right"/>
              <w:rPr>
                <w:sz w:val="18"/>
              </w:rPr>
            </w:pPr>
            <w:r w:rsidRPr="00B6532F">
              <w:rPr>
                <w:sz w:val="18"/>
              </w:rPr>
              <w:t>-200</w:t>
            </w:r>
          </w:p>
        </w:tc>
        <w:tc>
          <w:tcPr>
            <w:tcW w:w="3118" w:type="dxa"/>
          </w:tcPr>
          <w:p w:rsidR="007C1D15" w:rsidRPr="00B6532F" w:rsidRDefault="007C1D15" w:rsidP="00862488">
            <w:pPr>
              <w:pStyle w:val="Standardeinzug"/>
              <w:ind w:left="0"/>
              <w:rPr>
                <w:sz w:val="16"/>
              </w:rPr>
            </w:pPr>
            <w:r>
              <w:rPr>
                <w:sz w:val="16"/>
              </w:rPr>
              <w:t xml:space="preserve">In Frankreich </w:t>
            </w:r>
            <w:r w:rsidRPr="00B6532F">
              <w:rPr>
                <w:b/>
                <w:sz w:val="16"/>
              </w:rPr>
              <w:t>aktivierte F&amp;E-Kosten</w:t>
            </w:r>
            <w:r>
              <w:rPr>
                <w:sz w:val="16"/>
              </w:rPr>
              <w:t xml:space="preserve">; </w:t>
            </w:r>
            <w:r w:rsidR="00A62DF9">
              <w:rPr>
                <w:sz w:val="16"/>
              </w:rPr>
              <w:t>D</w:t>
            </w:r>
            <w:r w:rsidR="00B06748">
              <w:rPr>
                <w:sz w:val="16"/>
              </w:rPr>
              <w:t>ieser Anteil</w:t>
            </w:r>
            <w:r w:rsidR="00A62DF9">
              <w:rPr>
                <w:sz w:val="16"/>
              </w:rPr>
              <w:t xml:space="preserve"> unterliegt</w:t>
            </w:r>
            <w:r w:rsidR="00B06748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nach § 248 Abs. 2 HGB </w:t>
            </w:r>
            <w:r w:rsidR="00007F75">
              <w:rPr>
                <w:sz w:val="16"/>
              </w:rPr>
              <w:t xml:space="preserve">dem </w:t>
            </w:r>
            <w:r>
              <w:rPr>
                <w:sz w:val="16"/>
              </w:rPr>
              <w:t>Verbot der Aktivierung</w:t>
            </w:r>
          </w:p>
        </w:tc>
        <w:tc>
          <w:tcPr>
            <w:tcW w:w="992" w:type="dxa"/>
          </w:tcPr>
          <w:p w:rsidR="007C1D15" w:rsidRPr="00B6532F" w:rsidRDefault="007C1D15" w:rsidP="00862488">
            <w:pPr>
              <w:pStyle w:val="Standardeinzug"/>
              <w:ind w:left="0"/>
              <w:rPr>
                <w:sz w:val="18"/>
              </w:rPr>
            </w:pPr>
            <w:r w:rsidRPr="00B6532F">
              <w:rPr>
                <w:sz w:val="18"/>
              </w:rPr>
              <w:t>1.000</w:t>
            </w:r>
          </w:p>
        </w:tc>
      </w:tr>
      <w:tr w:rsidR="007C1D15" w:rsidRPr="00B6532F" w:rsidTr="00862488">
        <w:tc>
          <w:tcPr>
            <w:tcW w:w="1681" w:type="dxa"/>
          </w:tcPr>
          <w:p w:rsidR="007C1D15" w:rsidRPr="00B6532F" w:rsidRDefault="007C1D15" w:rsidP="00862488">
            <w:pPr>
              <w:pStyle w:val="Standardeinzug"/>
              <w:ind w:left="0"/>
              <w:rPr>
                <w:sz w:val="18"/>
              </w:rPr>
            </w:pPr>
            <w:r w:rsidRPr="00B6532F">
              <w:rPr>
                <w:sz w:val="18"/>
              </w:rPr>
              <w:t>Sachanlagen</w:t>
            </w:r>
          </w:p>
        </w:tc>
        <w:tc>
          <w:tcPr>
            <w:tcW w:w="1434" w:type="dxa"/>
          </w:tcPr>
          <w:p w:rsidR="007C1D15" w:rsidRPr="00B6532F" w:rsidRDefault="007C1D15" w:rsidP="00862488">
            <w:pPr>
              <w:pStyle w:val="Standardeinzug"/>
              <w:ind w:left="0"/>
              <w:jc w:val="right"/>
              <w:rPr>
                <w:sz w:val="18"/>
              </w:rPr>
            </w:pPr>
            <w:r w:rsidRPr="00B6532F">
              <w:rPr>
                <w:sz w:val="18"/>
              </w:rPr>
              <w:t>3.500</w:t>
            </w:r>
          </w:p>
        </w:tc>
        <w:tc>
          <w:tcPr>
            <w:tcW w:w="1134" w:type="dxa"/>
          </w:tcPr>
          <w:p w:rsidR="007C1D15" w:rsidRPr="00B6532F" w:rsidRDefault="007C1D15" w:rsidP="00862488">
            <w:pPr>
              <w:pStyle w:val="Standardeinzug"/>
              <w:ind w:left="0"/>
              <w:jc w:val="right"/>
              <w:rPr>
                <w:sz w:val="18"/>
              </w:rPr>
            </w:pPr>
            <w:r w:rsidRPr="00B6532F">
              <w:rPr>
                <w:sz w:val="18"/>
              </w:rPr>
              <w:t>+300</w:t>
            </w:r>
          </w:p>
        </w:tc>
        <w:tc>
          <w:tcPr>
            <w:tcW w:w="3118" w:type="dxa"/>
          </w:tcPr>
          <w:p w:rsidR="007C1D15" w:rsidRPr="00B6532F" w:rsidRDefault="007C1D15" w:rsidP="00862488">
            <w:pPr>
              <w:pStyle w:val="Standardeinzug"/>
              <w:ind w:left="0"/>
              <w:rPr>
                <w:sz w:val="16"/>
              </w:rPr>
            </w:pPr>
            <w:r w:rsidRPr="00B6532F">
              <w:rPr>
                <w:b/>
                <w:sz w:val="16"/>
              </w:rPr>
              <w:t>Höhere Nutzungsdauer</w:t>
            </w:r>
            <w:r>
              <w:rPr>
                <w:sz w:val="16"/>
              </w:rPr>
              <w:t xml:space="preserve"> nach HGB</w:t>
            </w:r>
          </w:p>
        </w:tc>
        <w:tc>
          <w:tcPr>
            <w:tcW w:w="992" w:type="dxa"/>
          </w:tcPr>
          <w:p w:rsidR="007C1D15" w:rsidRPr="00B6532F" w:rsidRDefault="007C1D15" w:rsidP="00862488">
            <w:pPr>
              <w:pStyle w:val="Standardeinzug"/>
              <w:ind w:left="0"/>
              <w:rPr>
                <w:sz w:val="18"/>
              </w:rPr>
            </w:pPr>
            <w:r w:rsidRPr="00B6532F">
              <w:rPr>
                <w:sz w:val="18"/>
              </w:rPr>
              <w:t>3.800</w:t>
            </w:r>
          </w:p>
        </w:tc>
      </w:tr>
      <w:tr w:rsidR="007C1D15" w:rsidRPr="00B6532F" w:rsidTr="00862488">
        <w:tc>
          <w:tcPr>
            <w:tcW w:w="1681" w:type="dxa"/>
          </w:tcPr>
          <w:p w:rsidR="007C1D15" w:rsidRPr="00B6532F" w:rsidRDefault="007C1D15" w:rsidP="00862488">
            <w:pPr>
              <w:pStyle w:val="Standardeinzug"/>
              <w:ind w:left="0"/>
              <w:rPr>
                <w:sz w:val="18"/>
              </w:rPr>
            </w:pPr>
            <w:r w:rsidRPr="00B6532F">
              <w:rPr>
                <w:sz w:val="18"/>
              </w:rPr>
              <w:t>Vorräte</w:t>
            </w:r>
          </w:p>
        </w:tc>
        <w:tc>
          <w:tcPr>
            <w:tcW w:w="1434" w:type="dxa"/>
          </w:tcPr>
          <w:p w:rsidR="007C1D15" w:rsidRPr="00B6532F" w:rsidRDefault="007C1D15" w:rsidP="00862488">
            <w:pPr>
              <w:pStyle w:val="Standardeinzug"/>
              <w:ind w:left="0"/>
              <w:jc w:val="right"/>
              <w:rPr>
                <w:sz w:val="18"/>
              </w:rPr>
            </w:pPr>
            <w:r w:rsidRPr="00B6532F">
              <w:rPr>
                <w:sz w:val="18"/>
              </w:rPr>
              <w:t>800</w:t>
            </w:r>
          </w:p>
        </w:tc>
        <w:tc>
          <w:tcPr>
            <w:tcW w:w="1134" w:type="dxa"/>
          </w:tcPr>
          <w:p w:rsidR="007C1D15" w:rsidRPr="00B6532F" w:rsidRDefault="007C1D15" w:rsidP="00862488">
            <w:pPr>
              <w:pStyle w:val="Standardeinzug"/>
              <w:ind w:left="0"/>
              <w:jc w:val="right"/>
              <w:rPr>
                <w:sz w:val="18"/>
              </w:rPr>
            </w:pPr>
            <w:r w:rsidRPr="00B6532F">
              <w:rPr>
                <w:sz w:val="18"/>
              </w:rPr>
              <w:t>-50</w:t>
            </w:r>
          </w:p>
        </w:tc>
        <w:tc>
          <w:tcPr>
            <w:tcW w:w="3118" w:type="dxa"/>
          </w:tcPr>
          <w:p w:rsidR="007C1D15" w:rsidRPr="00B6532F" w:rsidRDefault="007C1D15" w:rsidP="00862488">
            <w:pPr>
              <w:pStyle w:val="Standardeinzug"/>
              <w:ind w:left="0"/>
              <w:rPr>
                <w:sz w:val="16"/>
              </w:rPr>
            </w:pPr>
            <w:r>
              <w:rPr>
                <w:sz w:val="16"/>
              </w:rPr>
              <w:t xml:space="preserve">Wertansatz nach </w:t>
            </w:r>
            <w:r w:rsidRPr="00B6532F">
              <w:rPr>
                <w:b/>
                <w:sz w:val="16"/>
              </w:rPr>
              <w:t>Niederstwertprinzip</w:t>
            </w:r>
            <w:r>
              <w:rPr>
                <w:sz w:val="16"/>
              </w:rPr>
              <w:t xml:space="preserve"> (§ 253 Abs. 4 HGB)</w:t>
            </w:r>
          </w:p>
        </w:tc>
        <w:tc>
          <w:tcPr>
            <w:tcW w:w="992" w:type="dxa"/>
          </w:tcPr>
          <w:p w:rsidR="007C1D15" w:rsidRPr="00B6532F" w:rsidRDefault="007C1D15" w:rsidP="00862488">
            <w:pPr>
              <w:pStyle w:val="Standardeinzug"/>
              <w:ind w:left="0"/>
              <w:rPr>
                <w:sz w:val="18"/>
              </w:rPr>
            </w:pPr>
            <w:r w:rsidRPr="00B6532F">
              <w:rPr>
                <w:sz w:val="18"/>
              </w:rPr>
              <w:t>750</w:t>
            </w:r>
          </w:p>
        </w:tc>
      </w:tr>
      <w:tr w:rsidR="007C1D15" w:rsidRPr="00B6532F" w:rsidTr="00862488">
        <w:tc>
          <w:tcPr>
            <w:tcW w:w="1681" w:type="dxa"/>
          </w:tcPr>
          <w:p w:rsidR="007C1D15" w:rsidRPr="00B6532F" w:rsidRDefault="007C1D15" w:rsidP="00862488">
            <w:pPr>
              <w:pStyle w:val="Standardeinzug"/>
              <w:ind w:left="0"/>
              <w:rPr>
                <w:sz w:val="18"/>
              </w:rPr>
            </w:pPr>
            <w:r w:rsidRPr="00B6532F">
              <w:rPr>
                <w:sz w:val="18"/>
              </w:rPr>
              <w:t>Forderungen</w:t>
            </w:r>
          </w:p>
        </w:tc>
        <w:tc>
          <w:tcPr>
            <w:tcW w:w="1434" w:type="dxa"/>
          </w:tcPr>
          <w:p w:rsidR="007C1D15" w:rsidRPr="00B6532F" w:rsidRDefault="007C1D15" w:rsidP="00862488">
            <w:pPr>
              <w:pStyle w:val="Standardeinzug"/>
              <w:ind w:left="0"/>
              <w:jc w:val="right"/>
              <w:rPr>
                <w:sz w:val="18"/>
              </w:rPr>
            </w:pPr>
            <w:r w:rsidRPr="00B6532F">
              <w:rPr>
                <w:sz w:val="18"/>
              </w:rPr>
              <w:t>1.000</w:t>
            </w:r>
          </w:p>
        </w:tc>
        <w:tc>
          <w:tcPr>
            <w:tcW w:w="1134" w:type="dxa"/>
          </w:tcPr>
          <w:p w:rsidR="007C1D15" w:rsidRPr="00B6532F" w:rsidRDefault="007C1D15" w:rsidP="00862488">
            <w:pPr>
              <w:pStyle w:val="Standardeinzug"/>
              <w:ind w:left="0"/>
              <w:jc w:val="right"/>
              <w:rPr>
                <w:sz w:val="18"/>
              </w:rPr>
            </w:pPr>
            <w:r w:rsidRPr="00B6532F">
              <w:rPr>
                <w:sz w:val="18"/>
              </w:rPr>
              <w:t>-100</w:t>
            </w:r>
          </w:p>
        </w:tc>
        <w:tc>
          <w:tcPr>
            <w:tcW w:w="3118" w:type="dxa"/>
          </w:tcPr>
          <w:p w:rsidR="007C1D15" w:rsidRPr="00B6532F" w:rsidRDefault="007C1D15" w:rsidP="00862488">
            <w:pPr>
              <w:pStyle w:val="Standardeinzug"/>
              <w:ind w:left="0"/>
              <w:rPr>
                <w:sz w:val="16"/>
              </w:rPr>
            </w:pPr>
            <w:r>
              <w:rPr>
                <w:sz w:val="16"/>
              </w:rPr>
              <w:t xml:space="preserve">Wertberichtigung auf </w:t>
            </w:r>
            <w:r w:rsidRPr="00B6532F">
              <w:rPr>
                <w:b/>
                <w:sz w:val="16"/>
              </w:rPr>
              <w:t>zweifelhafte Forderungen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92" w:type="dxa"/>
          </w:tcPr>
          <w:p w:rsidR="007C1D15" w:rsidRPr="00B6532F" w:rsidRDefault="007C1D15" w:rsidP="00862488">
            <w:pPr>
              <w:pStyle w:val="Standardeinzug"/>
              <w:ind w:left="0"/>
              <w:rPr>
                <w:sz w:val="18"/>
              </w:rPr>
            </w:pPr>
            <w:r w:rsidRPr="00B6532F">
              <w:rPr>
                <w:sz w:val="18"/>
              </w:rPr>
              <w:t>900</w:t>
            </w:r>
          </w:p>
        </w:tc>
      </w:tr>
      <w:tr w:rsidR="007C1D15" w:rsidRPr="00B6532F" w:rsidTr="00862488">
        <w:tc>
          <w:tcPr>
            <w:tcW w:w="1681" w:type="dxa"/>
          </w:tcPr>
          <w:p w:rsidR="007C1D15" w:rsidRPr="00B6532F" w:rsidRDefault="007C1D15" w:rsidP="00862488">
            <w:pPr>
              <w:pStyle w:val="Standardeinzug"/>
              <w:ind w:left="0"/>
              <w:rPr>
                <w:sz w:val="18"/>
              </w:rPr>
            </w:pPr>
            <w:r w:rsidRPr="00B6532F">
              <w:rPr>
                <w:sz w:val="18"/>
              </w:rPr>
              <w:t>Liquide Mittel</w:t>
            </w:r>
          </w:p>
        </w:tc>
        <w:tc>
          <w:tcPr>
            <w:tcW w:w="1434" w:type="dxa"/>
          </w:tcPr>
          <w:p w:rsidR="007C1D15" w:rsidRPr="00B6532F" w:rsidRDefault="007C1D15" w:rsidP="00862488">
            <w:pPr>
              <w:pStyle w:val="Standardeinzug"/>
              <w:ind w:left="0"/>
              <w:jc w:val="right"/>
              <w:rPr>
                <w:sz w:val="18"/>
              </w:rPr>
            </w:pPr>
            <w:r w:rsidRPr="00B6532F">
              <w:rPr>
                <w:sz w:val="18"/>
              </w:rPr>
              <w:t>500</w:t>
            </w:r>
          </w:p>
        </w:tc>
        <w:tc>
          <w:tcPr>
            <w:tcW w:w="1134" w:type="dxa"/>
          </w:tcPr>
          <w:p w:rsidR="007C1D15" w:rsidRPr="00B6532F" w:rsidRDefault="007C1D15" w:rsidP="00862488">
            <w:pPr>
              <w:pStyle w:val="Standardeinzug"/>
              <w:ind w:left="0"/>
              <w:jc w:val="right"/>
              <w:rPr>
                <w:sz w:val="18"/>
              </w:rPr>
            </w:pPr>
            <w:r w:rsidRPr="00B6532F">
              <w:rPr>
                <w:sz w:val="18"/>
              </w:rPr>
              <w:t>0</w:t>
            </w:r>
          </w:p>
        </w:tc>
        <w:tc>
          <w:tcPr>
            <w:tcW w:w="3118" w:type="dxa"/>
          </w:tcPr>
          <w:p w:rsidR="007C1D15" w:rsidRPr="00B6532F" w:rsidRDefault="007C1D15" w:rsidP="00862488">
            <w:pPr>
              <w:pStyle w:val="Standardeinzug"/>
              <w:ind w:left="0"/>
              <w:rPr>
                <w:sz w:val="16"/>
              </w:rPr>
            </w:pPr>
            <w:r>
              <w:rPr>
                <w:sz w:val="16"/>
              </w:rPr>
              <w:t>Keine Anpassung</w:t>
            </w:r>
          </w:p>
        </w:tc>
        <w:tc>
          <w:tcPr>
            <w:tcW w:w="992" w:type="dxa"/>
          </w:tcPr>
          <w:p w:rsidR="007C1D15" w:rsidRPr="00B6532F" w:rsidRDefault="007C1D15" w:rsidP="00862488">
            <w:pPr>
              <w:pStyle w:val="Standardeinzug"/>
              <w:ind w:left="0"/>
              <w:rPr>
                <w:sz w:val="18"/>
              </w:rPr>
            </w:pPr>
            <w:r w:rsidRPr="00B6532F">
              <w:rPr>
                <w:sz w:val="18"/>
              </w:rPr>
              <w:t>500</w:t>
            </w:r>
          </w:p>
        </w:tc>
      </w:tr>
      <w:tr w:rsidR="007C1D15" w:rsidRPr="00B6532F" w:rsidTr="00862488">
        <w:tc>
          <w:tcPr>
            <w:tcW w:w="1681" w:type="dxa"/>
          </w:tcPr>
          <w:p w:rsidR="007C1D15" w:rsidRPr="00B6532F" w:rsidRDefault="007C1D15" w:rsidP="00862488">
            <w:pPr>
              <w:pStyle w:val="Standardeinzug"/>
              <w:ind w:left="0"/>
              <w:rPr>
                <w:b/>
                <w:sz w:val="18"/>
              </w:rPr>
            </w:pPr>
            <w:r w:rsidRPr="00B6532F">
              <w:rPr>
                <w:b/>
                <w:sz w:val="18"/>
              </w:rPr>
              <w:t xml:space="preserve">Bilanzsumme </w:t>
            </w:r>
            <w:r w:rsidRPr="00B6532F">
              <w:rPr>
                <w:b/>
                <w:sz w:val="18"/>
              </w:rPr>
              <w:br/>
              <w:t>Aktiva</w:t>
            </w:r>
          </w:p>
        </w:tc>
        <w:tc>
          <w:tcPr>
            <w:tcW w:w="1434" w:type="dxa"/>
          </w:tcPr>
          <w:p w:rsidR="007C1D15" w:rsidRPr="00B6532F" w:rsidRDefault="007C1D15" w:rsidP="00862488">
            <w:pPr>
              <w:pStyle w:val="Standardeinzug"/>
              <w:ind w:left="0"/>
              <w:jc w:val="right"/>
              <w:rPr>
                <w:b/>
                <w:sz w:val="18"/>
              </w:rPr>
            </w:pPr>
            <w:r w:rsidRPr="00B6532F">
              <w:rPr>
                <w:b/>
                <w:sz w:val="18"/>
              </w:rPr>
              <w:t>7.000</w:t>
            </w:r>
          </w:p>
        </w:tc>
        <w:tc>
          <w:tcPr>
            <w:tcW w:w="1134" w:type="dxa"/>
          </w:tcPr>
          <w:p w:rsidR="007C1D15" w:rsidRPr="00B6532F" w:rsidRDefault="007C1D15" w:rsidP="00862488">
            <w:pPr>
              <w:pStyle w:val="Standardeinzug"/>
              <w:ind w:left="0"/>
              <w:jc w:val="right"/>
              <w:rPr>
                <w:b/>
                <w:sz w:val="18"/>
              </w:rPr>
            </w:pPr>
            <w:r w:rsidRPr="00B6532F">
              <w:rPr>
                <w:b/>
                <w:sz w:val="18"/>
              </w:rPr>
              <w:t>-50</w:t>
            </w:r>
          </w:p>
        </w:tc>
        <w:tc>
          <w:tcPr>
            <w:tcW w:w="3118" w:type="dxa"/>
          </w:tcPr>
          <w:p w:rsidR="007C1D15" w:rsidRPr="00B6532F" w:rsidRDefault="007C1D15" w:rsidP="00862488">
            <w:pPr>
              <w:pStyle w:val="Standardeinzug"/>
              <w:ind w:left="0"/>
              <w:rPr>
                <w:b/>
                <w:sz w:val="16"/>
              </w:rPr>
            </w:pPr>
          </w:p>
        </w:tc>
        <w:tc>
          <w:tcPr>
            <w:tcW w:w="992" w:type="dxa"/>
          </w:tcPr>
          <w:p w:rsidR="007C1D15" w:rsidRPr="00B6532F" w:rsidRDefault="007C1D15" w:rsidP="00862488">
            <w:pPr>
              <w:pStyle w:val="Standardeinzug"/>
              <w:ind w:left="0"/>
              <w:rPr>
                <w:b/>
                <w:sz w:val="18"/>
              </w:rPr>
            </w:pPr>
            <w:r w:rsidRPr="00B6532F">
              <w:rPr>
                <w:b/>
                <w:sz w:val="18"/>
              </w:rPr>
              <w:t>6.950</w:t>
            </w:r>
          </w:p>
        </w:tc>
      </w:tr>
    </w:tbl>
    <w:p w:rsidR="007C1D15" w:rsidRDefault="007C1D15" w:rsidP="007C1D15">
      <w:pPr>
        <w:pStyle w:val="Standardeinzug"/>
      </w:pPr>
    </w:p>
    <w:tbl>
      <w:tblPr>
        <w:tblStyle w:val="Tabellenraster"/>
        <w:tblW w:w="8360" w:type="dxa"/>
        <w:tblInd w:w="708" w:type="dxa"/>
        <w:tblLook w:val="04A0" w:firstRow="1" w:lastRow="0" w:firstColumn="1" w:lastColumn="0" w:noHBand="0" w:noVBand="1"/>
      </w:tblPr>
      <w:tblGrid>
        <w:gridCol w:w="1684"/>
        <w:gridCol w:w="1431"/>
        <w:gridCol w:w="1134"/>
        <w:gridCol w:w="3118"/>
        <w:gridCol w:w="993"/>
      </w:tblGrid>
      <w:tr w:rsidR="007C1D15" w:rsidRPr="00B6532F" w:rsidTr="00862488">
        <w:tc>
          <w:tcPr>
            <w:tcW w:w="1684" w:type="dxa"/>
            <w:shd w:val="clear" w:color="auto" w:fill="D9D9D9" w:themeFill="background1" w:themeFillShade="D9"/>
          </w:tcPr>
          <w:p w:rsidR="007C1D15" w:rsidRPr="00B6532F" w:rsidRDefault="007C1D15" w:rsidP="00862488">
            <w:pPr>
              <w:pStyle w:val="Standardeinzug"/>
              <w:ind w:left="0"/>
              <w:rPr>
                <w:b/>
                <w:sz w:val="18"/>
              </w:rPr>
            </w:pPr>
            <w:r w:rsidRPr="00B6532F">
              <w:rPr>
                <w:b/>
                <w:sz w:val="18"/>
              </w:rPr>
              <w:t>Position</w:t>
            </w:r>
            <w:r>
              <w:rPr>
                <w:b/>
                <w:sz w:val="18"/>
              </w:rPr>
              <w:t xml:space="preserve"> Passiva</w:t>
            </w:r>
          </w:p>
        </w:tc>
        <w:tc>
          <w:tcPr>
            <w:tcW w:w="1431" w:type="dxa"/>
            <w:shd w:val="clear" w:color="auto" w:fill="D9D9D9" w:themeFill="background1" w:themeFillShade="D9"/>
          </w:tcPr>
          <w:p w:rsidR="007C1D15" w:rsidRPr="00B6532F" w:rsidRDefault="007C1D15" w:rsidP="00862488">
            <w:pPr>
              <w:pStyle w:val="Standardeinzug"/>
              <w:ind w:left="0"/>
              <w:rPr>
                <w:b/>
                <w:sz w:val="18"/>
              </w:rPr>
            </w:pPr>
            <w:r w:rsidRPr="00B6532F">
              <w:rPr>
                <w:b/>
                <w:sz w:val="18"/>
              </w:rPr>
              <w:t>PCG-Buchwert</w:t>
            </w:r>
            <w:r w:rsidRPr="00B6532F">
              <w:rPr>
                <w:b/>
                <w:sz w:val="18"/>
              </w:rPr>
              <w:footnoteReference w:id="3"/>
            </w:r>
            <w:r w:rsidRPr="00B6532F">
              <w:rPr>
                <w:b/>
                <w:sz w:val="18"/>
              </w:rPr>
              <w:t xml:space="preserve"> in T€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C1D15" w:rsidRPr="00B6532F" w:rsidRDefault="007C1D15" w:rsidP="00862488">
            <w:pPr>
              <w:pStyle w:val="Standardeinzug"/>
              <w:ind w:left="0"/>
              <w:rPr>
                <w:b/>
                <w:sz w:val="18"/>
              </w:rPr>
            </w:pPr>
            <w:r w:rsidRPr="00B6532F">
              <w:rPr>
                <w:b/>
                <w:sz w:val="18"/>
              </w:rPr>
              <w:t>Anpassung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7C1D15" w:rsidRPr="00B6532F" w:rsidRDefault="007C1D15" w:rsidP="00862488">
            <w:pPr>
              <w:pStyle w:val="Standardeinzug"/>
              <w:ind w:left="0"/>
              <w:rPr>
                <w:b/>
                <w:sz w:val="18"/>
              </w:rPr>
            </w:pPr>
            <w:r w:rsidRPr="00B6532F">
              <w:rPr>
                <w:b/>
                <w:sz w:val="18"/>
              </w:rPr>
              <w:t>Begründung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7C1D15" w:rsidRPr="00B6532F" w:rsidRDefault="007C1D15" w:rsidP="00862488">
            <w:pPr>
              <w:pStyle w:val="Standardeinzug"/>
              <w:ind w:left="0"/>
              <w:rPr>
                <w:b/>
                <w:sz w:val="18"/>
              </w:rPr>
            </w:pPr>
            <w:r w:rsidRPr="00B6532F">
              <w:rPr>
                <w:b/>
                <w:sz w:val="18"/>
              </w:rPr>
              <w:t>HGB-Wert in T€</w:t>
            </w:r>
          </w:p>
        </w:tc>
      </w:tr>
      <w:tr w:rsidR="007C1D15" w:rsidRPr="00B6532F" w:rsidTr="00862488">
        <w:tc>
          <w:tcPr>
            <w:tcW w:w="1684" w:type="dxa"/>
          </w:tcPr>
          <w:p w:rsidR="007C1D15" w:rsidRPr="00B6532F" w:rsidRDefault="007C1D15" w:rsidP="00862488">
            <w:pPr>
              <w:pStyle w:val="Standardeinzug"/>
              <w:ind w:left="0"/>
              <w:rPr>
                <w:sz w:val="18"/>
              </w:rPr>
            </w:pPr>
            <w:r w:rsidRPr="00B6532F">
              <w:rPr>
                <w:sz w:val="18"/>
              </w:rPr>
              <w:t>Gezeichnetes Kapital</w:t>
            </w:r>
          </w:p>
        </w:tc>
        <w:tc>
          <w:tcPr>
            <w:tcW w:w="1431" w:type="dxa"/>
          </w:tcPr>
          <w:p w:rsidR="007C1D15" w:rsidRPr="00B6532F" w:rsidRDefault="007C1D15" w:rsidP="00862488">
            <w:pPr>
              <w:pStyle w:val="Standardeinzug"/>
              <w:ind w:left="0"/>
              <w:rPr>
                <w:sz w:val="18"/>
              </w:rPr>
            </w:pPr>
            <w:r w:rsidRPr="00B6532F">
              <w:rPr>
                <w:sz w:val="18"/>
              </w:rPr>
              <w:t>2.000</w:t>
            </w:r>
          </w:p>
        </w:tc>
        <w:tc>
          <w:tcPr>
            <w:tcW w:w="1134" w:type="dxa"/>
          </w:tcPr>
          <w:p w:rsidR="007C1D15" w:rsidRPr="00B6532F" w:rsidRDefault="007C1D15" w:rsidP="00862488">
            <w:pPr>
              <w:pStyle w:val="Standardeinzug"/>
              <w:ind w:left="0"/>
              <w:rPr>
                <w:sz w:val="18"/>
              </w:rPr>
            </w:pPr>
            <w:r w:rsidRPr="00B6532F">
              <w:rPr>
                <w:sz w:val="18"/>
              </w:rPr>
              <w:t>0</w:t>
            </w:r>
          </w:p>
        </w:tc>
        <w:tc>
          <w:tcPr>
            <w:tcW w:w="3118" w:type="dxa"/>
          </w:tcPr>
          <w:p w:rsidR="007C1D15" w:rsidRPr="00B6532F" w:rsidRDefault="007C1D15" w:rsidP="00862488">
            <w:pPr>
              <w:pStyle w:val="Standardeinzug"/>
              <w:ind w:left="0"/>
              <w:rPr>
                <w:sz w:val="16"/>
              </w:rPr>
            </w:pPr>
            <w:r>
              <w:rPr>
                <w:sz w:val="16"/>
              </w:rPr>
              <w:t>Keine Anpassung</w:t>
            </w:r>
          </w:p>
        </w:tc>
        <w:tc>
          <w:tcPr>
            <w:tcW w:w="993" w:type="dxa"/>
          </w:tcPr>
          <w:p w:rsidR="007C1D15" w:rsidRPr="00B6532F" w:rsidRDefault="007C1D15" w:rsidP="00862488">
            <w:pPr>
              <w:pStyle w:val="Standardeinzug"/>
              <w:ind w:left="0"/>
              <w:rPr>
                <w:sz w:val="18"/>
              </w:rPr>
            </w:pPr>
            <w:r w:rsidRPr="00B6532F">
              <w:rPr>
                <w:sz w:val="18"/>
              </w:rPr>
              <w:t>2.000</w:t>
            </w:r>
          </w:p>
        </w:tc>
      </w:tr>
      <w:tr w:rsidR="007C1D15" w:rsidRPr="00B6532F" w:rsidTr="00862488">
        <w:tc>
          <w:tcPr>
            <w:tcW w:w="1684" w:type="dxa"/>
          </w:tcPr>
          <w:p w:rsidR="007C1D15" w:rsidRPr="00B6532F" w:rsidRDefault="007C1D15" w:rsidP="00862488">
            <w:pPr>
              <w:pStyle w:val="Standardeinzug"/>
              <w:ind w:left="0"/>
              <w:rPr>
                <w:sz w:val="18"/>
              </w:rPr>
            </w:pPr>
            <w:r>
              <w:rPr>
                <w:sz w:val="18"/>
              </w:rPr>
              <w:t xml:space="preserve">Rücklagen/ </w:t>
            </w:r>
            <w:r>
              <w:rPr>
                <w:sz w:val="18"/>
              </w:rPr>
              <w:br/>
            </w:r>
            <w:r w:rsidRPr="00B6532F">
              <w:rPr>
                <w:sz w:val="18"/>
              </w:rPr>
              <w:t>Bilanzgewinn</w:t>
            </w:r>
          </w:p>
        </w:tc>
        <w:tc>
          <w:tcPr>
            <w:tcW w:w="1431" w:type="dxa"/>
          </w:tcPr>
          <w:p w:rsidR="007C1D15" w:rsidRPr="00B6532F" w:rsidRDefault="007C1D15" w:rsidP="00862488">
            <w:pPr>
              <w:pStyle w:val="Standardeinzug"/>
              <w:ind w:left="0"/>
              <w:rPr>
                <w:sz w:val="18"/>
              </w:rPr>
            </w:pPr>
            <w:r w:rsidRPr="00B6532F">
              <w:rPr>
                <w:sz w:val="18"/>
              </w:rPr>
              <w:t>2.000</w:t>
            </w:r>
          </w:p>
        </w:tc>
        <w:tc>
          <w:tcPr>
            <w:tcW w:w="1134" w:type="dxa"/>
          </w:tcPr>
          <w:p w:rsidR="007C1D15" w:rsidRPr="00B6532F" w:rsidRDefault="007C1D15" w:rsidP="00862488">
            <w:pPr>
              <w:pStyle w:val="Standardeinzug"/>
              <w:ind w:left="0"/>
              <w:rPr>
                <w:b/>
                <w:sz w:val="18"/>
              </w:rPr>
            </w:pPr>
            <w:r w:rsidRPr="00B6532F">
              <w:rPr>
                <w:b/>
                <w:color w:val="FFFFFF" w:themeColor="background1"/>
                <w:sz w:val="18"/>
                <w:highlight w:val="red"/>
              </w:rPr>
              <w:t>-350</w:t>
            </w:r>
          </w:p>
        </w:tc>
        <w:tc>
          <w:tcPr>
            <w:tcW w:w="3118" w:type="dxa"/>
          </w:tcPr>
          <w:p w:rsidR="007C1D15" w:rsidRPr="00B6532F" w:rsidRDefault="007C1D15" w:rsidP="00862488">
            <w:pPr>
              <w:pStyle w:val="Standardeinzug"/>
              <w:ind w:left="0"/>
              <w:rPr>
                <w:b/>
                <w:sz w:val="16"/>
              </w:rPr>
            </w:pPr>
            <w:r w:rsidRPr="00B6532F">
              <w:rPr>
                <w:b/>
                <w:color w:val="FFFFFF" w:themeColor="background1"/>
                <w:sz w:val="16"/>
                <w:highlight w:val="red"/>
              </w:rPr>
              <w:t>Saldo Anpassungsbuchungen</w:t>
            </w:r>
          </w:p>
        </w:tc>
        <w:tc>
          <w:tcPr>
            <w:tcW w:w="993" w:type="dxa"/>
          </w:tcPr>
          <w:p w:rsidR="007C1D15" w:rsidRPr="00B6532F" w:rsidRDefault="007C1D15" w:rsidP="00862488">
            <w:pPr>
              <w:pStyle w:val="Standardeinzug"/>
              <w:ind w:left="0"/>
              <w:rPr>
                <w:sz w:val="18"/>
              </w:rPr>
            </w:pPr>
            <w:r w:rsidRPr="00B6532F">
              <w:rPr>
                <w:sz w:val="18"/>
              </w:rPr>
              <w:t>1.650</w:t>
            </w:r>
          </w:p>
        </w:tc>
      </w:tr>
      <w:tr w:rsidR="007C1D15" w:rsidRPr="00B6532F" w:rsidTr="00862488">
        <w:tc>
          <w:tcPr>
            <w:tcW w:w="1684" w:type="dxa"/>
          </w:tcPr>
          <w:p w:rsidR="007C1D15" w:rsidRPr="00B6532F" w:rsidRDefault="007C1D15" w:rsidP="00862488">
            <w:pPr>
              <w:pStyle w:val="Standardeinzug"/>
              <w:ind w:left="0"/>
              <w:rPr>
                <w:sz w:val="18"/>
              </w:rPr>
            </w:pPr>
            <w:r w:rsidRPr="00B6532F">
              <w:rPr>
                <w:sz w:val="18"/>
              </w:rPr>
              <w:t>Rückstellungen</w:t>
            </w:r>
          </w:p>
        </w:tc>
        <w:tc>
          <w:tcPr>
            <w:tcW w:w="1431" w:type="dxa"/>
          </w:tcPr>
          <w:p w:rsidR="007C1D15" w:rsidRPr="00B6532F" w:rsidRDefault="007C1D15" w:rsidP="00862488">
            <w:pPr>
              <w:pStyle w:val="Standardeinzug"/>
              <w:ind w:left="0"/>
              <w:rPr>
                <w:sz w:val="18"/>
              </w:rPr>
            </w:pPr>
            <w:r w:rsidRPr="00B6532F">
              <w:rPr>
                <w:sz w:val="18"/>
              </w:rPr>
              <w:t>1.000</w:t>
            </w:r>
          </w:p>
        </w:tc>
        <w:tc>
          <w:tcPr>
            <w:tcW w:w="1134" w:type="dxa"/>
          </w:tcPr>
          <w:p w:rsidR="007C1D15" w:rsidRPr="00B6532F" w:rsidRDefault="007C1D15" w:rsidP="00862488">
            <w:pPr>
              <w:pStyle w:val="Standardeinzug"/>
              <w:ind w:left="0"/>
              <w:rPr>
                <w:sz w:val="18"/>
              </w:rPr>
            </w:pPr>
            <w:r w:rsidRPr="00B6532F">
              <w:rPr>
                <w:sz w:val="18"/>
              </w:rPr>
              <w:t>+300</w:t>
            </w:r>
          </w:p>
        </w:tc>
        <w:tc>
          <w:tcPr>
            <w:tcW w:w="3118" w:type="dxa"/>
          </w:tcPr>
          <w:p w:rsidR="007C1D15" w:rsidRPr="00B6532F" w:rsidRDefault="007C1D15" w:rsidP="00862488">
            <w:pPr>
              <w:pStyle w:val="Standardeinzug"/>
              <w:ind w:left="0"/>
              <w:rPr>
                <w:sz w:val="16"/>
              </w:rPr>
            </w:pPr>
            <w:r>
              <w:rPr>
                <w:sz w:val="16"/>
              </w:rPr>
              <w:t xml:space="preserve">Bildung </w:t>
            </w:r>
            <w:r w:rsidRPr="00B6532F">
              <w:rPr>
                <w:b/>
                <w:sz w:val="16"/>
              </w:rPr>
              <w:t>zusätzlicher Rückstellungen für ungewisse Verbindlichkeiten</w:t>
            </w:r>
          </w:p>
        </w:tc>
        <w:tc>
          <w:tcPr>
            <w:tcW w:w="993" w:type="dxa"/>
          </w:tcPr>
          <w:p w:rsidR="007C1D15" w:rsidRPr="00B6532F" w:rsidRDefault="007C1D15" w:rsidP="00862488">
            <w:pPr>
              <w:pStyle w:val="Standardeinzug"/>
              <w:ind w:left="0"/>
              <w:rPr>
                <w:sz w:val="18"/>
              </w:rPr>
            </w:pPr>
            <w:r w:rsidRPr="00B6532F">
              <w:rPr>
                <w:sz w:val="18"/>
              </w:rPr>
              <w:t>1.300</w:t>
            </w:r>
          </w:p>
        </w:tc>
      </w:tr>
      <w:tr w:rsidR="007C1D15" w:rsidRPr="00B6532F" w:rsidTr="00862488">
        <w:tc>
          <w:tcPr>
            <w:tcW w:w="1684" w:type="dxa"/>
          </w:tcPr>
          <w:p w:rsidR="007C1D15" w:rsidRPr="00B6532F" w:rsidRDefault="007C1D15" w:rsidP="00862488">
            <w:pPr>
              <w:pStyle w:val="Standardeinzug"/>
              <w:ind w:left="0"/>
              <w:rPr>
                <w:sz w:val="18"/>
              </w:rPr>
            </w:pPr>
            <w:r w:rsidRPr="00B6532F">
              <w:rPr>
                <w:sz w:val="18"/>
              </w:rPr>
              <w:t>Verbindlichkeiten</w:t>
            </w:r>
          </w:p>
        </w:tc>
        <w:tc>
          <w:tcPr>
            <w:tcW w:w="1431" w:type="dxa"/>
          </w:tcPr>
          <w:p w:rsidR="007C1D15" w:rsidRPr="00B6532F" w:rsidRDefault="007C1D15" w:rsidP="00862488">
            <w:pPr>
              <w:pStyle w:val="Standardeinzug"/>
              <w:ind w:left="0"/>
              <w:rPr>
                <w:sz w:val="18"/>
              </w:rPr>
            </w:pPr>
            <w:r w:rsidRPr="00B6532F">
              <w:rPr>
                <w:sz w:val="18"/>
              </w:rPr>
              <w:t>2.000</w:t>
            </w:r>
          </w:p>
        </w:tc>
        <w:tc>
          <w:tcPr>
            <w:tcW w:w="1134" w:type="dxa"/>
          </w:tcPr>
          <w:p w:rsidR="007C1D15" w:rsidRPr="00B6532F" w:rsidRDefault="007C1D15" w:rsidP="00862488">
            <w:pPr>
              <w:pStyle w:val="Standardeinzug"/>
              <w:ind w:left="0"/>
              <w:rPr>
                <w:sz w:val="18"/>
              </w:rPr>
            </w:pPr>
            <w:r w:rsidRPr="00B6532F">
              <w:rPr>
                <w:sz w:val="18"/>
              </w:rPr>
              <w:t>0</w:t>
            </w:r>
          </w:p>
        </w:tc>
        <w:tc>
          <w:tcPr>
            <w:tcW w:w="3118" w:type="dxa"/>
          </w:tcPr>
          <w:p w:rsidR="007C1D15" w:rsidRPr="00B6532F" w:rsidRDefault="007C1D15" w:rsidP="00862488">
            <w:pPr>
              <w:pStyle w:val="Standardeinzug"/>
              <w:ind w:left="0"/>
              <w:rPr>
                <w:sz w:val="16"/>
              </w:rPr>
            </w:pPr>
            <w:r>
              <w:rPr>
                <w:sz w:val="16"/>
              </w:rPr>
              <w:t>Keine Anpassung</w:t>
            </w:r>
          </w:p>
        </w:tc>
        <w:tc>
          <w:tcPr>
            <w:tcW w:w="993" w:type="dxa"/>
          </w:tcPr>
          <w:p w:rsidR="007C1D15" w:rsidRPr="00B6532F" w:rsidRDefault="007C1D15" w:rsidP="00862488">
            <w:pPr>
              <w:pStyle w:val="Standardeinzug"/>
              <w:ind w:left="0"/>
              <w:rPr>
                <w:sz w:val="18"/>
              </w:rPr>
            </w:pPr>
            <w:r w:rsidRPr="00B6532F">
              <w:rPr>
                <w:sz w:val="18"/>
              </w:rPr>
              <w:t>2.000</w:t>
            </w:r>
          </w:p>
        </w:tc>
      </w:tr>
      <w:tr w:rsidR="007C1D15" w:rsidRPr="00B6532F" w:rsidTr="00862488">
        <w:tc>
          <w:tcPr>
            <w:tcW w:w="1684" w:type="dxa"/>
          </w:tcPr>
          <w:p w:rsidR="007C1D15" w:rsidRPr="00B6532F" w:rsidRDefault="007C1D15" w:rsidP="00862488">
            <w:pPr>
              <w:pStyle w:val="Standardeinzug"/>
              <w:ind w:left="0"/>
              <w:rPr>
                <w:b/>
                <w:sz w:val="18"/>
              </w:rPr>
            </w:pPr>
            <w:r w:rsidRPr="00B6532F">
              <w:rPr>
                <w:b/>
                <w:sz w:val="18"/>
              </w:rPr>
              <w:t xml:space="preserve">Bilanzsumme </w:t>
            </w:r>
            <w:r w:rsidRPr="00B6532F">
              <w:rPr>
                <w:b/>
                <w:sz w:val="18"/>
              </w:rPr>
              <w:br/>
              <w:t>Passiva</w:t>
            </w:r>
          </w:p>
        </w:tc>
        <w:tc>
          <w:tcPr>
            <w:tcW w:w="1431" w:type="dxa"/>
          </w:tcPr>
          <w:p w:rsidR="007C1D15" w:rsidRPr="00B6532F" w:rsidRDefault="007C1D15" w:rsidP="00862488">
            <w:pPr>
              <w:pStyle w:val="Standardeinzug"/>
              <w:ind w:left="0"/>
              <w:rPr>
                <w:b/>
                <w:sz w:val="18"/>
              </w:rPr>
            </w:pPr>
            <w:r w:rsidRPr="00B6532F">
              <w:rPr>
                <w:b/>
                <w:sz w:val="18"/>
              </w:rPr>
              <w:t>7.000</w:t>
            </w:r>
          </w:p>
        </w:tc>
        <w:tc>
          <w:tcPr>
            <w:tcW w:w="1134" w:type="dxa"/>
          </w:tcPr>
          <w:p w:rsidR="007C1D15" w:rsidRPr="00B6532F" w:rsidRDefault="007C1D15" w:rsidP="00862488">
            <w:pPr>
              <w:pStyle w:val="Standardeinzug"/>
              <w:ind w:left="0"/>
              <w:rPr>
                <w:b/>
                <w:sz w:val="18"/>
              </w:rPr>
            </w:pPr>
            <w:r w:rsidRPr="00B6532F">
              <w:rPr>
                <w:b/>
                <w:sz w:val="18"/>
              </w:rPr>
              <w:t>-50</w:t>
            </w:r>
          </w:p>
        </w:tc>
        <w:tc>
          <w:tcPr>
            <w:tcW w:w="3118" w:type="dxa"/>
          </w:tcPr>
          <w:p w:rsidR="007C1D15" w:rsidRPr="00B6532F" w:rsidRDefault="007C1D15" w:rsidP="00862488">
            <w:pPr>
              <w:pStyle w:val="Standardeinzug"/>
              <w:ind w:left="0"/>
              <w:rPr>
                <w:b/>
                <w:sz w:val="16"/>
              </w:rPr>
            </w:pPr>
          </w:p>
        </w:tc>
        <w:tc>
          <w:tcPr>
            <w:tcW w:w="993" w:type="dxa"/>
          </w:tcPr>
          <w:p w:rsidR="007C1D15" w:rsidRPr="00B6532F" w:rsidRDefault="007C1D15" w:rsidP="00862488">
            <w:pPr>
              <w:pStyle w:val="Standardeinzug"/>
              <w:ind w:left="0"/>
              <w:rPr>
                <w:b/>
                <w:sz w:val="18"/>
              </w:rPr>
            </w:pPr>
            <w:r w:rsidRPr="00B6532F">
              <w:rPr>
                <w:b/>
                <w:sz w:val="18"/>
              </w:rPr>
              <w:t>6.950</w:t>
            </w:r>
          </w:p>
        </w:tc>
      </w:tr>
    </w:tbl>
    <w:p w:rsidR="007C1D15" w:rsidRPr="00B6532F" w:rsidRDefault="007C1D15" w:rsidP="007C1D15">
      <w:pPr>
        <w:pStyle w:val="Standardeinzug"/>
      </w:pPr>
    </w:p>
    <w:p w:rsidR="007C1D15" w:rsidRDefault="007C1D15" w:rsidP="00E137AC">
      <w:pPr>
        <w:pStyle w:val="Standardeinzug"/>
        <w:ind w:left="357" w:hanging="357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Summe Anpassungssaldo = 350 T€</w:t>
      </w:r>
    </w:p>
    <w:p w:rsidR="007C1D15" w:rsidRDefault="007C1D15" w:rsidP="00E137AC">
      <w:pPr>
        <w:pStyle w:val="Standardeinzug"/>
        <w:ind w:left="0"/>
        <w:rPr>
          <w:color w:val="000000" w:themeColor="text1"/>
        </w:rPr>
      </w:pPr>
      <w:r>
        <w:rPr>
          <w:color w:val="000000" w:themeColor="text1"/>
        </w:rPr>
        <w:t xml:space="preserve">Dieser Saldo kann nach IDW RS FAB 41 </w:t>
      </w:r>
      <w:r w:rsidRPr="00CA31CF">
        <w:rPr>
          <w:b/>
          <w:color w:val="FF0000"/>
        </w:rPr>
        <w:t>wahlweise</w:t>
      </w:r>
      <w:r w:rsidRPr="00CA31CF">
        <w:rPr>
          <w:color w:val="FF0000"/>
        </w:rPr>
        <w:t xml:space="preserve"> </w:t>
      </w:r>
    </w:p>
    <w:p w:rsidR="007C1D15" w:rsidRDefault="007C1D15" w:rsidP="00E137AC">
      <w:pPr>
        <w:pStyle w:val="Aufzhlungszeichen"/>
        <w:ind w:left="851" w:hanging="425"/>
      </w:pPr>
      <w:r w:rsidRPr="00CA31CF">
        <w:rPr>
          <w:b/>
        </w:rPr>
        <w:t>erfolgswirksam</w:t>
      </w:r>
      <w:r>
        <w:t xml:space="preserve"> (GuV) oder </w:t>
      </w:r>
    </w:p>
    <w:p w:rsidR="007C1D15" w:rsidRDefault="007C1D15" w:rsidP="00E137AC">
      <w:pPr>
        <w:pStyle w:val="Aufzhlungszeichen"/>
        <w:ind w:left="851" w:hanging="425"/>
      </w:pPr>
      <w:r w:rsidRPr="00CA31CF">
        <w:rPr>
          <w:b/>
        </w:rPr>
        <w:t>erfolgsneutral</w:t>
      </w:r>
      <w:r>
        <w:t xml:space="preserve"> (Eigenkapital) </w:t>
      </w:r>
    </w:p>
    <w:p w:rsidR="007C1D15" w:rsidRDefault="007C1D15" w:rsidP="00E137AC">
      <w:pPr>
        <w:pStyle w:val="Aufzhlungszeichen"/>
        <w:numPr>
          <w:ilvl w:val="0"/>
          <w:numId w:val="0"/>
        </w:numPr>
      </w:pPr>
      <w:r>
        <w:t xml:space="preserve">gebucht werden. </w:t>
      </w:r>
    </w:p>
    <w:p w:rsidR="007C1D15" w:rsidRDefault="007C1D15" w:rsidP="00E137AC">
      <w:pPr>
        <w:pStyle w:val="Standardeinzug"/>
        <w:ind w:left="0"/>
        <w:rPr>
          <w:color w:val="000000" w:themeColor="text1"/>
        </w:rPr>
      </w:pPr>
      <w:r>
        <w:rPr>
          <w:color w:val="000000" w:themeColor="text1"/>
        </w:rPr>
        <w:t xml:space="preserve">Die gewählte Methode ist im </w:t>
      </w:r>
      <w:r w:rsidRPr="00CA31CF">
        <w:rPr>
          <w:b/>
          <w:color w:val="000000" w:themeColor="text1"/>
        </w:rPr>
        <w:t>Anhang</w:t>
      </w:r>
      <w:r>
        <w:rPr>
          <w:color w:val="000000" w:themeColor="text1"/>
        </w:rPr>
        <w:t xml:space="preserve"> anzugeben.</w:t>
      </w:r>
    </w:p>
    <w:p w:rsidR="00066E3A" w:rsidRDefault="00066E3A" w:rsidP="00E137AC">
      <w:pPr>
        <w:pStyle w:val="Standardeinzug"/>
        <w:ind w:left="0"/>
        <w:rPr>
          <w:color w:val="000000" w:themeColor="text1"/>
        </w:rPr>
      </w:pPr>
    </w:p>
    <w:p w:rsidR="00066E3A" w:rsidRPr="000175D6" w:rsidRDefault="00101C73" w:rsidP="00066E3A">
      <w:pPr>
        <w:pStyle w:val="Standardeinzug"/>
        <w:numPr>
          <w:ilvl w:val="0"/>
          <w:numId w:val="22"/>
        </w:numPr>
        <w:rPr>
          <w:b/>
          <w:color w:val="00B0F0"/>
          <w:sz w:val="24"/>
        </w:rPr>
      </w:pPr>
      <w:r>
        <w:rPr>
          <w:b/>
          <w:color w:val="00B0F0"/>
          <w:sz w:val="24"/>
        </w:rPr>
        <w:t xml:space="preserve">Erforderliche </w:t>
      </w:r>
      <w:r w:rsidR="00066E3A" w:rsidRPr="000175D6">
        <w:rPr>
          <w:b/>
          <w:color w:val="00B0F0"/>
          <w:sz w:val="24"/>
        </w:rPr>
        <w:t>Angaben im Anhang</w:t>
      </w:r>
      <w:r w:rsidR="00066E3A">
        <w:rPr>
          <w:rStyle w:val="Funotenzeichen"/>
          <w:b/>
          <w:color w:val="00B0F0"/>
          <w:sz w:val="24"/>
        </w:rPr>
        <w:footnoteReference w:id="4"/>
      </w:r>
      <w:r>
        <w:rPr>
          <w:b/>
          <w:color w:val="00B0F0"/>
          <w:sz w:val="24"/>
        </w:rPr>
        <w:t xml:space="preserve"> (Formulierungsbeispiel)</w:t>
      </w:r>
    </w:p>
    <w:p w:rsidR="00066E3A" w:rsidRPr="00C4708A" w:rsidRDefault="00C4708A" w:rsidP="00066E3A">
      <w:pPr>
        <w:pStyle w:val="Standardeinzug"/>
        <w:numPr>
          <w:ilvl w:val="0"/>
          <w:numId w:val="23"/>
        </w:numPr>
        <w:jc w:val="left"/>
        <w:rPr>
          <w:b/>
          <w:i/>
          <w:color w:val="000000" w:themeColor="text1"/>
        </w:rPr>
      </w:pPr>
      <w:r w:rsidRPr="00C4708A">
        <w:rPr>
          <w:b/>
          <w:i/>
          <w:color w:val="000000" w:themeColor="text1"/>
        </w:rPr>
        <w:t>„</w:t>
      </w:r>
      <w:r w:rsidR="00066E3A" w:rsidRPr="00C4708A">
        <w:rPr>
          <w:b/>
          <w:i/>
          <w:color w:val="000000" w:themeColor="text1"/>
        </w:rPr>
        <w:t>Hinweise zum Formwechsel und erstmaligen Ansatz nach HGB</w:t>
      </w:r>
      <w:r w:rsidR="00066E3A" w:rsidRPr="00C4708A">
        <w:rPr>
          <w:b/>
          <w:i/>
          <w:color w:val="000000" w:themeColor="text1"/>
        </w:rPr>
        <w:br/>
      </w:r>
      <w:r w:rsidR="00066E3A" w:rsidRPr="00C4708A">
        <w:rPr>
          <w:b/>
          <w:i/>
          <w:color w:val="000000" w:themeColor="text1"/>
        </w:rPr>
        <w:br/>
      </w:r>
      <w:r w:rsidR="00066E3A" w:rsidRPr="00C4708A">
        <w:rPr>
          <w:i/>
          <w:color w:val="000000" w:themeColor="text1"/>
        </w:rPr>
        <w:t xml:space="preserve">Die Gesellschaft hat im Geschäftsjahr </w:t>
      </w:r>
      <w:r w:rsidR="00066E3A" w:rsidRPr="00C4708A">
        <w:rPr>
          <w:b/>
          <w:i/>
          <w:color w:val="000000" w:themeColor="text1"/>
        </w:rPr>
        <w:t>erstmals einen Jahresabschluss nach deutschem Handelsrecht</w:t>
      </w:r>
      <w:r w:rsidR="00066E3A" w:rsidRPr="00C4708A">
        <w:rPr>
          <w:i/>
          <w:color w:val="000000" w:themeColor="text1"/>
        </w:rPr>
        <w:t xml:space="preserve"> aufzustellen, da </w:t>
      </w:r>
      <w:r w:rsidR="00066E3A" w:rsidRPr="00C4708A">
        <w:rPr>
          <w:b/>
          <w:i/>
          <w:color w:val="000000" w:themeColor="text1"/>
        </w:rPr>
        <w:t>am 01.01.2025 der Formwechsel</w:t>
      </w:r>
      <w:r w:rsidR="00066E3A" w:rsidRPr="00C4708A">
        <w:rPr>
          <w:i/>
          <w:color w:val="000000" w:themeColor="text1"/>
        </w:rPr>
        <w:t xml:space="preserve"> von einer Société par Actions </w:t>
      </w:r>
      <w:proofErr w:type="spellStart"/>
      <w:r w:rsidR="00066E3A" w:rsidRPr="00C4708A">
        <w:rPr>
          <w:i/>
          <w:color w:val="000000" w:themeColor="text1"/>
        </w:rPr>
        <w:t>Simplifiée</w:t>
      </w:r>
      <w:proofErr w:type="spellEnd"/>
      <w:r w:rsidR="00066E3A" w:rsidRPr="00C4708A">
        <w:rPr>
          <w:i/>
          <w:color w:val="000000" w:themeColor="text1"/>
        </w:rPr>
        <w:t xml:space="preserve"> (SAS) französischen Rechts in eine Gesellschaft mit beschränkter Haftung (GmbH) deutschen Rechts nach den Vorschriften des Umwandlungsrechts </w:t>
      </w:r>
      <w:r w:rsidR="00066E3A" w:rsidRPr="00C4708A">
        <w:rPr>
          <w:b/>
          <w:i/>
          <w:color w:val="000000" w:themeColor="text1"/>
        </w:rPr>
        <w:t>wirksam</w:t>
      </w:r>
      <w:r w:rsidR="00066E3A" w:rsidRPr="00C4708A">
        <w:rPr>
          <w:i/>
          <w:color w:val="000000" w:themeColor="text1"/>
        </w:rPr>
        <w:t xml:space="preserve"> wurde. </w:t>
      </w:r>
      <w:r w:rsidR="00066E3A" w:rsidRPr="00C4708A">
        <w:rPr>
          <w:b/>
          <w:i/>
          <w:color w:val="000000" w:themeColor="text1"/>
        </w:rPr>
        <w:br/>
      </w:r>
    </w:p>
    <w:p w:rsidR="00066E3A" w:rsidRPr="00C4708A" w:rsidRDefault="00066E3A" w:rsidP="00066E3A">
      <w:pPr>
        <w:pStyle w:val="Standardeinzug"/>
        <w:numPr>
          <w:ilvl w:val="0"/>
          <w:numId w:val="23"/>
        </w:numPr>
        <w:jc w:val="left"/>
        <w:rPr>
          <w:b/>
          <w:i/>
          <w:color w:val="000000" w:themeColor="text1"/>
        </w:rPr>
      </w:pPr>
      <w:r w:rsidRPr="00C4708A">
        <w:rPr>
          <w:b/>
          <w:i/>
          <w:color w:val="000000" w:themeColor="text1"/>
        </w:rPr>
        <w:t>Überleitung des Eigenkapitals und Vermögenswerte</w:t>
      </w:r>
      <w:r w:rsidRPr="00C4708A">
        <w:rPr>
          <w:b/>
          <w:i/>
          <w:color w:val="000000" w:themeColor="text1"/>
        </w:rPr>
        <w:br/>
      </w:r>
      <w:r w:rsidRPr="00C4708A">
        <w:rPr>
          <w:b/>
          <w:i/>
          <w:color w:val="000000" w:themeColor="text1"/>
        </w:rPr>
        <w:br/>
      </w:r>
      <w:r w:rsidRPr="00C4708A">
        <w:rPr>
          <w:i/>
          <w:color w:val="000000" w:themeColor="text1"/>
        </w:rPr>
        <w:t xml:space="preserve">Im Rahmen des Formwechsels wurden die </w:t>
      </w:r>
      <w:r w:rsidRPr="00C4708A">
        <w:rPr>
          <w:b/>
          <w:i/>
          <w:color w:val="000000" w:themeColor="text1"/>
        </w:rPr>
        <w:t>Bilanzansätze zum 31.12.2024 gemäß</w:t>
      </w:r>
      <w:r w:rsidR="004C4255">
        <w:rPr>
          <w:b/>
          <w:i/>
          <w:color w:val="000000" w:themeColor="text1"/>
        </w:rPr>
        <w:t xml:space="preserve"> den</w:t>
      </w:r>
      <w:r w:rsidRPr="00C4708A">
        <w:rPr>
          <w:b/>
          <w:i/>
          <w:color w:val="000000" w:themeColor="text1"/>
        </w:rPr>
        <w:t xml:space="preserve"> französischen Rechnungslegungsvorschriften überprüft</w:t>
      </w:r>
      <w:r w:rsidRPr="00C4708A">
        <w:rPr>
          <w:i/>
          <w:color w:val="000000" w:themeColor="text1"/>
        </w:rPr>
        <w:t xml:space="preserve"> und entsprechend </w:t>
      </w:r>
      <w:r w:rsidRPr="00C4708A">
        <w:rPr>
          <w:b/>
          <w:i/>
          <w:color w:val="000000" w:themeColor="text1"/>
        </w:rPr>
        <w:t>den Ansatz- und Bewertungsvorschriften des deutschen HGB zum 01.01.2025 übergeleitet.</w:t>
      </w:r>
      <w:r w:rsidRPr="00C4708A">
        <w:rPr>
          <w:b/>
          <w:i/>
          <w:color w:val="000000" w:themeColor="text1"/>
        </w:rPr>
        <w:br/>
      </w:r>
      <w:r w:rsidRPr="00C4708A">
        <w:rPr>
          <w:b/>
          <w:i/>
          <w:color w:val="000000" w:themeColor="text1"/>
        </w:rPr>
        <w:br/>
        <w:t xml:space="preserve">Nicht übernahmefähige Vermögenswerte </w:t>
      </w:r>
      <w:r w:rsidRPr="00C4708A">
        <w:rPr>
          <w:i/>
          <w:color w:val="000000" w:themeColor="text1"/>
        </w:rPr>
        <w:t xml:space="preserve">wurden im Rahmen dieser Überleitung eliminiert bzw. </w:t>
      </w:r>
      <w:r w:rsidRPr="00C4708A">
        <w:rPr>
          <w:b/>
          <w:i/>
          <w:color w:val="000000" w:themeColor="text1"/>
        </w:rPr>
        <w:t>nicht enthaltene Rückstellungen</w:t>
      </w:r>
      <w:r w:rsidRPr="00C4708A">
        <w:rPr>
          <w:i/>
          <w:color w:val="000000" w:themeColor="text1"/>
        </w:rPr>
        <w:t xml:space="preserve"> eingebucht. Die </w:t>
      </w:r>
      <w:r w:rsidRPr="00C4708A">
        <w:rPr>
          <w:b/>
          <w:i/>
          <w:color w:val="000000" w:themeColor="text1"/>
        </w:rPr>
        <w:t>Gegenbuchung</w:t>
      </w:r>
      <w:r w:rsidRPr="00C4708A">
        <w:rPr>
          <w:i/>
          <w:color w:val="000000" w:themeColor="text1"/>
        </w:rPr>
        <w:t xml:space="preserve"> erfolgte als sog. </w:t>
      </w:r>
      <w:r w:rsidRPr="00C4708A">
        <w:rPr>
          <w:b/>
          <w:i/>
          <w:color w:val="FF0000"/>
        </w:rPr>
        <w:t>„Anpassungssaldo“</w:t>
      </w:r>
      <w:r w:rsidRPr="00C4708A">
        <w:rPr>
          <w:i/>
          <w:color w:val="FF0000"/>
        </w:rPr>
        <w:t xml:space="preserve"> </w:t>
      </w:r>
      <w:r w:rsidRPr="00C4708A">
        <w:rPr>
          <w:i/>
          <w:color w:val="000000" w:themeColor="text1"/>
        </w:rPr>
        <w:t xml:space="preserve">zur Wahrung der Bilanzkontinuität. </w:t>
      </w:r>
      <w:r w:rsidRPr="00C4708A">
        <w:rPr>
          <w:i/>
          <w:color w:val="000000" w:themeColor="text1"/>
        </w:rPr>
        <w:br/>
      </w:r>
      <w:r w:rsidRPr="00C4708A">
        <w:rPr>
          <w:i/>
          <w:color w:val="000000" w:themeColor="text1"/>
        </w:rPr>
        <w:br/>
        <w:t xml:space="preserve">Der </w:t>
      </w:r>
      <w:r w:rsidRPr="00C4708A">
        <w:rPr>
          <w:b/>
          <w:i/>
          <w:color w:val="000000" w:themeColor="text1"/>
        </w:rPr>
        <w:t xml:space="preserve">Anpassungssaldo aus der Überleitung beträgt -350 T€ </w:t>
      </w:r>
      <w:r w:rsidRPr="00C4708A">
        <w:rPr>
          <w:i/>
          <w:color w:val="000000" w:themeColor="text1"/>
        </w:rPr>
        <w:t>und resultiert im Wesentlichen aus der Eliminierung von nach deutschem Recht nicht zulässigen Aktivposten und Bildung zusätzlicher Rückstellungen.</w:t>
      </w:r>
      <w:r w:rsidRPr="00C4708A">
        <w:rPr>
          <w:i/>
          <w:color w:val="000000" w:themeColor="text1"/>
        </w:rPr>
        <w:br/>
      </w:r>
      <w:r w:rsidRPr="00C4708A">
        <w:rPr>
          <w:i/>
          <w:color w:val="000000" w:themeColor="text1"/>
        </w:rPr>
        <w:br/>
      </w:r>
      <w:r w:rsidRPr="00C4708A">
        <w:rPr>
          <w:i/>
          <w:color w:val="00B0F0"/>
        </w:rPr>
        <w:t>[Hinweis: hier könnte ggf. die Überleitungsrechnung im Detail zur besseren Nachvollziehbarkeit eingefügt werden.]</w:t>
      </w:r>
      <w:r w:rsidRPr="00C4708A">
        <w:rPr>
          <w:b/>
          <w:i/>
          <w:color w:val="00B0F0"/>
        </w:rPr>
        <w:br/>
      </w:r>
    </w:p>
    <w:p w:rsidR="004C4255" w:rsidRDefault="00066E3A" w:rsidP="00066E3A">
      <w:pPr>
        <w:pStyle w:val="Standardeinzug"/>
        <w:numPr>
          <w:ilvl w:val="0"/>
          <w:numId w:val="23"/>
        </w:numPr>
        <w:jc w:val="left"/>
        <w:rPr>
          <w:i/>
          <w:color w:val="000000" w:themeColor="text1"/>
        </w:rPr>
      </w:pPr>
      <w:r w:rsidRPr="00C4708A">
        <w:rPr>
          <w:b/>
          <w:i/>
          <w:color w:val="000000" w:themeColor="text1"/>
        </w:rPr>
        <w:t>Behandlung des Anpassungssaldos</w:t>
      </w:r>
      <w:r w:rsidRPr="00C4708A">
        <w:rPr>
          <w:i/>
          <w:color w:val="000000" w:themeColor="text1"/>
        </w:rPr>
        <w:br/>
      </w:r>
      <w:r w:rsidRPr="00C4708A">
        <w:rPr>
          <w:i/>
          <w:color w:val="000000" w:themeColor="text1"/>
        </w:rPr>
        <w:br/>
        <w:t xml:space="preserve">Gemäß IDW RS FAB 41 wurde das </w:t>
      </w:r>
      <w:r w:rsidRPr="00C4708A">
        <w:rPr>
          <w:b/>
          <w:i/>
          <w:color w:val="000000" w:themeColor="text1"/>
        </w:rPr>
        <w:t>Wahlrecht</w:t>
      </w:r>
      <w:r w:rsidRPr="00C4708A">
        <w:rPr>
          <w:i/>
          <w:color w:val="000000" w:themeColor="text1"/>
        </w:rPr>
        <w:t xml:space="preserve"> ausgeübt, den Anpassungssaldo </w:t>
      </w:r>
      <w:r w:rsidRPr="00C4708A">
        <w:rPr>
          <w:b/>
          <w:i/>
          <w:color w:val="000000" w:themeColor="text1"/>
        </w:rPr>
        <w:t>erfolgsneutral</w:t>
      </w:r>
      <w:r w:rsidRPr="00C4708A">
        <w:rPr>
          <w:i/>
          <w:color w:val="000000" w:themeColor="text1"/>
        </w:rPr>
        <w:t xml:space="preserve"> </w:t>
      </w:r>
      <w:r w:rsidRPr="00C4708A">
        <w:rPr>
          <w:b/>
          <w:i/>
          <w:color w:val="000000" w:themeColor="text1"/>
        </w:rPr>
        <w:t>unmittelbar gegen das Eigenkapital</w:t>
      </w:r>
      <w:r w:rsidRPr="00C4708A">
        <w:rPr>
          <w:i/>
          <w:color w:val="000000" w:themeColor="text1"/>
        </w:rPr>
        <w:t xml:space="preserve"> zu buchen.</w:t>
      </w:r>
    </w:p>
    <w:p w:rsidR="004C4255" w:rsidRDefault="004C4255">
      <w:pPr>
        <w:spacing w:before="0"/>
        <w:jc w:val="left"/>
        <w:rPr>
          <w:i/>
          <w:color w:val="000000" w:themeColor="text1"/>
        </w:rPr>
      </w:pPr>
      <w:r>
        <w:rPr>
          <w:i/>
          <w:color w:val="000000" w:themeColor="text1"/>
        </w:rPr>
        <w:br w:type="page"/>
      </w:r>
    </w:p>
    <w:p w:rsidR="00066E3A" w:rsidRDefault="00066E3A" w:rsidP="00066E3A">
      <w:pPr>
        <w:pStyle w:val="Standardeinzug"/>
        <w:numPr>
          <w:ilvl w:val="0"/>
          <w:numId w:val="23"/>
        </w:numPr>
        <w:jc w:val="left"/>
        <w:rPr>
          <w:color w:val="000000" w:themeColor="text1"/>
        </w:rPr>
      </w:pPr>
      <w:r w:rsidRPr="00C4708A">
        <w:rPr>
          <w:b/>
          <w:i/>
          <w:color w:val="000000" w:themeColor="text1"/>
        </w:rPr>
        <w:lastRenderedPageBreak/>
        <w:t>Vergleichbarkeit mit Vorjahr</w:t>
      </w:r>
      <w:r w:rsidRPr="00C4708A">
        <w:rPr>
          <w:i/>
          <w:color w:val="000000" w:themeColor="text1"/>
        </w:rPr>
        <w:br/>
      </w:r>
      <w:r w:rsidRPr="00C4708A">
        <w:rPr>
          <w:i/>
          <w:color w:val="000000" w:themeColor="text1"/>
        </w:rPr>
        <w:br/>
        <w:t xml:space="preserve">Der </w:t>
      </w:r>
      <w:r w:rsidRPr="00C4708A">
        <w:rPr>
          <w:b/>
          <w:i/>
          <w:color w:val="000000" w:themeColor="text1"/>
        </w:rPr>
        <w:t>Vorjahresabschluss wurde nach französischer Rechnungslegung</w:t>
      </w:r>
      <w:r w:rsidRPr="00C4708A">
        <w:rPr>
          <w:i/>
          <w:color w:val="000000" w:themeColor="text1"/>
        </w:rPr>
        <w:t xml:space="preserve"> aufgestellt, somit sind die Vorjahreszahlen mit den deutschen Zahlen </w:t>
      </w:r>
      <w:r w:rsidRPr="00C4708A">
        <w:rPr>
          <w:b/>
          <w:i/>
          <w:color w:val="000000" w:themeColor="text1"/>
        </w:rPr>
        <w:t>nur eingeschränkt vergleichbar</w:t>
      </w:r>
      <w:r w:rsidRPr="00C4708A">
        <w:rPr>
          <w:i/>
          <w:color w:val="000000" w:themeColor="text1"/>
        </w:rPr>
        <w:t xml:space="preserve">. </w:t>
      </w:r>
      <w:r w:rsidRPr="00C4708A">
        <w:rPr>
          <w:i/>
          <w:color w:val="000000" w:themeColor="text1"/>
        </w:rPr>
        <w:br/>
      </w:r>
      <w:r w:rsidRPr="00C4708A">
        <w:rPr>
          <w:i/>
          <w:color w:val="000000" w:themeColor="text1"/>
        </w:rPr>
        <w:br/>
        <w:t xml:space="preserve">Alle wesentlichen Überleitungs- und Anpassungsmaßnahmen und deren Auswirkungen sind in der </w:t>
      </w:r>
      <w:r w:rsidRPr="00C4708A">
        <w:rPr>
          <w:b/>
          <w:i/>
          <w:color w:val="000000" w:themeColor="text1"/>
        </w:rPr>
        <w:t>Überleitungsrechnung</w:t>
      </w:r>
      <w:r w:rsidRPr="00C4708A">
        <w:rPr>
          <w:i/>
          <w:color w:val="000000" w:themeColor="text1"/>
        </w:rPr>
        <w:t xml:space="preserve"> sowie in den </w:t>
      </w:r>
      <w:r w:rsidRPr="00C4708A">
        <w:rPr>
          <w:b/>
          <w:i/>
          <w:color w:val="000000" w:themeColor="text1"/>
        </w:rPr>
        <w:t xml:space="preserve">Erläuterungen zu den einzelnen Bilanzposten </w:t>
      </w:r>
      <w:r w:rsidRPr="00C4708A">
        <w:rPr>
          <w:i/>
          <w:color w:val="000000" w:themeColor="text1"/>
        </w:rPr>
        <w:t>beschrieben.</w:t>
      </w:r>
      <w:r w:rsidR="00C4708A" w:rsidRPr="00C4708A">
        <w:rPr>
          <w:i/>
          <w:color w:val="000000" w:themeColor="text1"/>
        </w:rPr>
        <w:t>“</w:t>
      </w:r>
      <w:r>
        <w:rPr>
          <w:color w:val="000000" w:themeColor="text1"/>
        </w:rPr>
        <w:t xml:space="preserve"> </w:t>
      </w:r>
    </w:p>
    <w:p w:rsidR="007C1D15" w:rsidRPr="007C1D15" w:rsidRDefault="007C1D15" w:rsidP="007C1D15">
      <w:pPr>
        <w:pStyle w:val="Standardeinzug"/>
      </w:pPr>
    </w:p>
    <w:sectPr w:rsidR="007C1D15" w:rsidRPr="007C1D15" w:rsidSect="00163360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1099" w:right="1701" w:bottom="1134" w:left="1134" w:header="113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6F76" w:rsidRDefault="005C6F76">
      <w:pPr>
        <w:spacing w:before="0"/>
      </w:pPr>
      <w:r>
        <w:separator/>
      </w:r>
    </w:p>
  </w:endnote>
  <w:endnote w:type="continuationSeparator" w:id="0">
    <w:p w:rsidR="005C6F76" w:rsidRDefault="005C6F7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344"/>
      <w:gridCol w:w="4491"/>
      <w:gridCol w:w="2237"/>
    </w:tblGrid>
    <w:tr w:rsidR="00E72E48" w:rsidRPr="006407A6" w:rsidTr="006407A6">
      <w:trPr>
        <w:trHeight w:hRule="exact" w:val="1191"/>
        <w:jc w:val="center"/>
      </w:trPr>
      <w:tc>
        <w:tcPr>
          <w:tcW w:w="2376" w:type="dxa"/>
          <w:vAlign w:val="bottom"/>
        </w:tcPr>
        <w:p w:rsidR="00E72E48" w:rsidRPr="006407A6" w:rsidRDefault="00E72E48" w:rsidP="007C5B77">
          <w:pPr>
            <w:tabs>
              <w:tab w:val="left" w:pos="2100"/>
            </w:tabs>
            <w:spacing w:before="0"/>
            <w:jc w:val="left"/>
            <w:rPr>
              <w:sz w:val="20"/>
            </w:rPr>
          </w:pPr>
          <w:r w:rsidRPr="00E72E48">
            <w:rPr>
              <w:sz w:val="20"/>
            </w:rPr>
            <w:t xml:space="preserve">Seite </w:t>
          </w:r>
          <w:r w:rsidRPr="006407A6">
            <w:rPr>
              <w:sz w:val="20"/>
            </w:rPr>
            <w:fldChar w:fldCharType="begin"/>
          </w:r>
          <w:r w:rsidRPr="006407A6">
            <w:rPr>
              <w:sz w:val="20"/>
            </w:rPr>
            <w:instrText>PAGE   \* MERGEFORMAT</w:instrText>
          </w:r>
          <w:r w:rsidRPr="006407A6">
            <w:rPr>
              <w:sz w:val="20"/>
            </w:rPr>
            <w:fldChar w:fldCharType="separate"/>
          </w:r>
          <w:r w:rsidRPr="006407A6">
            <w:rPr>
              <w:sz w:val="20"/>
            </w:rPr>
            <w:t>1</w:t>
          </w:r>
          <w:r w:rsidRPr="006407A6">
            <w:rPr>
              <w:sz w:val="20"/>
            </w:rPr>
            <w:fldChar w:fldCharType="end"/>
          </w:r>
          <w:r w:rsidRPr="006407A6">
            <w:rPr>
              <w:sz w:val="20"/>
            </w:rPr>
            <w:t xml:space="preserve"> </w:t>
          </w:r>
          <w:sdt>
            <w:sdtPr>
              <w:rPr>
                <w:sz w:val="20"/>
              </w:rPr>
              <w:id w:val="1262869080"/>
              <w:docPartObj>
                <w:docPartGallery w:val="Page Numbers (Top of Page)"/>
                <w:docPartUnique/>
              </w:docPartObj>
            </w:sdtPr>
            <w:sdtEndPr/>
            <w:sdtContent>
              <w:r w:rsidRPr="006407A6">
                <w:rPr>
                  <w:sz w:val="20"/>
                </w:rPr>
                <w:t xml:space="preserve">von </w:t>
              </w:r>
              <w:r w:rsidRPr="006407A6">
                <w:rPr>
                  <w:sz w:val="20"/>
                </w:rPr>
                <w:fldChar w:fldCharType="begin"/>
              </w:r>
              <w:r w:rsidRPr="006407A6">
                <w:rPr>
                  <w:sz w:val="20"/>
                </w:rPr>
                <w:instrText xml:space="preserve"> NUMPAGES  \* Arabic  \* MERGEFORMAT </w:instrText>
              </w:r>
              <w:r w:rsidRPr="006407A6">
                <w:rPr>
                  <w:sz w:val="20"/>
                </w:rPr>
                <w:fldChar w:fldCharType="separate"/>
              </w:r>
              <w:r w:rsidRPr="006407A6">
                <w:rPr>
                  <w:sz w:val="20"/>
                </w:rPr>
                <w:t>5</w:t>
              </w:r>
              <w:r w:rsidRPr="006407A6">
                <w:rPr>
                  <w:sz w:val="20"/>
                </w:rPr>
                <w:fldChar w:fldCharType="end"/>
              </w:r>
            </w:sdtContent>
          </w:sdt>
        </w:p>
        <w:p w:rsidR="00E72E48" w:rsidRPr="006407A6" w:rsidRDefault="00E72E48" w:rsidP="007C5B77">
          <w:pPr>
            <w:tabs>
              <w:tab w:val="left" w:pos="2100"/>
            </w:tabs>
            <w:spacing w:before="0"/>
            <w:jc w:val="left"/>
            <w:rPr>
              <w:b/>
              <w:sz w:val="18"/>
              <w:szCs w:val="18"/>
            </w:rPr>
          </w:pPr>
          <w:r w:rsidRPr="006407A6">
            <w:rPr>
              <w:b/>
              <w:color w:val="00B0F0"/>
              <w:sz w:val="18"/>
              <w:szCs w:val="18"/>
            </w:rPr>
            <w:t>U</w:t>
          </w:r>
          <w:r w:rsidR="00A865BB">
            <w:rPr>
              <w:b/>
              <w:color w:val="00B0F0"/>
              <w:sz w:val="18"/>
              <w:szCs w:val="18"/>
            </w:rPr>
            <w:t>WP 3</w:t>
          </w:r>
          <w:r w:rsidRPr="006407A6">
            <w:rPr>
              <w:b/>
              <w:color w:val="00B0F0"/>
              <w:sz w:val="18"/>
              <w:szCs w:val="18"/>
            </w:rPr>
            <w:t xml:space="preserve"> 2025</w:t>
          </w:r>
        </w:p>
      </w:tc>
      <w:tc>
        <w:tcPr>
          <w:tcW w:w="4536" w:type="dxa"/>
          <w:vAlign w:val="bottom"/>
        </w:tcPr>
        <w:p w:rsidR="00E72E48" w:rsidRDefault="004C4255" w:rsidP="006407A6">
          <w:pPr>
            <w:tabs>
              <w:tab w:val="left" w:pos="2100"/>
            </w:tabs>
            <w:spacing w:before="0"/>
            <w:jc w:val="center"/>
            <w:rPr>
              <w:sz w:val="20"/>
            </w:rPr>
          </w:pPr>
          <w:r>
            <w:rPr>
              <w:noProof/>
            </w:rPr>
            <w:drawing>
              <wp:inline distT="0" distB="0" distL="0" distR="0" wp14:anchorId="313B1921" wp14:editId="433FD6A3">
                <wp:extent cx="1198063" cy="342000"/>
                <wp:effectExtent l="0" t="0" r="2540" b="127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8063" cy="34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vAlign w:val="bottom"/>
        </w:tcPr>
        <w:p w:rsidR="00E72E48" w:rsidRPr="006407A6" w:rsidRDefault="004C4255" w:rsidP="00D916ED">
          <w:pPr>
            <w:tabs>
              <w:tab w:val="left" w:pos="2100"/>
            </w:tabs>
            <w:spacing w:before="0"/>
            <w:ind w:right="-108"/>
            <w:jc w:val="right"/>
            <w:rPr>
              <w:b/>
              <w:sz w:val="20"/>
            </w:rPr>
          </w:pPr>
          <w:r>
            <w:rPr>
              <w:b/>
              <w:color w:val="00B0F0"/>
              <w:sz w:val="20"/>
            </w:rPr>
            <w:t xml:space="preserve"> </w:t>
          </w:r>
          <w:r w:rsidR="00D916ED"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Praxishilfe</w:t>
          </w:r>
          <w:r w:rsidR="00D916ED"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5</w:t>
          </w:r>
        </w:p>
      </w:tc>
    </w:tr>
  </w:tbl>
  <w:p w:rsidR="00567A77" w:rsidRPr="007C5B77" w:rsidRDefault="00567A77" w:rsidP="007C5B77">
    <w:pPr>
      <w:pStyle w:val="Fuzeile"/>
      <w:spacing w:before="0"/>
      <w:rPr>
        <w:rFonts w:eastAsiaTheme="minorHAnsi"/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694"/>
      <w:gridCol w:w="4143"/>
      <w:gridCol w:w="2235"/>
    </w:tblGrid>
    <w:tr w:rsidR="007C5B77" w:rsidTr="006407A6">
      <w:trPr>
        <w:trHeight w:hRule="exact" w:val="1333"/>
      </w:trPr>
      <w:tc>
        <w:tcPr>
          <w:tcW w:w="2694" w:type="dxa"/>
          <w:vAlign w:val="bottom"/>
        </w:tcPr>
        <w:p w:rsidR="007C5B77" w:rsidRPr="005F3383" w:rsidRDefault="007C5B77" w:rsidP="007C5B77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 w:rsidRPr="005F3383">
            <w:rPr>
              <w:rFonts w:eastAsiaTheme="minorHAnsi" w:cstheme="minorBidi"/>
              <w:sz w:val="20"/>
              <w:lang w:eastAsia="en-US"/>
            </w:rPr>
            <w:t>1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-1877616359"/>
              <w:docPartObj>
                <w:docPartGallery w:val="Page Numbers (Top of Page)"/>
                <w:docPartUnique/>
              </w:docPartObj>
            </w:sdtPr>
            <w:sdtEndPr/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t>26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:rsidR="007C5B77" w:rsidRPr="005F3383" w:rsidRDefault="007C5B77" w:rsidP="007C5B77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r w:rsidRPr="005F3383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U</w:t>
          </w:r>
          <w:r w:rsidR="004155E7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WP 3</w:t>
          </w:r>
          <w:r w:rsidRPr="005F3383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 xml:space="preserve"> 202</w:t>
          </w:r>
          <w:r w:rsidR="005B4841" w:rsidRPr="005F3383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5</w:t>
          </w:r>
        </w:p>
      </w:tc>
      <w:tc>
        <w:tcPr>
          <w:tcW w:w="4143" w:type="dxa"/>
          <w:vAlign w:val="bottom"/>
        </w:tcPr>
        <w:p w:rsidR="007C5B77" w:rsidRPr="00E9143F" w:rsidRDefault="00E9143F" w:rsidP="005E5AC3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</w:pPr>
          <w:r>
            <w:rPr>
              <w:noProof/>
            </w:rPr>
            <w:drawing>
              <wp:inline distT="0" distB="0" distL="0" distR="0" wp14:anchorId="2D7FFDA2" wp14:editId="2232001A">
                <wp:extent cx="1198063" cy="342000"/>
                <wp:effectExtent l="0" t="0" r="2540" b="1270"/>
                <wp:docPr id="15" name="Grafik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8063" cy="34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5" w:type="dxa"/>
          <w:vAlign w:val="bottom"/>
        </w:tcPr>
        <w:p w:rsidR="007C5B77" w:rsidRPr="0009625D" w:rsidRDefault="007C5B77" w:rsidP="00E72E48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</w:t>
          </w:r>
          <w:r w:rsidR="0014588B"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axis</w:t>
          </w: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hilfe</w:t>
          </w:r>
          <w:r w:rsid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</w:t>
          </w:r>
          <w:r w:rsidR="005A3CE3">
            <w:rPr>
              <w:rFonts w:eastAsiaTheme="minorHAnsi" w:cstheme="minorBidi"/>
              <w:b/>
              <w:color w:val="00B0F0"/>
              <w:sz w:val="20"/>
              <w:lang w:eastAsia="en-US"/>
            </w:rPr>
            <w:t>5</w:t>
          </w:r>
        </w:p>
      </w:tc>
    </w:tr>
  </w:tbl>
  <w:p w:rsidR="00567A77" w:rsidRPr="007C5B77" w:rsidRDefault="00567A77" w:rsidP="00163360">
    <w:pPr>
      <w:tabs>
        <w:tab w:val="center" w:pos="4536"/>
        <w:tab w:val="right" w:pos="9072"/>
        <w:tab w:val="left" w:pos="9781"/>
      </w:tabs>
      <w:spacing w:before="0"/>
      <w:rPr>
        <w:rFonts w:eastAsiaTheme="minorHAnsi"/>
        <w:sz w:val="8"/>
        <w:szCs w:val="8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6F76" w:rsidRDefault="005C6F76" w:rsidP="00EE217B">
      <w:pPr>
        <w:pStyle w:val="Fuzeile"/>
      </w:pPr>
    </w:p>
    <w:p w:rsidR="005C6F76" w:rsidRPr="00EE217B" w:rsidRDefault="005C6F76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:rsidR="005C6F76" w:rsidRDefault="005C6F76" w:rsidP="00711AB6">
      <w:pPr>
        <w:spacing w:before="0"/>
        <w:jc w:val="center"/>
      </w:pPr>
    </w:p>
    <w:p w:rsidR="005C6F76" w:rsidRPr="00711AB6" w:rsidRDefault="005C6F76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  <w:footnote w:id="1">
    <w:p w:rsidR="007C1D15" w:rsidRDefault="007C1D15" w:rsidP="007C1D15">
      <w:pPr>
        <w:pStyle w:val="Funotentext"/>
      </w:pPr>
      <w:r>
        <w:rPr>
          <w:rStyle w:val="Funotenzeichen"/>
        </w:rPr>
        <w:footnoteRef/>
      </w:r>
      <w:r>
        <w:t xml:space="preserve"> „PCG“ = Plan Comptable Général (in Frankreich branchenübergreifend einheitlicher Kontenrahmen)</w:t>
      </w:r>
    </w:p>
  </w:footnote>
  <w:footnote w:id="2">
    <w:p w:rsidR="007C1D15" w:rsidRDefault="007C1D15" w:rsidP="007C1D15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B54589">
        <w:rPr>
          <w:b/>
          <w:color w:val="FF0000"/>
        </w:rPr>
        <w:t>Hinweis</w:t>
      </w:r>
      <w:r>
        <w:t xml:space="preserve">: Die im Praxisfall </w:t>
      </w:r>
      <w:r w:rsidRPr="00B54589">
        <w:rPr>
          <w:b/>
        </w:rPr>
        <w:t>dargestellte französische Bilanzierungspraxis</w:t>
      </w:r>
      <w:r>
        <w:t xml:space="preserve"> dient </w:t>
      </w:r>
      <w:r w:rsidRPr="00B54589">
        <w:rPr>
          <w:b/>
          <w:color w:val="FF0000"/>
        </w:rPr>
        <w:t>ausschließlich der didaktischen Veranschaulichung</w:t>
      </w:r>
      <w:r w:rsidRPr="00B54589">
        <w:rPr>
          <w:color w:val="FF0000"/>
        </w:rPr>
        <w:t xml:space="preserve"> </w:t>
      </w:r>
      <w:r>
        <w:t xml:space="preserve">der Fragestellungen im Zusammenhang mit grenzüberschreitenden Formwechseln. </w:t>
      </w:r>
      <w:r w:rsidRPr="00B54589">
        <w:rPr>
          <w:b/>
        </w:rPr>
        <w:t>Sie erhebt weder Anspruch auf Vollständigkeit noch auf Übereinstimmung mit den tatsächlichen handelsrechtlichen Vorschriften in Frankre</w:t>
      </w:r>
      <w:r>
        <w:rPr>
          <w:b/>
        </w:rPr>
        <w:t>i</w:t>
      </w:r>
      <w:r w:rsidRPr="00B54589">
        <w:rPr>
          <w:b/>
        </w:rPr>
        <w:t>ch</w:t>
      </w:r>
      <w:r>
        <w:t xml:space="preserve">. </w:t>
      </w:r>
      <w:r>
        <w:br/>
        <w:t>Für die dort geltenden verbindlichen Regelungen sind stets die einschlägigen nationalen Rechtsquellen heranzuziehen sowie ggf. ergänzenden fachlichen Rat einzuholen.</w:t>
      </w:r>
    </w:p>
  </w:footnote>
  <w:footnote w:id="3">
    <w:p w:rsidR="007C1D15" w:rsidRDefault="007C1D15" w:rsidP="007C1D15">
      <w:pPr>
        <w:pStyle w:val="Funotentext"/>
      </w:pPr>
      <w:r>
        <w:rPr>
          <w:rStyle w:val="Funotenzeichen"/>
        </w:rPr>
        <w:footnoteRef/>
      </w:r>
      <w:r>
        <w:t xml:space="preserve"> „PCG“ = Plan </w:t>
      </w:r>
      <w:r>
        <w:t>Comptable Général (in Frankreich branchenübergreifend einheitlicher Kontenrahmen)</w:t>
      </w:r>
    </w:p>
  </w:footnote>
  <w:footnote w:id="4">
    <w:p w:rsidR="00066E3A" w:rsidRDefault="00066E3A" w:rsidP="00066E3A">
      <w:pPr>
        <w:pStyle w:val="Funotentext"/>
      </w:pPr>
      <w:r>
        <w:rPr>
          <w:rStyle w:val="Funotenzeichen"/>
        </w:rPr>
        <w:footnoteRef/>
      </w:r>
      <w:r>
        <w:t xml:space="preserve"> Die konkrete Formulierung und Ausgestaltung der Überleitungsrechnung sowie die Wahlrechtsausübung sind stets auf den Einzelfall anzupassen und im tatsächlichen Anhang ggf. noch durch weitere Untergliederungen und erläuternde Hinweise zu ergänzen.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A77" w:rsidRDefault="00567A77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</w:p>
  <w:p w:rsidR="00567A77" w:rsidRDefault="00567A77" w:rsidP="003C699D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</w:p>
  <w:p w:rsidR="00567A77" w:rsidRPr="00665F75" w:rsidRDefault="00567A77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A77" w:rsidRPr="003C699D" w:rsidRDefault="00567A77" w:rsidP="00A15352">
    <w:pPr>
      <w:pStyle w:val="Kopfzeile"/>
      <w:pBdr>
        <w:bottom w:val="none" w:sz="0" w:space="0" w:color="auto"/>
      </w:pBdr>
      <w:spacing w:before="0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8AF5E0E"/>
    <w:multiLevelType w:val="hybridMultilevel"/>
    <w:tmpl w:val="5C1E872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0AC517C"/>
    <w:multiLevelType w:val="hybridMultilevel"/>
    <w:tmpl w:val="E05CE0B0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1108164F"/>
    <w:multiLevelType w:val="hybridMultilevel"/>
    <w:tmpl w:val="1354D2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7110A66"/>
    <w:multiLevelType w:val="hybridMultilevel"/>
    <w:tmpl w:val="2FD6A9C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A615F8"/>
    <w:multiLevelType w:val="hybridMultilevel"/>
    <w:tmpl w:val="37A054D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3C09DA"/>
    <w:multiLevelType w:val="hybridMultilevel"/>
    <w:tmpl w:val="B6241CC6"/>
    <w:lvl w:ilvl="0" w:tplc="202ED2C6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F54B06"/>
    <w:multiLevelType w:val="hybridMultilevel"/>
    <w:tmpl w:val="63F2BF06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1" w15:restartNumberingAfterBreak="0">
    <w:nsid w:val="72DE103B"/>
    <w:multiLevelType w:val="hybridMultilevel"/>
    <w:tmpl w:val="22EAF6CA"/>
    <w:lvl w:ilvl="0" w:tplc="6090F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22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20"/>
  </w:num>
  <w:num w:numId="12">
    <w:abstractNumId w:val="11"/>
  </w:num>
  <w:num w:numId="13">
    <w:abstractNumId w:val="13"/>
  </w:num>
  <w:num w:numId="14">
    <w:abstractNumId w:val="19"/>
  </w:num>
  <w:num w:numId="15">
    <w:abstractNumId w:val="15"/>
  </w:num>
  <w:num w:numId="16">
    <w:abstractNumId w:val="14"/>
  </w:num>
  <w:num w:numId="17">
    <w:abstractNumId w:val="12"/>
  </w:num>
  <w:num w:numId="18">
    <w:abstractNumId w:val="21"/>
  </w:num>
  <w:num w:numId="19">
    <w:abstractNumId w:val="10"/>
  </w:num>
  <w:num w:numId="20">
    <w:abstractNumId w:val="18"/>
  </w:num>
  <w:num w:numId="21">
    <w:abstractNumId w:val="17"/>
  </w:num>
  <w:num w:numId="22">
    <w:abstractNumId w:val="8"/>
  </w:num>
  <w:num w:numId="23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0CB"/>
    <w:rsid w:val="00002230"/>
    <w:rsid w:val="00002EED"/>
    <w:rsid w:val="000030A9"/>
    <w:rsid w:val="00007F75"/>
    <w:rsid w:val="0001477C"/>
    <w:rsid w:val="0002222B"/>
    <w:rsid w:val="0002748A"/>
    <w:rsid w:val="00030081"/>
    <w:rsid w:val="0003242D"/>
    <w:rsid w:val="0004061E"/>
    <w:rsid w:val="000503CF"/>
    <w:rsid w:val="0005326E"/>
    <w:rsid w:val="000616B8"/>
    <w:rsid w:val="00064F40"/>
    <w:rsid w:val="00066E3A"/>
    <w:rsid w:val="00075E7C"/>
    <w:rsid w:val="00080B9A"/>
    <w:rsid w:val="00086B8A"/>
    <w:rsid w:val="0009344D"/>
    <w:rsid w:val="0009625D"/>
    <w:rsid w:val="00097B2B"/>
    <w:rsid w:val="000B1337"/>
    <w:rsid w:val="000E26F7"/>
    <w:rsid w:val="00101C73"/>
    <w:rsid w:val="00104187"/>
    <w:rsid w:val="00111AC6"/>
    <w:rsid w:val="001205E2"/>
    <w:rsid w:val="00143536"/>
    <w:rsid w:val="00143F11"/>
    <w:rsid w:val="0014588B"/>
    <w:rsid w:val="00162F77"/>
    <w:rsid w:val="00163360"/>
    <w:rsid w:val="00165A53"/>
    <w:rsid w:val="00180880"/>
    <w:rsid w:val="00181773"/>
    <w:rsid w:val="00184E10"/>
    <w:rsid w:val="0019585B"/>
    <w:rsid w:val="001A1B58"/>
    <w:rsid w:val="001B3F50"/>
    <w:rsid w:val="001B7E25"/>
    <w:rsid w:val="001C0D6B"/>
    <w:rsid w:val="001C1789"/>
    <w:rsid w:val="001C49BB"/>
    <w:rsid w:val="001D22E2"/>
    <w:rsid w:val="001E1F96"/>
    <w:rsid w:val="001E38E2"/>
    <w:rsid w:val="001E7A82"/>
    <w:rsid w:val="001F04DD"/>
    <w:rsid w:val="002065BE"/>
    <w:rsid w:val="0021047B"/>
    <w:rsid w:val="00213C34"/>
    <w:rsid w:val="00226794"/>
    <w:rsid w:val="00241C76"/>
    <w:rsid w:val="00257647"/>
    <w:rsid w:val="002657AE"/>
    <w:rsid w:val="002717FB"/>
    <w:rsid w:val="00283F41"/>
    <w:rsid w:val="00284FA6"/>
    <w:rsid w:val="00285560"/>
    <w:rsid w:val="00285C0D"/>
    <w:rsid w:val="00290924"/>
    <w:rsid w:val="0029592F"/>
    <w:rsid w:val="002A064F"/>
    <w:rsid w:val="002B17CE"/>
    <w:rsid w:val="002B298F"/>
    <w:rsid w:val="002B37AC"/>
    <w:rsid w:val="002B529F"/>
    <w:rsid w:val="002B7BA2"/>
    <w:rsid w:val="002D0908"/>
    <w:rsid w:val="002D7E2D"/>
    <w:rsid w:val="002F09D8"/>
    <w:rsid w:val="002F2A78"/>
    <w:rsid w:val="002F6B99"/>
    <w:rsid w:val="002F771F"/>
    <w:rsid w:val="00304799"/>
    <w:rsid w:val="0031086B"/>
    <w:rsid w:val="00340216"/>
    <w:rsid w:val="00342964"/>
    <w:rsid w:val="00352142"/>
    <w:rsid w:val="00360F3D"/>
    <w:rsid w:val="00364269"/>
    <w:rsid w:val="00376DCD"/>
    <w:rsid w:val="00381A9D"/>
    <w:rsid w:val="00382BCD"/>
    <w:rsid w:val="003932A1"/>
    <w:rsid w:val="003A6FEB"/>
    <w:rsid w:val="003B420D"/>
    <w:rsid w:val="003C57A5"/>
    <w:rsid w:val="003C699D"/>
    <w:rsid w:val="003E348F"/>
    <w:rsid w:val="003E5835"/>
    <w:rsid w:val="003F1B18"/>
    <w:rsid w:val="004076E9"/>
    <w:rsid w:val="0041402E"/>
    <w:rsid w:val="004155E7"/>
    <w:rsid w:val="00416098"/>
    <w:rsid w:val="004248A0"/>
    <w:rsid w:val="00433509"/>
    <w:rsid w:val="00440D21"/>
    <w:rsid w:val="0044561D"/>
    <w:rsid w:val="00445BB8"/>
    <w:rsid w:val="0044742E"/>
    <w:rsid w:val="00454705"/>
    <w:rsid w:val="00465DB3"/>
    <w:rsid w:val="004867BC"/>
    <w:rsid w:val="0049126F"/>
    <w:rsid w:val="004B2234"/>
    <w:rsid w:val="004B5526"/>
    <w:rsid w:val="004B5A8E"/>
    <w:rsid w:val="004B6415"/>
    <w:rsid w:val="004C3F5D"/>
    <w:rsid w:val="004C4255"/>
    <w:rsid w:val="004C60FF"/>
    <w:rsid w:val="004D43D5"/>
    <w:rsid w:val="004D6C91"/>
    <w:rsid w:val="004E699D"/>
    <w:rsid w:val="004F1C26"/>
    <w:rsid w:val="004F1E92"/>
    <w:rsid w:val="0050152B"/>
    <w:rsid w:val="005060F4"/>
    <w:rsid w:val="00516C43"/>
    <w:rsid w:val="0052103B"/>
    <w:rsid w:val="00523633"/>
    <w:rsid w:val="00525CDB"/>
    <w:rsid w:val="00527267"/>
    <w:rsid w:val="00534A4B"/>
    <w:rsid w:val="005473EF"/>
    <w:rsid w:val="0055136F"/>
    <w:rsid w:val="0055156D"/>
    <w:rsid w:val="00567521"/>
    <w:rsid w:val="00567A77"/>
    <w:rsid w:val="00583AA1"/>
    <w:rsid w:val="00590DC2"/>
    <w:rsid w:val="005913EC"/>
    <w:rsid w:val="005921A2"/>
    <w:rsid w:val="005967E6"/>
    <w:rsid w:val="005A3CE3"/>
    <w:rsid w:val="005B4841"/>
    <w:rsid w:val="005B57D7"/>
    <w:rsid w:val="005B7F7F"/>
    <w:rsid w:val="005C1C85"/>
    <w:rsid w:val="005C3B25"/>
    <w:rsid w:val="005C5708"/>
    <w:rsid w:val="005C6F76"/>
    <w:rsid w:val="005D1825"/>
    <w:rsid w:val="005D26BD"/>
    <w:rsid w:val="005D2A74"/>
    <w:rsid w:val="005D3AFE"/>
    <w:rsid w:val="005E07BD"/>
    <w:rsid w:val="005E5AC3"/>
    <w:rsid w:val="005E7803"/>
    <w:rsid w:val="005F3383"/>
    <w:rsid w:val="005F6F40"/>
    <w:rsid w:val="00632C1A"/>
    <w:rsid w:val="006407A6"/>
    <w:rsid w:val="006454CF"/>
    <w:rsid w:val="0065198F"/>
    <w:rsid w:val="006521FF"/>
    <w:rsid w:val="00665F75"/>
    <w:rsid w:val="0066763B"/>
    <w:rsid w:val="00672D01"/>
    <w:rsid w:val="00684B37"/>
    <w:rsid w:val="00692868"/>
    <w:rsid w:val="0069494D"/>
    <w:rsid w:val="006C4228"/>
    <w:rsid w:val="006D45A1"/>
    <w:rsid w:val="006E24F6"/>
    <w:rsid w:val="006E7126"/>
    <w:rsid w:val="007026D1"/>
    <w:rsid w:val="00705106"/>
    <w:rsid w:val="00711AB6"/>
    <w:rsid w:val="00716DD5"/>
    <w:rsid w:val="00720E5C"/>
    <w:rsid w:val="00737BF1"/>
    <w:rsid w:val="00742EA1"/>
    <w:rsid w:val="00743DF4"/>
    <w:rsid w:val="00744772"/>
    <w:rsid w:val="007506E6"/>
    <w:rsid w:val="007626C5"/>
    <w:rsid w:val="00763FC1"/>
    <w:rsid w:val="007648E0"/>
    <w:rsid w:val="00765666"/>
    <w:rsid w:val="0078728B"/>
    <w:rsid w:val="00790130"/>
    <w:rsid w:val="00796513"/>
    <w:rsid w:val="007A060E"/>
    <w:rsid w:val="007A2E82"/>
    <w:rsid w:val="007A3E0C"/>
    <w:rsid w:val="007B1945"/>
    <w:rsid w:val="007B195D"/>
    <w:rsid w:val="007C1D15"/>
    <w:rsid w:val="007C5B77"/>
    <w:rsid w:val="007D3976"/>
    <w:rsid w:val="007E0249"/>
    <w:rsid w:val="007F3A7C"/>
    <w:rsid w:val="008000CB"/>
    <w:rsid w:val="00802ED4"/>
    <w:rsid w:val="00805892"/>
    <w:rsid w:val="0081072B"/>
    <w:rsid w:val="008248D3"/>
    <w:rsid w:val="00834366"/>
    <w:rsid w:val="00840C2B"/>
    <w:rsid w:val="008471C9"/>
    <w:rsid w:val="00855B99"/>
    <w:rsid w:val="00862DDF"/>
    <w:rsid w:val="00870FFE"/>
    <w:rsid w:val="00872C95"/>
    <w:rsid w:val="00872F5F"/>
    <w:rsid w:val="0087591D"/>
    <w:rsid w:val="0088020C"/>
    <w:rsid w:val="00884570"/>
    <w:rsid w:val="00891EEA"/>
    <w:rsid w:val="008976BA"/>
    <w:rsid w:val="008A5560"/>
    <w:rsid w:val="008C44B0"/>
    <w:rsid w:val="008C6D44"/>
    <w:rsid w:val="008D1A8E"/>
    <w:rsid w:val="008E0D82"/>
    <w:rsid w:val="008E0FC7"/>
    <w:rsid w:val="008F75E7"/>
    <w:rsid w:val="009062E6"/>
    <w:rsid w:val="009075A9"/>
    <w:rsid w:val="009212B4"/>
    <w:rsid w:val="009219D5"/>
    <w:rsid w:val="00940184"/>
    <w:rsid w:val="0095198B"/>
    <w:rsid w:val="00963275"/>
    <w:rsid w:val="00970211"/>
    <w:rsid w:val="009760D0"/>
    <w:rsid w:val="0099236A"/>
    <w:rsid w:val="00995EE2"/>
    <w:rsid w:val="009A6E64"/>
    <w:rsid w:val="009C2FF2"/>
    <w:rsid w:val="009C6EFB"/>
    <w:rsid w:val="009D429E"/>
    <w:rsid w:val="009E1FB1"/>
    <w:rsid w:val="009E4C28"/>
    <w:rsid w:val="009F6E01"/>
    <w:rsid w:val="00A06317"/>
    <w:rsid w:val="00A075E6"/>
    <w:rsid w:val="00A15352"/>
    <w:rsid w:val="00A237ED"/>
    <w:rsid w:val="00A31197"/>
    <w:rsid w:val="00A5114A"/>
    <w:rsid w:val="00A613A1"/>
    <w:rsid w:val="00A62DF9"/>
    <w:rsid w:val="00A649A3"/>
    <w:rsid w:val="00A7113B"/>
    <w:rsid w:val="00A72444"/>
    <w:rsid w:val="00A75CE3"/>
    <w:rsid w:val="00A8486F"/>
    <w:rsid w:val="00A865BB"/>
    <w:rsid w:val="00A87FE5"/>
    <w:rsid w:val="00A946ED"/>
    <w:rsid w:val="00A96CF9"/>
    <w:rsid w:val="00AA65D6"/>
    <w:rsid w:val="00AB0EBF"/>
    <w:rsid w:val="00AB3372"/>
    <w:rsid w:val="00AC17EE"/>
    <w:rsid w:val="00AE290A"/>
    <w:rsid w:val="00AF1983"/>
    <w:rsid w:val="00B06748"/>
    <w:rsid w:val="00B13741"/>
    <w:rsid w:val="00B15817"/>
    <w:rsid w:val="00B1680D"/>
    <w:rsid w:val="00B21EEF"/>
    <w:rsid w:val="00B22993"/>
    <w:rsid w:val="00B24C33"/>
    <w:rsid w:val="00B261B2"/>
    <w:rsid w:val="00B367CE"/>
    <w:rsid w:val="00B62D3C"/>
    <w:rsid w:val="00B6345C"/>
    <w:rsid w:val="00B66516"/>
    <w:rsid w:val="00B73242"/>
    <w:rsid w:val="00B77530"/>
    <w:rsid w:val="00B9620D"/>
    <w:rsid w:val="00BA02EC"/>
    <w:rsid w:val="00BA1533"/>
    <w:rsid w:val="00BA1564"/>
    <w:rsid w:val="00BA7590"/>
    <w:rsid w:val="00BC6A51"/>
    <w:rsid w:val="00BD2864"/>
    <w:rsid w:val="00BD37FF"/>
    <w:rsid w:val="00BD62C0"/>
    <w:rsid w:val="00BD7776"/>
    <w:rsid w:val="00BE368B"/>
    <w:rsid w:val="00BF0354"/>
    <w:rsid w:val="00BF2B89"/>
    <w:rsid w:val="00BF7EB9"/>
    <w:rsid w:val="00C24E59"/>
    <w:rsid w:val="00C30D7D"/>
    <w:rsid w:val="00C43D74"/>
    <w:rsid w:val="00C45CD7"/>
    <w:rsid w:val="00C4708A"/>
    <w:rsid w:val="00C470A2"/>
    <w:rsid w:val="00C4784D"/>
    <w:rsid w:val="00C61048"/>
    <w:rsid w:val="00C81429"/>
    <w:rsid w:val="00C8522D"/>
    <w:rsid w:val="00C915CD"/>
    <w:rsid w:val="00C91AC1"/>
    <w:rsid w:val="00C940C7"/>
    <w:rsid w:val="00CA5FDE"/>
    <w:rsid w:val="00CA6FFC"/>
    <w:rsid w:val="00CB24C7"/>
    <w:rsid w:val="00CC19EF"/>
    <w:rsid w:val="00CD1A9A"/>
    <w:rsid w:val="00CD4117"/>
    <w:rsid w:val="00CE73C2"/>
    <w:rsid w:val="00D13BD1"/>
    <w:rsid w:val="00D45365"/>
    <w:rsid w:val="00D61222"/>
    <w:rsid w:val="00D916ED"/>
    <w:rsid w:val="00DA6374"/>
    <w:rsid w:val="00DB3534"/>
    <w:rsid w:val="00DB3B77"/>
    <w:rsid w:val="00DC5CF9"/>
    <w:rsid w:val="00DD3447"/>
    <w:rsid w:val="00DD5810"/>
    <w:rsid w:val="00DE04D4"/>
    <w:rsid w:val="00DE10AB"/>
    <w:rsid w:val="00DE2B44"/>
    <w:rsid w:val="00DE5B92"/>
    <w:rsid w:val="00DE7A5F"/>
    <w:rsid w:val="00E016C0"/>
    <w:rsid w:val="00E106C4"/>
    <w:rsid w:val="00E137AC"/>
    <w:rsid w:val="00E211D2"/>
    <w:rsid w:val="00E342CA"/>
    <w:rsid w:val="00E368C3"/>
    <w:rsid w:val="00E50734"/>
    <w:rsid w:val="00E54CF5"/>
    <w:rsid w:val="00E57522"/>
    <w:rsid w:val="00E57793"/>
    <w:rsid w:val="00E61BCD"/>
    <w:rsid w:val="00E72E48"/>
    <w:rsid w:val="00E77518"/>
    <w:rsid w:val="00E83CC9"/>
    <w:rsid w:val="00E9143F"/>
    <w:rsid w:val="00EA2ACF"/>
    <w:rsid w:val="00EA74B3"/>
    <w:rsid w:val="00EC00F0"/>
    <w:rsid w:val="00EE217B"/>
    <w:rsid w:val="00EE6A9D"/>
    <w:rsid w:val="00EF2558"/>
    <w:rsid w:val="00F029CC"/>
    <w:rsid w:val="00F02A61"/>
    <w:rsid w:val="00F2421E"/>
    <w:rsid w:val="00F3121A"/>
    <w:rsid w:val="00F35247"/>
    <w:rsid w:val="00F43427"/>
    <w:rsid w:val="00F508B7"/>
    <w:rsid w:val="00F51F9C"/>
    <w:rsid w:val="00F579A0"/>
    <w:rsid w:val="00F607DD"/>
    <w:rsid w:val="00F672A4"/>
    <w:rsid w:val="00F67FF5"/>
    <w:rsid w:val="00F87375"/>
    <w:rsid w:val="00F920AB"/>
    <w:rsid w:val="00FA1E51"/>
    <w:rsid w:val="00FB19BE"/>
    <w:rsid w:val="00FB74D4"/>
    <w:rsid w:val="00FD0600"/>
    <w:rsid w:val="00FD6CCC"/>
    <w:rsid w:val="00FE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8AE9505C-A661-4298-A389-E6E9086F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UD_61_Ablauforganisation\AUD_QMA_61_G_Redaktionsarbeit\_1%20Handbuch\AUD_61_G_Redaktionsarbeit%20FORTLAUFEND\G_4._Skriptentwicklung\G_4._ANLAGENBAND\_320_Muster_Pr&#252;ferhilfe%20A4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BE1FB3FB-C09C-4F0B-BBBA-ED6AD9B91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_320_Muster_Prüferhilfe A4</Template>
  <TotalTime>0</TotalTime>
  <Pages>4</Pages>
  <Words>568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Benz, Sarah - LÖSLE</dc:creator>
  <cp:lastModifiedBy>Ufkes, Christina - LÖSLE</cp:lastModifiedBy>
  <cp:revision>28</cp:revision>
  <cp:lastPrinted>2025-10-08T09:54:00Z</cp:lastPrinted>
  <dcterms:created xsi:type="dcterms:W3CDTF">2025-09-30T14:08:00Z</dcterms:created>
  <dcterms:modified xsi:type="dcterms:W3CDTF">2025-10-10T05:16:00Z</dcterms:modified>
</cp:coreProperties>
</file>