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108" w:type="dxa"/>
        <w:tblBorders>
          <w:top w:val="none" w:sz="0" w:space="0" w:color="auto"/>
          <w:left w:val="none" w:sz="0" w:space="0" w:color="auto"/>
          <w:bottom w:val="none" w:sz="0" w:space="0" w:color="auto"/>
          <w:right w:val="none" w:sz="0" w:space="0" w:color="auto"/>
        </w:tblBorders>
        <w:shd w:val="clear" w:color="auto" w:fill="CCECFF"/>
        <w:tblLook w:val="04A0" w:firstRow="1" w:lastRow="0" w:firstColumn="1" w:lastColumn="0" w:noHBand="0" w:noVBand="1"/>
      </w:tblPr>
      <w:tblGrid>
        <w:gridCol w:w="8647"/>
        <w:gridCol w:w="425"/>
      </w:tblGrid>
      <w:tr w:rsidR="008C6EBB" w:rsidRPr="00484323" w14:paraId="1FE11DBC" w14:textId="77777777" w:rsidTr="00484323">
        <w:trPr>
          <w:cantSplit/>
          <w:trHeight w:val="545"/>
        </w:trPr>
        <w:tc>
          <w:tcPr>
            <w:tcW w:w="8647" w:type="dxa"/>
            <w:tcBorders>
              <w:right w:val="nil"/>
            </w:tcBorders>
            <w:shd w:val="clear" w:color="auto" w:fill="CCECFF"/>
            <w:tcMar>
              <w:top w:w="113" w:type="dxa"/>
              <w:bottom w:w="113" w:type="dxa"/>
            </w:tcMar>
            <w:vAlign w:val="center"/>
          </w:tcPr>
          <w:p w14:paraId="187E2046" w14:textId="5B18AF14" w:rsidR="008C6EBB" w:rsidRPr="00484323" w:rsidRDefault="002E4D4F" w:rsidP="00484323">
            <w:pPr>
              <w:pStyle w:val="berschrift1"/>
              <w:numPr>
                <w:ilvl w:val="0"/>
                <w:numId w:val="0"/>
              </w:numPr>
              <w:contextualSpacing/>
              <w:mirrorIndents/>
              <w:rPr>
                <w:rFonts w:ascii="Century Gothic" w:hAnsi="Century Gothic"/>
                <w:sz w:val="28"/>
                <w:szCs w:val="28"/>
              </w:rPr>
            </w:pPr>
            <w:r w:rsidRPr="00484323">
              <w:rPr>
                <w:rFonts w:ascii="Century Gothic" w:hAnsi="Century Gothic"/>
                <w:color w:val="00B0F0"/>
                <w:sz w:val="28"/>
                <w:szCs w:val="28"/>
              </w:rPr>
              <w:t xml:space="preserve">Praxisfall </w:t>
            </w:r>
            <w:r w:rsidR="00484323">
              <w:rPr>
                <w:rFonts w:ascii="Century Gothic" w:hAnsi="Century Gothic"/>
                <w:color w:val="00B0F0"/>
                <w:sz w:val="28"/>
                <w:szCs w:val="28"/>
              </w:rPr>
              <w:t>„</w:t>
            </w:r>
            <w:r w:rsidRPr="00484323">
              <w:rPr>
                <w:rFonts w:ascii="Century Gothic" w:hAnsi="Century Gothic"/>
                <w:color w:val="00B0F0"/>
                <w:sz w:val="28"/>
                <w:szCs w:val="28"/>
              </w:rPr>
              <w:t>Baubetrieb“ EUROVIA</w:t>
            </w:r>
          </w:p>
        </w:tc>
        <w:tc>
          <w:tcPr>
            <w:tcW w:w="425" w:type="dxa"/>
            <w:tcBorders>
              <w:top w:val="nil"/>
              <w:left w:val="nil"/>
              <w:bottom w:val="nil"/>
            </w:tcBorders>
            <w:shd w:val="clear" w:color="auto" w:fill="CCECFF"/>
            <w:textDirection w:val="btLr"/>
            <w:vAlign w:val="center"/>
          </w:tcPr>
          <w:p w14:paraId="39A8E835" w14:textId="38DD7218" w:rsidR="008C6EBB" w:rsidRPr="00484323" w:rsidRDefault="004D3D4E" w:rsidP="00484323">
            <w:pPr>
              <w:pStyle w:val="berschrift1"/>
              <w:numPr>
                <w:ilvl w:val="0"/>
                <w:numId w:val="0"/>
              </w:numPr>
              <w:contextualSpacing/>
              <w:mirrorIndents/>
              <w:jc w:val="center"/>
              <w:rPr>
                <w:rFonts w:ascii="Century Gothic" w:hAnsi="Century Gothic"/>
                <w:b w:val="0"/>
                <w:color w:val="00B0F0"/>
                <w:sz w:val="20"/>
              </w:rPr>
            </w:pPr>
            <w:r w:rsidRPr="00E747AB">
              <w:rPr>
                <w:rFonts w:ascii="Century Gothic" w:hAnsi="Century Gothic"/>
                <w:b w:val="0"/>
                <w:color w:val="00B0F0"/>
                <w:sz w:val="12"/>
                <w:szCs w:val="12"/>
                <w:shd w:val="clear" w:color="auto" w:fill="00B0F0"/>
              </w:rPr>
              <w:t>07/2025</w:t>
            </w:r>
          </w:p>
        </w:tc>
      </w:tr>
    </w:tbl>
    <w:p w14:paraId="1A3E7F07" w14:textId="738F457C" w:rsidR="00F3121A" w:rsidRDefault="001C5BEA" w:rsidP="00484323">
      <w:pPr>
        <w:tabs>
          <w:tab w:val="left" w:pos="2550"/>
        </w:tabs>
        <w:spacing w:before="0"/>
        <w:contextualSpacing/>
        <w:mirrorIndents/>
        <w:rPr>
          <w:i/>
          <w:sz w:val="14"/>
          <w:szCs w:val="18"/>
        </w:rPr>
      </w:pPr>
      <w:r w:rsidRPr="001C5BEA">
        <w:rPr>
          <w:i/>
          <w:sz w:val="14"/>
          <w:szCs w:val="18"/>
        </w:rPr>
        <w:t>Quelle: Auszug aus dem Unternehmensregister</w:t>
      </w:r>
    </w:p>
    <w:p w14:paraId="5A69A6B3" w14:textId="340C6D4B" w:rsidR="001C5BEA" w:rsidRPr="001C5BEA" w:rsidRDefault="00A23F04" w:rsidP="00484323">
      <w:pPr>
        <w:tabs>
          <w:tab w:val="left" w:pos="2550"/>
        </w:tabs>
        <w:spacing w:before="0"/>
        <w:contextualSpacing/>
        <w:mirrorIndents/>
        <w:rPr>
          <w:i/>
          <w:sz w:val="14"/>
          <w:szCs w:val="18"/>
        </w:rPr>
      </w:pPr>
      <w:r>
        <w:rPr>
          <w:i/>
          <w:sz w:val="14"/>
          <w:szCs w:val="18"/>
        </w:rPr>
        <w:br/>
      </w:r>
    </w:p>
    <w:p w14:paraId="42AAAC1E" w14:textId="77777777" w:rsidR="002E4D4F" w:rsidRPr="00CD2E4B" w:rsidRDefault="002E4D4F" w:rsidP="00484323">
      <w:pPr>
        <w:spacing w:before="0"/>
        <w:contextualSpacing/>
        <w:mirrorIndents/>
        <w:jc w:val="center"/>
        <w:outlineLvl w:val="2"/>
        <w:rPr>
          <w:b/>
          <w:bCs/>
          <w:sz w:val="18"/>
          <w:szCs w:val="18"/>
        </w:rPr>
      </w:pPr>
      <w:r w:rsidRPr="00CD2E4B">
        <w:rPr>
          <w:b/>
          <w:bCs/>
          <w:sz w:val="18"/>
          <w:szCs w:val="18"/>
        </w:rPr>
        <w:t>EUROVIA Verkehrsbau GmbH (vormals: EUROVIA Verkehrsbau Union GmbH)</w:t>
      </w:r>
    </w:p>
    <w:p w14:paraId="2899C35B" w14:textId="77777777" w:rsidR="002E4D4F" w:rsidRPr="00CD2E4B" w:rsidRDefault="002E4D4F" w:rsidP="00484323">
      <w:pPr>
        <w:spacing w:before="0"/>
        <w:contextualSpacing/>
        <w:mirrorIndents/>
        <w:jc w:val="center"/>
        <w:outlineLvl w:val="3"/>
        <w:rPr>
          <w:b/>
          <w:bCs/>
          <w:sz w:val="18"/>
          <w:szCs w:val="18"/>
        </w:rPr>
      </w:pPr>
      <w:r w:rsidRPr="00CD2E4B">
        <w:rPr>
          <w:b/>
          <w:bCs/>
          <w:sz w:val="18"/>
          <w:szCs w:val="18"/>
        </w:rPr>
        <w:t>Berlin</w:t>
      </w:r>
    </w:p>
    <w:p w14:paraId="2DE84656" w14:textId="78F7B140" w:rsidR="002E4D4F" w:rsidRPr="00CD2E4B" w:rsidRDefault="002E4D4F" w:rsidP="00484323">
      <w:pPr>
        <w:spacing w:before="0"/>
        <w:contextualSpacing/>
        <w:mirrorIndents/>
        <w:jc w:val="center"/>
        <w:outlineLvl w:val="2"/>
        <w:rPr>
          <w:b/>
          <w:bCs/>
          <w:sz w:val="18"/>
          <w:szCs w:val="18"/>
        </w:rPr>
      </w:pPr>
      <w:r w:rsidRPr="00CD2E4B">
        <w:rPr>
          <w:b/>
          <w:bCs/>
          <w:sz w:val="18"/>
          <w:szCs w:val="18"/>
        </w:rPr>
        <w:t>Jahresabschluss zum Geschäftsjahr vom 01.01.2022 bis zum 31.12.2022</w:t>
      </w:r>
      <w:r w:rsidR="00652124">
        <w:rPr>
          <w:b/>
          <w:bCs/>
          <w:sz w:val="18"/>
          <w:szCs w:val="18"/>
        </w:rPr>
        <w:br/>
      </w:r>
    </w:p>
    <w:p w14:paraId="42DF27A2" w14:textId="77777777" w:rsidR="002E4D4F" w:rsidRPr="00652124" w:rsidRDefault="002E4D4F" w:rsidP="00484323">
      <w:pPr>
        <w:spacing w:before="0"/>
        <w:contextualSpacing/>
        <w:mirrorIndents/>
        <w:jc w:val="center"/>
        <w:outlineLvl w:val="2"/>
        <w:rPr>
          <w:bCs/>
          <w:sz w:val="20"/>
          <w:szCs w:val="18"/>
        </w:rPr>
      </w:pPr>
      <w:r w:rsidRPr="00652124">
        <w:rPr>
          <w:bCs/>
          <w:sz w:val="20"/>
          <w:szCs w:val="18"/>
        </w:rPr>
        <w:t>Lagebericht für das Geschäftsjahr 2022</w:t>
      </w:r>
    </w:p>
    <w:p w14:paraId="6764F3F9" w14:textId="77777777" w:rsidR="00CD2E4B" w:rsidRDefault="00CD2E4B" w:rsidP="00484323">
      <w:pPr>
        <w:spacing w:before="0"/>
        <w:contextualSpacing/>
        <w:mirrorIndents/>
        <w:jc w:val="center"/>
        <w:outlineLvl w:val="3"/>
        <w:rPr>
          <w:b/>
          <w:bCs/>
          <w:sz w:val="18"/>
          <w:szCs w:val="18"/>
        </w:rPr>
      </w:pPr>
    </w:p>
    <w:p w14:paraId="6338BCBF" w14:textId="76564A15" w:rsidR="00215211" w:rsidRPr="00CD2E4B" w:rsidRDefault="002E4D4F" w:rsidP="00484323">
      <w:pPr>
        <w:spacing w:before="0"/>
        <w:contextualSpacing/>
        <w:mirrorIndents/>
        <w:jc w:val="center"/>
        <w:outlineLvl w:val="3"/>
        <w:rPr>
          <w:b/>
          <w:bCs/>
          <w:sz w:val="18"/>
          <w:szCs w:val="18"/>
        </w:rPr>
      </w:pPr>
      <w:r w:rsidRPr="00CD2E4B">
        <w:rPr>
          <w:b/>
          <w:bCs/>
          <w:sz w:val="18"/>
          <w:szCs w:val="18"/>
        </w:rPr>
        <w:t>I. Wirtschaftliche Rahmenbedingungen</w:t>
      </w:r>
    </w:p>
    <w:p w14:paraId="5E832246" w14:textId="77777777" w:rsidR="00215211" w:rsidRPr="00CD2E4B" w:rsidRDefault="00215211" w:rsidP="00484323">
      <w:pPr>
        <w:spacing w:before="0"/>
        <w:contextualSpacing/>
        <w:mirrorIndents/>
        <w:jc w:val="center"/>
        <w:outlineLvl w:val="3"/>
        <w:rPr>
          <w:b/>
          <w:bCs/>
          <w:sz w:val="18"/>
          <w:szCs w:val="18"/>
        </w:rPr>
      </w:pPr>
    </w:p>
    <w:p w14:paraId="383300BF" w14:textId="67C6BC81" w:rsidR="00043EFF" w:rsidRPr="00CD2E4B" w:rsidRDefault="002E4D4F" w:rsidP="00484323">
      <w:pPr>
        <w:spacing w:before="0"/>
        <w:contextualSpacing/>
        <w:mirrorIndents/>
        <w:rPr>
          <w:sz w:val="18"/>
          <w:szCs w:val="18"/>
          <w:u w:val="single"/>
          <w:vertAlign w:val="superscript"/>
        </w:rPr>
      </w:pPr>
      <w:r w:rsidRPr="00CD2E4B">
        <w:rPr>
          <w:sz w:val="18"/>
          <w:szCs w:val="18"/>
        </w:rPr>
        <w:t xml:space="preserve">Die deutsche Wirtschaft zeigt sich erfreulich widerstandsfähig. Obwohl sie Ende des Jahres 2022 leicht geschrumpft ist, wird die noch im Herbst befürchtete deutliche Winterrezession immer unwahrscheinlicher, auch weil in diesem bislang milden Winter nicht mehr mit einer Gasmangellage gerechnet werden muss. Nichtsdestotrotz bleiben die Risiken für die Konjunktur hoch. So geht vom russischen Angriffskrieg in der Ukraine weiterhin ein enormes Eskalationspotenzial aus. Zudem ist die Inflation weiterhin hoch und die geldpolitischen Maßnahmen der Europäischen Zentralbank werden im laufenden Jahr die Konjunktur wohl dämpfen. Immerhin sind von der chinesischen Wirtschaft, bedingt durch das Abflauen der dortigen </w:t>
      </w:r>
      <w:proofErr w:type="spellStart"/>
      <w:r w:rsidRPr="00CD2E4B">
        <w:rPr>
          <w:sz w:val="18"/>
          <w:szCs w:val="18"/>
        </w:rPr>
        <w:t>Coronawelle</w:t>
      </w:r>
      <w:proofErr w:type="spellEnd"/>
      <w:r w:rsidRPr="00CD2E4B">
        <w:rPr>
          <w:sz w:val="18"/>
          <w:szCs w:val="18"/>
        </w:rPr>
        <w:t>, positive Impulse für die Weltwirtschaft zu erwarten. Das würde insbesondere die Aussichten für die deutsche Industrie weiter verbessern. Aktuell kommen die Neuaufträge zwar noch zögerlich, die Auftragsbücher der Industrieunternehmen sind aber nach wie vor gut gefüllt, so dass die Auftragsflaute bis jetzt weitgehend problemlos überbrückt werden konnte. Der verlangsamte Preisauftrieb sowie die sich entspannenden Lieferketten mindern die bestehende Unsicherheit und lassen die Unternehmen zuversichtlicher in die kommenden Monate schauen. Zwar werden die real verfügbaren Einkommen und in der Folge auch der private Konsum im laufenden Jahr wohl zurückgehen, allerdings wird das Minus deutlich geringer ausfallen, als sich noch vor einigen Monaten abgezeichnet hatte.</w:t>
      </w:r>
      <w:r w:rsidRPr="00CD2E4B">
        <w:rPr>
          <w:sz w:val="18"/>
          <w:szCs w:val="18"/>
          <w:u w:val="single"/>
          <w:vertAlign w:val="superscript"/>
        </w:rPr>
        <w:t>2</w:t>
      </w:r>
      <w:r w:rsidRPr="00CD2E4B">
        <w:rPr>
          <w:sz w:val="18"/>
          <w:szCs w:val="18"/>
        </w:rPr>
        <w:t xml:space="preserve"> Im Ergebnis wird für 2023 mit einem leichten Rückgang des preisbereinigten Bruttoinlandsprodukts von 0,1 % gerechnet. Im Jahr 2024 dürfte das BIP mit 1,7 % wieder etwas zulegen.</w:t>
      </w:r>
      <w:r w:rsidRPr="00CD2E4B">
        <w:rPr>
          <w:sz w:val="18"/>
          <w:szCs w:val="18"/>
          <w:u w:val="single"/>
          <w:vertAlign w:val="superscript"/>
        </w:rPr>
        <w:t>3</w:t>
      </w:r>
    </w:p>
    <w:p w14:paraId="4E3AA257" w14:textId="77777777" w:rsidR="00215211" w:rsidRPr="00CD2E4B" w:rsidRDefault="00215211" w:rsidP="00484323">
      <w:pPr>
        <w:spacing w:before="0"/>
        <w:contextualSpacing/>
        <w:mirrorIndents/>
        <w:rPr>
          <w:sz w:val="18"/>
          <w:szCs w:val="18"/>
        </w:rPr>
      </w:pPr>
    </w:p>
    <w:p w14:paraId="34F1F2EF" w14:textId="4A77785A" w:rsidR="002E4D4F" w:rsidRPr="00CD2E4B" w:rsidRDefault="002E4D4F" w:rsidP="00484323">
      <w:pPr>
        <w:spacing w:before="0"/>
        <w:contextualSpacing/>
        <w:mirrorIndents/>
        <w:rPr>
          <w:sz w:val="18"/>
          <w:szCs w:val="18"/>
          <w:u w:val="single"/>
          <w:vertAlign w:val="superscript"/>
        </w:rPr>
      </w:pPr>
      <w:r w:rsidRPr="00CD2E4B">
        <w:rPr>
          <w:sz w:val="18"/>
          <w:szCs w:val="18"/>
        </w:rPr>
        <w:t>In der deutschen Bauwirtschaft verschärft sich die Krise. Im November 2022 ist der Auftragseingang im Bauhauptgewerbe im Vergleich zum Vormonat preisbereinigt um 5,6 % zurückgegangen, im Vergleich zum Vorjahr sogar um 12,7 %. Im Wohnungsbau ist die Nachfrage mit einem Rückgang von 29,1 % regelrecht eingebrochen.</w:t>
      </w:r>
      <w:r w:rsidRPr="00CD2E4B">
        <w:rPr>
          <w:sz w:val="18"/>
          <w:szCs w:val="18"/>
          <w:u w:val="single"/>
          <w:vertAlign w:val="superscript"/>
        </w:rPr>
        <w:t>4</w:t>
      </w:r>
      <w:r w:rsidRPr="00CD2E4B">
        <w:rPr>
          <w:sz w:val="18"/>
          <w:szCs w:val="18"/>
        </w:rPr>
        <w:t xml:space="preserve"> Die Aufträge im Straßenbau sind im Jahr 2022 in Deutschland (ohne Bayern) nominell um lediglich 8,0 % angestiegen. Vor dem Hintergrund der hohen Inflation bedeutet dies einen realen Rückgang der Auftragseingänge. Aufgrund der Energiekrise mussten Bauherren und Unternehmen starke Preisanstiege verkraften. Gerade</w:t>
      </w:r>
      <w:r w:rsidR="00484323" w:rsidRPr="00CD2E4B">
        <w:rPr>
          <w:sz w:val="18"/>
          <w:szCs w:val="18"/>
        </w:rPr>
        <w:t xml:space="preserve"> </w:t>
      </w:r>
      <w:r w:rsidRPr="00CD2E4B">
        <w:rPr>
          <w:sz w:val="18"/>
          <w:szCs w:val="18"/>
        </w:rPr>
        <w:t>energieintensive Baumaterialien wie Stahl (+40,4 %) und Betonstahlmatten (+38,1 %) verteuerten sich gegenüber dem Vorjahr deutlich.</w:t>
      </w:r>
      <w:r w:rsidRPr="00CD2E4B">
        <w:rPr>
          <w:sz w:val="18"/>
          <w:szCs w:val="18"/>
          <w:u w:val="single"/>
          <w:vertAlign w:val="superscript"/>
        </w:rPr>
        <w:t>5</w:t>
      </w:r>
      <w:r w:rsidRPr="00CD2E4B">
        <w:rPr>
          <w:sz w:val="18"/>
          <w:szCs w:val="18"/>
        </w:rPr>
        <w:t xml:space="preserve"> Auch die Bitumenpreise sind im Jahresvergleich stark angestiegen (+15,0 %). Der stärkste Anstieg war im Juni 2022 zu verzeichnen mit +49,0 %.</w:t>
      </w:r>
      <w:r w:rsidRPr="00CD2E4B">
        <w:rPr>
          <w:sz w:val="18"/>
          <w:szCs w:val="18"/>
          <w:u w:val="single"/>
          <w:vertAlign w:val="superscript"/>
        </w:rPr>
        <w:t>6</w:t>
      </w:r>
      <w:r w:rsidRPr="00CD2E4B">
        <w:rPr>
          <w:sz w:val="18"/>
          <w:szCs w:val="18"/>
        </w:rPr>
        <w:t xml:space="preserve"> Der Umsatz im Bauhauptgewerbe wird voraussichtlich real um 7,0 % gegenüber dem Vorjahr sinken. Erstmals seit 2009 wird sich wohl auch die Anzahl der Beschäftigten reduzieren (um 7.000 Mitarbeiter). Für den Wohnungsbau wird ein realer Umsatzrückgang von 10,0 % prognostiziert. Im Wirtschaftsbau wird ein Rückgang von 6,0 % erwartet, im Öffentlichen Bau von 4,5 %.</w:t>
      </w:r>
      <w:r w:rsidRPr="00CD2E4B">
        <w:rPr>
          <w:sz w:val="18"/>
          <w:szCs w:val="18"/>
          <w:u w:val="single"/>
          <w:vertAlign w:val="superscript"/>
        </w:rPr>
        <w:t>7</w:t>
      </w:r>
    </w:p>
    <w:p w14:paraId="645100D1" w14:textId="77777777" w:rsidR="00484323" w:rsidRPr="00CD2E4B" w:rsidRDefault="00484323" w:rsidP="00484323">
      <w:pPr>
        <w:spacing w:before="0"/>
        <w:contextualSpacing/>
        <w:mirrorIndents/>
        <w:rPr>
          <w:sz w:val="18"/>
          <w:szCs w:val="18"/>
        </w:rPr>
      </w:pPr>
    </w:p>
    <w:p w14:paraId="37153ADF" w14:textId="31C45DC1" w:rsidR="002E4D4F" w:rsidRPr="008E4151" w:rsidRDefault="002E4D4F" w:rsidP="00484323">
      <w:pPr>
        <w:spacing w:before="0"/>
        <w:contextualSpacing/>
        <w:mirrorIndents/>
        <w:jc w:val="left"/>
        <w:rPr>
          <w:sz w:val="14"/>
          <w:szCs w:val="14"/>
        </w:rPr>
      </w:pPr>
      <w:bookmarkStart w:id="0" w:name="2"/>
      <w:r w:rsidRPr="008E4151">
        <w:rPr>
          <w:sz w:val="14"/>
          <w:szCs w:val="14"/>
          <w:vertAlign w:val="superscript"/>
        </w:rPr>
        <w:t>2</w:t>
      </w:r>
      <w:r w:rsidRPr="008E4151">
        <w:rPr>
          <w:sz w:val="14"/>
          <w:szCs w:val="14"/>
        </w:rPr>
        <w:t xml:space="preserve"> </w:t>
      </w:r>
      <w:r w:rsidRPr="00652124">
        <w:rPr>
          <w:spacing w:val="-2"/>
          <w:sz w:val="14"/>
          <w:szCs w:val="14"/>
        </w:rPr>
        <w:t>Deutsches Institut für Wirtschaftsforschung e.V. - https://www.diw.de/de/diw_01.c.864537.de/diw-konjunkturbarometer_januar__deutsche_wirtschaft_kommt_kurzfristig_mit_blauem_auge_davon.html (Pressemitteilung vom 31.01.2023).</w:t>
      </w:r>
      <w:r w:rsidRPr="008E4151">
        <w:rPr>
          <w:sz w:val="14"/>
          <w:szCs w:val="14"/>
        </w:rPr>
        <w:br/>
      </w:r>
      <w:bookmarkStart w:id="1" w:name="3"/>
      <w:bookmarkEnd w:id="0"/>
      <w:r w:rsidRPr="008E4151">
        <w:rPr>
          <w:sz w:val="14"/>
          <w:szCs w:val="14"/>
          <w:vertAlign w:val="superscript"/>
        </w:rPr>
        <w:t>3</w:t>
      </w:r>
      <w:r w:rsidRPr="008E4151">
        <w:rPr>
          <w:sz w:val="14"/>
          <w:szCs w:val="14"/>
        </w:rPr>
        <w:t xml:space="preserve"> Ifo Institut - https://www.ifo.de/fakten/2023-03-15/ifo-konjunkturprognose-fruehjahr-2023-deutsche-wirtschaft-stagniert (Pressemitteilung vom 15.03.2023).</w:t>
      </w:r>
      <w:r w:rsidRPr="008E4151">
        <w:rPr>
          <w:sz w:val="14"/>
          <w:szCs w:val="14"/>
        </w:rPr>
        <w:br/>
      </w:r>
      <w:bookmarkStart w:id="2" w:name="4"/>
      <w:bookmarkEnd w:id="1"/>
      <w:r w:rsidRPr="008E4151">
        <w:rPr>
          <w:sz w:val="14"/>
          <w:szCs w:val="14"/>
          <w:vertAlign w:val="superscript"/>
        </w:rPr>
        <w:t>4</w:t>
      </w:r>
      <w:r w:rsidRPr="008E4151">
        <w:rPr>
          <w:sz w:val="14"/>
          <w:szCs w:val="14"/>
        </w:rPr>
        <w:t xml:space="preserve"> Hauptverband der Deutschen Bauindustrie e.V. - https://www.bauindustrie.de/fileadmin/bauindustrie.de/Media/Pressemitteilungen/PM_2023/06-23_Konjunktur_202211.pdf (Pressemitteilung vom 25.01.2023).</w:t>
      </w:r>
      <w:r w:rsidRPr="008E4151">
        <w:rPr>
          <w:sz w:val="14"/>
          <w:szCs w:val="14"/>
        </w:rPr>
        <w:br/>
      </w:r>
      <w:bookmarkStart w:id="3" w:name="5"/>
      <w:bookmarkEnd w:id="2"/>
      <w:r w:rsidRPr="008E4151">
        <w:rPr>
          <w:sz w:val="14"/>
          <w:szCs w:val="14"/>
          <w:vertAlign w:val="superscript"/>
        </w:rPr>
        <w:t>5</w:t>
      </w:r>
      <w:r w:rsidRPr="008E4151">
        <w:rPr>
          <w:sz w:val="14"/>
          <w:szCs w:val="14"/>
        </w:rPr>
        <w:t xml:space="preserve"> Zentralverbandes des Deutschen Baugewerbes e.V. - https://www.zdb.de/meldungen/krise-am-bau-baukonjunktur-immer-besorgniserregender (Pressemeldung vom 01.02.2023).</w:t>
      </w:r>
      <w:r w:rsidRPr="008E4151">
        <w:rPr>
          <w:sz w:val="14"/>
          <w:szCs w:val="14"/>
        </w:rPr>
        <w:br/>
      </w:r>
      <w:bookmarkStart w:id="4" w:name="6"/>
      <w:bookmarkEnd w:id="3"/>
      <w:r w:rsidRPr="008E4151">
        <w:rPr>
          <w:sz w:val="14"/>
          <w:szCs w:val="14"/>
          <w:vertAlign w:val="superscript"/>
        </w:rPr>
        <w:t>6</w:t>
      </w:r>
      <w:r w:rsidRPr="008E4151">
        <w:rPr>
          <w:sz w:val="14"/>
          <w:szCs w:val="14"/>
        </w:rPr>
        <w:t xml:space="preserve"> de.tradingeconomics.com/</w:t>
      </w:r>
      <w:proofErr w:type="spellStart"/>
      <w:r w:rsidRPr="008E4151">
        <w:rPr>
          <w:sz w:val="14"/>
          <w:szCs w:val="14"/>
        </w:rPr>
        <w:t>commodity</w:t>
      </w:r>
      <w:proofErr w:type="spellEnd"/>
      <w:r w:rsidRPr="008E4151">
        <w:rPr>
          <w:sz w:val="14"/>
          <w:szCs w:val="14"/>
        </w:rPr>
        <w:t>/</w:t>
      </w:r>
      <w:proofErr w:type="spellStart"/>
      <w:r w:rsidRPr="008E4151">
        <w:rPr>
          <w:sz w:val="14"/>
          <w:szCs w:val="14"/>
        </w:rPr>
        <w:t>bitumen</w:t>
      </w:r>
      <w:proofErr w:type="spellEnd"/>
      <w:r w:rsidRPr="008E4151">
        <w:rPr>
          <w:sz w:val="14"/>
          <w:szCs w:val="14"/>
        </w:rPr>
        <w:t>.</w:t>
      </w:r>
      <w:r w:rsidRPr="008E4151">
        <w:rPr>
          <w:sz w:val="14"/>
          <w:szCs w:val="14"/>
        </w:rPr>
        <w:br/>
      </w:r>
      <w:bookmarkStart w:id="5" w:name="7"/>
      <w:bookmarkEnd w:id="4"/>
      <w:r w:rsidRPr="008E4151">
        <w:rPr>
          <w:sz w:val="14"/>
          <w:szCs w:val="14"/>
          <w:vertAlign w:val="superscript"/>
        </w:rPr>
        <w:t>7</w:t>
      </w:r>
      <w:r w:rsidRPr="008E4151">
        <w:rPr>
          <w:sz w:val="14"/>
          <w:szCs w:val="14"/>
        </w:rPr>
        <w:t xml:space="preserve"> Zentralverband des Deutschen Baugewerbes e.V. - https://www.zdb.de/fileadmin/user_upload/101-2022_Konjunktur_22-23.pdf (Pressemeldung vom 06.12.2022).</w:t>
      </w:r>
      <w:bookmarkEnd w:id="5"/>
    </w:p>
    <w:p w14:paraId="554D7194" w14:textId="77777777" w:rsidR="00484323" w:rsidRPr="00CD2E4B" w:rsidRDefault="00484323" w:rsidP="00484323">
      <w:pPr>
        <w:spacing w:before="0"/>
        <w:contextualSpacing/>
        <w:mirrorIndents/>
        <w:jc w:val="left"/>
        <w:rPr>
          <w:sz w:val="18"/>
          <w:szCs w:val="18"/>
        </w:rPr>
      </w:pPr>
    </w:p>
    <w:p w14:paraId="44803DC0" w14:textId="170B2B03" w:rsidR="002E4D4F" w:rsidRPr="00CD2E4B" w:rsidRDefault="002E4D4F" w:rsidP="00484323">
      <w:pPr>
        <w:spacing w:before="0"/>
        <w:contextualSpacing/>
        <w:mirrorIndents/>
        <w:jc w:val="center"/>
        <w:outlineLvl w:val="3"/>
        <w:rPr>
          <w:b/>
          <w:bCs/>
          <w:sz w:val="18"/>
          <w:szCs w:val="18"/>
        </w:rPr>
      </w:pPr>
      <w:r w:rsidRPr="00CD2E4B">
        <w:rPr>
          <w:b/>
          <w:bCs/>
          <w:sz w:val="18"/>
          <w:szCs w:val="18"/>
        </w:rPr>
        <w:t>II. Geschäft und Rahmenbedingungen</w:t>
      </w:r>
    </w:p>
    <w:p w14:paraId="227DC950" w14:textId="77777777" w:rsidR="00484323" w:rsidRPr="00CD2E4B" w:rsidRDefault="00484323" w:rsidP="00484323">
      <w:pPr>
        <w:spacing w:before="0"/>
        <w:contextualSpacing/>
        <w:mirrorIndents/>
        <w:jc w:val="center"/>
        <w:outlineLvl w:val="3"/>
        <w:rPr>
          <w:b/>
          <w:bCs/>
          <w:sz w:val="18"/>
          <w:szCs w:val="18"/>
        </w:rPr>
      </w:pPr>
    </w:p>
    <w:p w14:paraId="06CDC632" w14:textId="4EA0D6E1" w:rsidR="002E4D4F" w:rsidRPr="00CD2E4B" w:rsidRDefault="002E4D4F" w:rsidP="00484323">
      <w:pPr>
        <w:spacing w:before="0"/>
        <w:contextualSpacing/>
        <w:mirrorIndents/>
        <w:rPr>
          <w:sz w:val="18"/>
          <w:szCs w:val="18"/>
        </w:rPr>
      </w:pPr>
      <w:r w:rsidRPr="00CD2E4B">
        <w:rPr>
          <w:sz w:val="18"/>
          <w:szCs w:val="18"/>
        </w:rPr>
        <w:t>Die EUROVIA Verkehrsbau GmbH ist mit ihren Kernkompetenzen im Asphaltstraßenbau, Tiefbau, Erdbau, Kanalbau sowie Deponiebau im gesamten Gebiet der neuen Bundesländer und regional in Teilgebie</w:t>
      </w:r>
      <w:r w:rsidRPr="00CD2E4B">
        <w:rPr>
          <w:sz w:val="18"/>
          <w:szCs w:val="18"/>
        </w:rPr>
        <w:lastRenderedPageBreak/>
        <w:t>ten der alten Bundesländer tätig. Ganzheitlich aus einer Hand werden sämtliche Infrastrukturmaßnahmen für Radwege, Stadt- oder Landstraßen, Autobahnen, Start- und Landebahnen oder gepflasterte Plätze ausgeführt. Die EUROVIA Verkehrsbau GmbH ist dezentral mit acht Niederlassungen verteilt auf drei Regionen organisiert.</w:t>
      </w:r>
    </w:p>
    <w:p w14:paraId="0B606742" w14:textId="77777777" w:rsidR="00484323" w:rsidRPr="00CD2E4B" w:rsidRDefault="00484323" w:rsidP="00484323">
      <w:pPr>
        <w:spacing w:before="0"/>
        <w:contextualSpacing/>
        <w:mirrorIndents/>
        <w:rPr>
          <w:sz w:val="18"/>
          <w:szCs w:val="18"/>
        </w:rPr>
      </w:pPr>
    </w:p>
    <w:p w14:paraId="6F76ADC9" w14:textId="12C04CDD" w:rsidR="00215211" w:rsidRDefault="002E4D4F" w:rsidP="00484323">
      <w:pPr>
        <w:spacing w:before="0"/>
        <w:contextualSpacing/>
        <w:mirrorIndents/>
        <w:rPr>
          <w:sz w:val="18"/>
          <w:szCs w:val="18"/>
        </w:rPr>
      </w:pPr>
      <w:r w:rsidRPr="00CD2E4B">
        <w:rPr>
          <w:sz w:val="18"/>
          <w:szCs w:val="18"/>
        </w:rPr>
        <w:t>Das operative Geschäft der EUROVIA Verkehrsbau GmbH fließt über die Muttergesellschaft VINCI Construction GmbH, Berlin, in den Konzernabschluss des französischen Baukonzerns VINCI S.A. ein, der sämtliche Verkehrswegebauaktivitäten weltweit in der VINCI Construction zusammenfasst.</w:t>
      </w:r>
    </w:p>
    <w:p w14:paraId="765182D0" w14:textId="77777777" w:rsidR="008E4151" w:rsidRPr="00CD2E4B" w:rsidRDefault="008E4151" w:rsidP="00484323">
      <w:pPr>
        <w:spacing w:before="0"/>
        <w:contextualSpacing/>
        <w:mirrorIndents/>
        <w:rPr>
          <w:sz w:val="18"/>
          <w:szCs w:val="18"/>
        </w:rPr>
      </w:pPr>
    </w:p>
    <w:p w14:paraId="3BD31810" w14:textId="2DD39FF8" w:rsidR="002E4D4F" w:rsidRPr="00E41BA7" w:rsidRDefault="002E4D4F" w:rsidP="00484323">
      <w:pPr>
        <w:spacing w:before="0"/>
        <w:contextualSpacing/>
        <w:mirrorIndents/>
        <w:jc w:val="center"/>
        <w:outlineLvl w:val="3"/>
        <w:rPr>
          <w:b/>
          <w:bCs/>
          <w:sz w:val="18"/>
          <w:szCs w:val="18"/>
          <w:u w:val="single"/>
          <w:vertAlign w:val="superscript"/>
        </w:rPr>
      </w:pPr>
      <w:r w:rsidRPr="00E41BA7">
        <w:rPr>
          <w:b/>
          <w:bCs/>
          <w:sz w:val="18"/>
          <w:szCs w:val="18"/>
        </w:rPr>
        <w:t>Kennzahlenentwicklung</w:t>
      </w:r>
      <w:r w:rsidR="00F162DD">
        <w:rPr>
          <w:b/>
          <w:bCs/>
          <w:sz w:val="18"/>
          <w:szCs w:val="18"/>
        </w:rPr>
        <w:t xml:space="preserve"> </w:t>
      </w:r>
      <w:r w:rsidRPr="00E41BA7">
        <w:rPr>
          <w:b/>
          <w:bCs/>
          <w:sz w:val="18"/>
          <w:szCs w:val="18"/>
        </w:rPr>
        <w:t>der EUROVIA Verkehrsbau GmbH</w:t>
      </w:r>
      <w:r w:rsidRPr="00E41BA7">
        <w:rPr>
          <w:b/>
          <w:bCs/>
          <w:sz w:val="18"/>
          <w:szCs w:val="18"/>
          <w:u w:val="single"/>
          <w:vertAlign w:val="superscript"/>
        </w:rPr>
        <w:t>8</w:t>
      </w:r>
    </w:p>
    <w:p w14:paraId="38D9137C" w14:textId="77777777" w:rsidR="00A26274" w:rsidRPr="00E41BA7" w:rsidRDefault="00A26274" w:rsidP="00484323">
      <w:pPr>
        <w:spacing w:before="0"/>
        <w:contextualSpacing/>
        <w:mirrorIndents/>
        <w:jc w:val="center"/>
        <w:outlineLvl w:val="3"/>
        <w:rPr>
          <w:b/>
          <w:bCs/>
          <w:sz w:val="18"/>
          <w:szCs w:val="18"/>
        </w:rPr>
      </w:pPr>
    </w:p>
    <w:tbl>
      <w:tblPr>
        <w:tblW w:w="9102" w:type="dxa"/>
        <w:tblCellSpacing w:w="0" w:type="dxa"/>
        <w:tblCellMar>
          <w:top w:w="30" w:type="dxa"/>
          <w:left w:w="30" w:type="dxa"/>
          <w:bottom w:w="30" w:type="dxa"/>
          <w:right w:w="30" w:type="dxa"/>
        </w:tblCellMar>
        <w:tblLook w:val="04A0" w:firstRow="1" w:lastRow="0" w:firstColumn="1" w:lastColumn="0" w:noHBand="0" w:noVBand="1"/>
      </w:tblPr>
      <w:tblGrid>
        <w:gridCol w:w="4708"/>
        <w:gridCol w:w="1276"/>
        <w:gridCol w:w="1807"/>
        <w:gridCol w:w="1311"/>
      </w:tblGrid>
      <w:tr w:rsidR="002E4D4F" w:rsidRPr="00E41BA7" w14:paraId="509799DC" w14:textId="77777777" w:rsidTr="00A26274">
        <w:trPr>
          <w:tblHeader/>
          <w:tblCellSpacing w:w="0" w:type="dxa"/>
        </w:trPr>
        <w:tc>
          <w:tcPr>
            <w:tcW w:w="4708" w:type="dxa"/>
            <w:shd w:val="clear" w:color="auto" w:fill="CDCDCE"/>
            <w:vAlign w:val="bottom"/>
            <w:hideMark/>
          </w:tcPr>
          <w:p w14:paraId="2C4EE72B" w14:textId="77777777" w:rsidR="002E4D4F" w:rsidRPr="00E41BA7" w:rsidRDefault="002E4D4F" w:rsidP="00484323">
            <w:pPr>
              <w:spacing w:before="0"/>
              <w:contextualSpacing/>
              <w:mirrorIndents/>
              <w:rPr>
                <w:sz w:val="18"/>
                <w:szCs w:val="18"/>
              </w:rPr>
            </w:pPr>
            <w:r w:rsidRPr="00E41BA7">
              <w:rPr>
                <w:sz w:val="18"/>
                <w:szCs w:val="18"/>
              </w:rPr>
              <w:t>Finanzielle Leistungsindikatoren</w:t>
            </w:r>
          </w:p>
        </w:tc>
        <w:tc>
          <w:tcPr>
            <w:tcW w:w="1276" w:type="dxa"/>
            <w:shd w:val="clear" w:color="auto" w:fill="CDCDCE"/>
            <w:vAlign w:val="bottom"/>
            <w:hideMark/>
          </w:tcPr>
          <w:p w14:paraId="6A072FCA" w14:textId="77777777" w:rsidR="002E4D4F" w:rsidRPr="00E41BA7" w:rsidRDefault="002E4D4F" w:rsidP="00484323">
            <w:pPr>
              <w:spacing w:before="0"/>
              <w:contextualSpacing/>
              <w:mirrorIndents/>
              <w:jc w:val="left"/>
              <w:rPr>
                <w:sz w:val="18"/>
                <w:szCs w:val="18"/>
              </w:rPr>
            </w:pPr>
            <w:r w:rsidRPr="00E41BA7">
              <w:rPr>
                <w:sz w:val="18"/>
                <w:szCs w:val="18"/>
              </w:rPr>
              <w:t>IST 2022</w:t>
            </w:r>
            <w:r w:rsidRPr="00E41BA7">
              <w:rPr>
                <w:sz w:val="18"/>
                <w:szCs w:val="18"/>
              </w:rPr>
              <w:br/>
              <w:t>Mio. EUR</w:t>
            </w:r>
          </w:p>
        </w:tc>
        <w:tc>
          <w:tcPr>
            <w:tcW w:w="1807" w:type="dxa"/>
            <w:shd w:val="clear" w:color="auto" w:fill="CDCDCE"/>
            <w:vAlign w:val="bottom"/>
            <w:hideMark/>
          </w:tcPr>
          <w:p w14:paraId="30C14A0D" w14:textId="77777777" w:rsidR="002E4D4F" w:rsidRPr="00E41BA7" w:rsidRDefault="002E4D4F" w:rsidP="00484323">
            <w:pPr>
              <w:spacing w:before="0"/>
              <w:contextualSpacing/>
              <w:mirrorIndents/>
              <w:jc w:val="left"/>
              <w:rPr>
                <w:sz w:val="18"/>
                <w:szCs w:val="18"/>
              </w:rPr>
            </w:pPr>
            <w:r w:rsidRPr="00E41BA7">
              <w:rPr>
                <w:sz w:val="18"/>
                <w:szCs w:val="18"/>
              </w:rPr>
              <w:t>Prognose 2022</w:t>
            </w:r>
            <w:r w:rsidRPr="00E41BA7">
              <w:rPr>
                <w:sz w:val="18"/>
                <w:szCs w:val="18"/>
              </w:rPr>
              <w:br/>
              <w:t>Mio. EUR</w:t>
            </w:r>
          </w:p>
        </w:tc>
        <w:tc>
          <w:tcPr>
            <w:tcW w:w="1311" w:type="dxa"/>
            <w:shd w:val="clear" w:color="auto" w:fill="CDCDCE"/>
            <w:vAlign w:val="bottom"/>
            <w:hideMark/>
          </w:tcPr>
          <w:p w14:paraId="02429D42" w14:textId="77777777" w:rsidR="002E4D4F" w:rsidRPr="00E41BA7" w:rsidRDefault="002E4D4F" w:rsidP="00484323">
            <w:pPr>
              <w:spacing w:before="0"/>
              <w:contextualSpacing/>
              <w:mirrorIndents/>
              <w:jc w:val="left"/>
              <w:rPr>
                <w:sz w:val="18"/>
                <w:szCs w:val="18"/>
              </w:rPr>
            </w:pPr>
            <w:r w:rsidRPr="00E41BA7">
              <w:rPr>
                <w:sz w:val="18"/>
                <w:szCs w:val="18"/>
              </w:rPr>
              <w:t>IST 2021</w:t>
            </w:r>
            <w:r w:rsidRPr="00E41BA7">
              <w:rPr>
                <w:sz w:val="18"/>
                <w:szCs w:val="18"/>
              </w:rPr>
              <w:br/>
              <w:t>Mio. EUR</w:t>
            </w:r>
          </w:p>
        </w:tc>
      </w:tr>
      <w:tr w:rsidR="002E4D4F" w:rsidRPr="00E41BA7" w14:paraId="67C5DF07" w14:textId="77777777" w:rsidTr="00A26274">
        <w:trPr>
          <w:tblCellSpacing w:w="0" w:type="dxa"/>
        </w:trPr>
        <w:tc>
          <w:tcPr>
            <w:tcW w:w="4708" w:type="dxa"/>
            <w:vAlign w:val="center"/>
            <w:hideMark/>
          </w:tcPr>
          <w:p w14:paraId="62F65F32" w14:textId="77777777" w:rsidR="002E4D4F" w:rsidRPr="00E41BA7" w:rsidRDefault="002E4D4F" w:rsidP="00484323">
            <w:pPr>
              <w:spacing w:before="0"/>
              <w:contextualSpacing/>
              <w:mirrorIndents/>
              <w:rPr>
                <w:sz w:val="18"/>
                <w:szCs w:val="18"/>
              </w:rPr>
            </w:pPr>
            <w:r w:rsidRPr="00E41BA7">
              <w:rPr>
                <w:sz w:val="18"/>
                <w:szCs w:val="18"/>
              </w:rPr>
              <w:t>Bauleistung IFRS</w:t>
            </w:r>
          </w:p>
        </w:tc>
        <w:tc>
          <w:tcPr>
            <w:tcW w:w="1276" w:type="dxa"/>
            <w:vAlign w:val="center"/>
            <w:hideMark/>
          </w:tcPr>
          <w:p w14:paraId="20AEDC94" w14:textId="77777777" w:rsidR="002E4D4F" w:rsidRPr="00E41BA7" w:rsidRDefault="002E4D4F" w:rsidP="00484323">
            <w:pPr>
              <w:spacing w:before="0"/>
              <w:contextualSpacing/>
              <w:mirrorIndents/>
              <w:jc w:val="left"/>
              <w:rPr>
                <w:sz w:val="18"/>
                <w:szCs w:val="18"/>
              </w:rPr>
            </w:pPr>
            <w:r w:rsidRPr="00E41BA7">
              <w:rPr>
                <w:sz w:val="18"/>
                <w:szCs w:val="18"/>
              </w:rPr>
              <w:t>297,0</w:t>
            </w:r>
          </w:p>
        </w:tc>
        <w:tc>
          <w:tcPr>
            <w:tcW w:w="1807" w:type="dxa"/>
            <w:vAlign w:val="center"/>
            <w:hideMark/>
          </w:tcPr>
          <w:p w14:paraId="6F50E451" w14:textId="77777777" w:rsidR="002E4D4F" w:rsidRPr="00E41BA7" w:rsidRDefault="002E4D4F" w:rsidP="00484323">
            <w:pPr>
              <w:spacing w:before="0"/>
              <w:contextualSpacing/>
              <w:mirrorIndents/>
              <w:jc w:val="left"/>
              <w:rPr>
                <w:sz w:val="18"/>
                <w:szCs w:val="18"/>
              </w:rPr>
            </w:pPr>
            <w:r w:rsidRPr="00E41BA7">
              <w:rPr>
                <w:sz w:val="18"/>
                <w:szCs w:val="18"/>
              </w:rPr>
              <w:t>312,8</w:t>
            </w:r>
          </w:p>
        </w:tc>
        <w:tc>
          <w:tcPr>
            <w:tcW w:w="1311" w:type="dxa"/>
            <w:vAlign w:val="center"/>
            <w:hideMark/>
          </w:tcPr>
          <w:p w14:paraId="0D53ED5E" w14:textId="77777777" w:rsidR="002E4D4F" w:rsidRPr="00E41BA7" w:rsidRDefault="002E4D4F" w:rsidP="00484323">
            <w:pPr>
              <w:spacing w:before="0"/>
              <w:contextualSpacing/>
              <w:mirrorIndents/>
              <w:jc w:val="left"/>
              <w:rPr>
                <w:sz w:val="18"/>
                <w:szCs w:val="18"/>
              </w:rPr>
            </w:pPr>
            <w:r w:rsidRPr="00E41BA7">
              <w:rPr>
                <w:sz w:val="18"/>
                <w:szCs w:val="18"/>
              </w:rPr>
              <w:t>284,8</w:t>
            </w:r>
          </w:p>
        </w:tc>
      </w:tr>
      <w:tr w:rsidR="002E4D4F" w:rsidRPr="00E41BA7" w14:paraId="578FB79F" w14:textId="77777777" w:rsidTr="00A26274">
        <w:trPr>
          <w:tblCellSpacing w:w="0" w:type="dxa"/>
        </w:trPr>
        <w:tc>
          <w:tcPr>
            <w:tcW w:w="4708" w:type="dxa"/>
            <w:shd w:val="clear" w:color="auto" w:fill="F0F0F0"/>
            <w:vAlign w:val="center"/>
            <w:hideMark/>
          </w:tcPr>
          <w:p w14:paraId="2D09EC02" w14:textId="77777777" w:rsidR="002E4D4F" w:rsidRPr="00E41BA7" w:rsidRDefault="002E4D4F" w:rsidP="00484323">
            <w:pPr>
              <w:spacing w:before="0"/>
              <w:contextualSpacing/>
              <w:mirrorIndents/>
              <w:rPr>
                <w:sz w:val="18"/>
                <w:szCs w:val="18"/>
              </w:rPr>
            </w:pPr>
            <w:r w:rsidRPr="00E41BA7">
              <w:rPr>
                <w:sz w:val="18"/>
                <w:szCs w:val="18"/>
              </w:rPr>
              <w:t>Operatives Ergebnis IFRS</w:t>
            </w:r>
          </w:p>
        </w:tc>
        <w:tc>
          <w:tcPr>
            <w:tcW w:w="1276" w:type="dxa"/>
            <w:shd w:val="clear" w:color="auto" w:fill="F0F0F0"/>
            <w:vAlign w:val="center"/>
            <w:hideMark/>
          </w:tcPr>
          <w:p w14:paraId="70AFC1BF" w14:textId="77777777" w:rsidR="002E4D4F" w:rsidRPr="00E41BA7" w:rsidRDefault="002E4D4F" w:rsidP="00484323">
            <w:pPr>
              <w:spacing w:before="0"/>
              <w:contextualSpacing/>
              <w:mirrorIndents/>
              <w:jc w:val="left"/>
              <w:rPr>
                <w:sz w:val="18"/>
                <w:szCs w:val="18"/>
              </w:rPr>
            </w:pPr>
            <w:r w:rsidRPr="00E41BA7">
              <w:rPr>
                <w:sz w:val="18"/>
                <w:szCs w:val="18"/>
              </w:rPr>
              <w:t>22,4</w:t>
            </w:r>
          </w:p>
        </w:tc>
        <w:tc>
          <w:tcPr>
            <w:tcW w:w="1807" w:type="dxa"/>
            <w:shd w:val="clear" w:color="auto" w:fill="F0F0F0"/>
            <w:vAlign w:val="center"/>
            <w:hideMark/>
          </w:tcPr>
          <w:p w14:paraId="21A89EFF" w14:textId="77777777" w:rsidR="002E4D4F" w:rsidRPr="00E41BA7" w:rsidRDefault="002E4D4F" w:rsidP="00484323">
            <w:pPr>
              <w:spacing w:before="0"/>
              <w:contextualSpacing/>
              <w:mirrorIndents/>
              <w:jc w:val="left"/>
              <w:rPr>
                <w:sz w:val="18"/>
                <w:szCs w:val="18"/>
              </w:rPr>
            </w:pPr>
            <w:r w:rsidRPr="00E41BA7">
              <w:rPr>
                <w:sz w:val="18"/>
                <w:szCs w:val="18"/>
              </w:rPr>
              <w:t>24,5</w:t>
            </w:r>
          </w:p>
        </w:tc>
        <w:tc>
          <w:tcPr>
            <w:tcW w:w="1311" w:type="dxa"/>
            <w:shd w:val="clear" w:color="auto" w:fill="F0F0F0"/>
            <w:vAlign w:val="center"/>
            <w:hideMark/>
          </w:tcPr>
          <w:p w14:paraId="5CE8519C" w14:textId="77777777" w:rsidR="002E4D4F" w:rsidRPr="00E41BA7" w:rsidRDefault="002E4D4F" w:rsidP="00484323">
            <w:pPr>
              <w:spacing w:before="0"/>
              <w:contextualSpacing/>
              <w:mirrorIndents/>
              <w:jc w:val="left"/>
              <w:rPr>
                <w:sz w:val="18"/>
                <w:szCs w:val="18"/>
              </w:rPr>
            </w:pPr>
            <w:r w:rsidRPr="00E41BA7">
              <w:rPr>
                <w:sz w:val="18"/>
                <w:szCs w:val="18"/>
              </w:rPr>
              <w:t>20,4</w:t>
            </w:r>
          </w:p>
        </w:tc>
      </w:tr>
      <w:tr w:rsidR="002E4D4F" w:rsidRPr="00E41BA7" w14:paraId="73F6A5FA" w14:textId="77777777" w:rsidTr="00A26274">
        <w:trPr>
          <w:tblHeader/>
          <w:tblCellSpacing w:w="0" w:type="dxa"/>
        </w:trPr>
        <w:tc>
          <w:tcPr>
            <w:tcW w:w="5984" w:type="dxa"/>
            <w:gridSpan w:val="2"/>
            <w:shd w:val="clear" w:color="auto" w:fill="CDCDCE"/>
            <w:vAlign w:val="bottom"/>
            <w:hideMark/>
          </w:tcPr>
          <w:p w14:paraId="3F842275" w14:textId="77777777" w:rsidR="002E4D4F" w:rsidRPr="00E41BA7" w:rsidRDefault="002E4D4F" w:rsidP="00484323">
            <w:pPr>
              <w:spacing w:before="0"/>
              <w:contextualSpacing/>
              <w:mirrorIndents/>
              <w:jc w:val="left"/>
              <w:rPr>
                <w:sz w:val="18"/>
                <w:szCs w:val="18"/>
              </w:rPr>
            </w:pPr>
            <w:r w:rsidRPr="00E41BA7">
              <w:rPr>
                <w:sz w:val="18"/>
                <w:szCs w:val="18"/>
              </w:rPr>
              <w:t>Weitere Kennzahlen</w:t>
            </w:r>
          </w:p>
        </w:tc>
        <w:tc>
          <w:tcPr>
            <w:tcW w:w="1807" w:type="dxa"/>
            <w:shd w:val="clear" w:color="auto" w:fill="CDCDCE"/>
            <w:vAlign w:val="bottom"/>
            <w:hideMark/>
          </w:tcPr>
          <w:p w14:paraId="4B2AB839" w14:textId="77777777" w:rsidR="002E4D4F" w:rsidRPr="00E41BA7" w:rsidRDefault="002E4D4F" w:rsidP="00484323">
            <w:pPr>
              <w:spacing w:before="0"/>
              <w:contextualSpacing/>
              <w:mirrorIndents/>
              <w:jc w:val="left"/>
              <w:rPr>
                <w:sz w:val="18"/>
                <w:szCs w:val="18"/>
              </w:rPr>
            </w:pPr>
            <w:r w:rsidRPr="00E41BA7">
              <w:rPr>
                <w:sz w:val="18"/>
                <w:szCs w:val="18"/>
              </w:rPr>
              <w:t>IST 2022</w:t>
            </w:r>
            <w:r w:rsidRPr="00E41BA7">
              <w:rPr>
                <w:sz w:val="18"/>
                <w:szCs w:val="18"/>
              </w:rPr>
              <w:br/>
              <w:t>Mio. EUR</w:t>
            </w:r>
          </w:p>
        </w:tc>
        <w:tc>
          <w:tcPr>
            <w:tcW w:w="1311" w:type="dxa"/>
            <w:shd w:val="clear" w:color="auto" w:fill="CDCDCE"/>
            <w:vAlign w:val="bottom"/>
            <w:hideMark/>
          </w:tcPr>
          <w:p w14:paraId="40EA34C1" w14:textId="77777777" w:rsidR="002E4D4F" w:rsidRPr="00E41BA7" w:rsidRDefault="002E4D4F" w:rsidP="00484323">
            <w:pPr>
              <w:spacing w:before="0"/>
              <w:contextualSpacing/>
              <w:mirrorIndents/>
              <w:jc w:val="left"/>
              <w:rPr>
                <w:sz w:val="18"/>
                <w:szCs w:val="18"/>
              </w:rPr>
            </w:pPr>
            <w:r w:rsidRPr="00E41BA7">
              <w:rPr>
                <w:sz w:val="18"/>
                <w:szCs w:val="18"/>
              </w:rPr>
              <w:t>IST 2021</w:t>
            </w:r>
            <w:r w:rsidRPr="00E41BA7">
              <w:rPr>
                <w:sz w:val="18"/>
                <w:szCs w:val="18"/>
              </w:rPr>
              <w:br/>
              <w:t>Mio. EUR</w:t>
            </w:r>
          </w:p>
        </w:tc>
      </w:tr>
      <w:tr w:rsidR="002E4D4F" w:rsidRPr="00E41BA7" w14:paraId="32900E3C" w14:textId="77777777" w:rsidTr="00A26274">
        <w:trPr>
          <w:tblCellSpacing w:w="0" w:type="dxa"/>
        </w:trPr>
        <w:tc>
          <w:tcPr>
            <w:tcW w:w="5984" w:type="dxa"/>
            <w:gridSpan w:val="2"/>
            <w:vAlign w:val="center"/>
            <w:hideMark/>
          </w:tcPr>
          <w:p w14:paraId="584A6E2A" w14:textId="77777777" w:rsidR="002E4D4F" w:rsidRPr="00E41BA7" w:rsidRDefault="002E4D4F" w:rsidP="00484323">
            <w:pPr>
              <w:spacing w:before="0"/>
              <w:contextualSpacing/>
              <w:mirrorIndents/>
              <w:rPr>
                <w:sz w:val="18"/>
                <w:szCs w:val="18"/>
              </w:rPr>
            </w:pPr>
            <w:r w:rsidRPr="00E41BA7">
              <w:rPr>
                <w:sz w:val="18"/>
                <w:szCs w:val="18"/>
              </w:rPr>
              <w:t>Finanzmittelfonds (31.12.)</w:t>
            </w:r>
          </w:p>
        </w:tc>
        <w:tc>
          <w:tcPr>
            <w:tcW w:w="1807" w:type="dxa"/>
            <w:vAlign w:val="center"/>
            <w:hideMark/>
          </w:tcPr>
          <w:p w14:paraId="3A713553" w14:textId="77777777" w:rsidR="002E4D4F" w:rsidRPr="00E41BA7" w:rsidRDefault="002E4D4F" w:rsidP="00484323">
            <w:pPr>
              <w:spacing w:before="0"/>
              <w:contextualSpacing/>
              <w:mirrorIndents/>
              <w:rPr>
                <w:sz w:val="18"/>
                <w:szCs w:val="18"/>
              </w:rPr>
            </w:pPr>
            <w:r w:rsidRPr="00E41BA7">
              <w:rPr>
                <w:sz w:val="18"/>
                <w:szCs w:val="18"/>
              </w:rPr>
              <w:t>106,8</w:t>
            </w:r>
          </w:p>
        </w:tc>
        <w:tc>
          <w:tcPr>
            <w:tcW w:w="1311" w:type="dxa"/>
            <w:vAlign w:val="center"/>
            <w:hideMark/>
          </w:tcPr>
          <w:p w14:paraId="2417727E" w14:textId="77777777" w:rsidR="002E4D4F" w:rsidRPr="00E41BA7" w:rsidRDefault="002E4D4F" w:rsidP="00484323">
            <w:pPr>
              <w:spacing w:before="0"/>
              <w:contextualSpacing/>
              <w:mirrorIndents/>
              <w:rPr>
                <w:sz w:val="18"/>
                <w:szCs w:val="18"/>
              </w:rPr>
            </w:pPr>
            <w:r w:rsidRPr="00E41BA7">
              <w:rPr>
                <w:sz w:val="18"/>
                <w:szCs w:val="18"/>
              </w:rPr>
              <w:t>128,6</w:t>
            </w:r>
          </w:p>
        </w:tc>
      </w:tr>
      <w:tr w:rsidR="002E4D4F" w:rsidRPr="00E41BA7" w14:paraId="0D3EB3C0" w14:textId="77777777" w:rsidTr="00A26274">
        <w:trPr>
          <w:tblCellSpacing w:w="0" w:type="dxa"/>
        </w:trPr>
        <w:tc>
          <w:tcPr>
            <w:tcW w:w="5984" w:type="dxa"/>
            <w:gridSpan w:val="2"/>
            <w:shd w:val="clear" w:color="auto" w:fill="F0F0F0"/>
            <w:vAlign w:val="center"/>
            <w:hideMark/>
          </w:tcPr>
          <w:p w14:paraId="5B7EF20E" w14:textId="77777777" w:rsidR="002E4D4F" w:rsidRPr="00E41BA7" w:rsidRDefault="002E4D4F" w:rsidP="00484323">
            <w:pPr>
              <w:spacing w:before="0"/>
              <w:contextualSpacing/>
              <w:mirrorIndents/>
              <w:rPr>
                <w:sz w:val="18"/>
                <w:szCs w:val="18"/>
              </w:rPr>
            </w:pPr>
            <w:r w:rsidRPr="00E41BA7">
              <w:rPr>
                <w:sz w:val="18"/>
                <w:szCs w:val="18"/>
              </w:rPr>
              <w:t>Auftragsbestand (31.12.)</w:t>
            </w:r>
          </w:p>
        </w:tc>
        <w:tc>
          <w:tcPr>
            <w:tcW w:w="1807" w:type="dxa"/>
            <w:shd w:val="clear" w:color="auto" w:fill="F0F0F0"/>
            <w:vAlign w:val="center"/>
            <w:hideMark/>
          </w:tcPr>
          <w:p w14:paraId="3018F042" w14:textId="77777777" w:rsidR="002E4D4F" w:rsidRPr="00E41BA7" w:rsidRDefault="002E4D4F" w:rsidP="00484323">
            <w:pPr>
              <w:spacing w:before="0"/>
              <w:contextualSpacing/>
              <w:mirrorIndents/>
              <w:rPr>
                <w:sz w:val="18"/>
                <w:szCs w:val="18"/>
              </w:rPr>
            </w:pPr>
            <w:r w:rsidRPr="00E41BA7">
              <w:rPr>
                <w:sz w:val="18"/>
                <w:szCs w:val="18"/>
              </w:rPr>
              <w:t>185,0</w:t>
            </w:r>
          </w:p>
        </w:tc>
        <w:tc>
          <w:tcPr>
            <w:tcW w:w="1311" w:type="dxa"/>
            <w:shd w:val="clear" w:color="auto" w:fill="F0F0F0"/>
            <w:vAlign w:val="center"/>
            <w:hideMark/>
          </w:tcPr>
          <w:p w14:paraId="47C5E067" w14:textId="77777777" w:rsidR="002E4D4F" w:rsidRPr="00E41BA7" w:rsidRDefault="002E4D4F" w:rsidP="00484323">
            <w:pPr>
              <w:spacing w:before="0"/>
              <w:contextualSpacing/>
              <w:mirrorIndents/>
              <w:rPr>
                <w:sz w:val="18"/>
                <w:szCs w:val="18"/>
              </w:rPr>
            </w:pPr>
            <w:r w:rsidRPr="00E41BA7">
              <w:rPr>
                <w:sz w:val="18"/>
                <w:szCs w:val="18"/>
              </w:rPr>
              <w:t>204,7</w:t>
            </w:r>
          </w:p>
        </w:tc>
      </w:tr>
      <w:tr w:rsidR="002E4D4F" w:rsidRPr="00E41BA7" w14:paraId="3FCBD33E" w14:textId="77777777" w:rsidTr="00A26274">
        <w:trPr>
          <w:tblCellSpacing w:w="0" w:type="dxa"/>
        </w:trPr>
        <w:tc>
          <w:tcPr>
            <w:tcW w:w="5984" w:type="dxa"/>
            <w:gridSpan w:val="2"/>
            <w:vAlign w:val="center"/>
            <w:hideMark/>
          </w:tcPr>
          <w:p w14:paraId="3982888B" w14:textId="77777777" w:rsidR="002E4D4F" w:rsidRPr="00E41BA7" w:rsidRDefault="002E4D4F" w:rsidP="00484323">
            <w:pPr>
              <w:spacing w:before="0"/>
              <w:contextualSpacing/>
              <w:mirrorIndents/>
              <w:rPr>
                <w:sz w:val="18"/>
                <w:szCs w:val="18"/>
              </w:rPr>
            </w:pPr>
            <w:r w:rsidRPr="00E41BA7">
              <w:rPr>
                <w:sz w:val="18"/>
                <w:szCs w:val="18"/>
              </w:rPr>
              <w:t>Auftragseingang</w:t>
            </w:r>
          </w:p>
        </w:tc>
        <w:tc>
          <w:tcPr>
            <w:tcW w:w="1807" w:type="dxa"/>
            <w:vAlign w:val="center"/>
            <w:hideMark/>
          </w:tcPr>
          <w:p w14:paraId="5FBD1463" w14:textId="77777777" w:rsidR="002E4D4F" w:rsidRPr="00E41BA7" w:rsidRDefault="002E4D4F" w:rsidP="00484323">
            <w:pPr>
              <w:spacing w:before="0"/>
              <w:contextualSpacing/>
              <w:mirrorIndents/>
              <w:rPr>
                <w:sz w:val="18"/>
                <w:szCs w:val="18"/>
              </w:rPr>
            </w:pPr>
            <w:r w:rsidRPr="00E41BA7">
              <w:rPr>
                <w:sz w:val="18"/>
                <w:szCs w:val="18"/>
              </w:rPr>
              <w:t>279,4</w:t>
            </w:r>
          </w:p>
        </w:tc>
        <w:tc>
          <w:tcPr>
            <w:tcW w:w="1311" w:type="dxa"/>
            <w:vAlign w:val="center"/>
            <w:hideMark/>
          </w:tcPr>
          <w:p w14:paraId="73C3F646" w14:textId="77777777" w:rsidR="002E4D4F" w:rsidRPr="00E41BA7" w:rsidRDefault="002E4D4F" w:rsidP="00484323">
            <w:pPr>
              <w:spacing w:before="0"/>
              <w:contextualSpacing/>
              <w:mirrorIndents/>
              <w:rPr>
                <w:sz w:val="18"/>
                <w:szCs w:val="18"/>
              </w:rPr>
            </w:pPr>
            <w:r w:rsidRPr="00E41BA7">
              <w:rPr>
                <w:sz w:val="18"/>
                <w:szCs w:val="18"/>
              </w:rPr>
              <w:t>341,3</w:t>
            </w:r>
          </w:p>
        </w:tc>
      </w:tr>
      <w:tr w:rsidR="002E4D4F" w:rsidRPr="00E41BA7" w14:paraId="4D4EE2D5" w14:textId="77777777" w:rsidTr="00A26274">
        <w:trPr>
          <w:tblCellSpacing w:w="0" w:type="dxa"/>
        </w:trPr>
        <w:tc>
          <w:tcPr>
            <w:tcW w:w="5984" w:type="dxa"/>
            <w:gridSpan w:val="2"/>
            <w:shd w:val="clear" w:color="auto" w:fill="F0F0F0"/>
            <w:vAlign w:val="center"/>
            <w:hideMark/>
          </w:tcPr>
          <w:p w14:paraId="0973B616" w14:textId="77777777" w:rsidR="002E4D4F" w:rsidRPr="00E41BA7" w:rsidRDefault="002E4D4F" w:rsidP="00484323">
            <w:pPr>
              <w:spacing w:before="0"/>
              <w:contextualSpacing/>
              <w:mirrorIndents/>
              <w:rPr>
                <w:sz w:val="18"/>
                <w:szCs w:val="18"/>
              </w:rPr>
            </w:pPr>
            <w:r w:rsidRPr="00E41BA7">
              <w:rPr>
                <w:sz w:val="18"/>
                <w:szCs w:val="18"/>
              </w:rPr>
              <w:t>Nichtfinanzielle Leistungsindikatoren</w:t>
            </w:r>
          </w:p>
        </w:tc>
        <w:tc>
          <w:tcPr>
            <w:tcW w:w="1807" w:type="dxa"/>
            <w:shd w:val="clear" w:color="auto" w:fill="F0F0F0"/>
            <w:vAlign w:val="center"/>
            <w:hideMark/>
          </w:tcPr>
          <w:p w14:paraId="371D2530" w14:textId="77777777" w:rsidR="002E4D4F" w:rsidRPr="00E41BA7" w:rsidRDefault="002E4D4F" w:rsidP="00484323">
            <w:pPr>
              <w:spacing w:before="0"/>
              <w:contextualSpacing/>
              <w:mirrorIndents/>
              <w:rPr>
                <w:sz w:val="18"/>
                <w:szCs w:val="18"/>
              </w:rPr>
            </w:pPr>
            <w:r w:rsidRPr="00E41BA7">
              <w:rPr>
                <w:sz w:val="18"/>
                <w:szCs w:val="18"/>
              </w:rPr>
              <w:t>IST</w:t>
            </w:r>
          </w:p>
        </w:tc>
        <w:tc>
          <w:tcPr>
            <w:tcW w:w="1311" w:type="dxa"/>
            <w:shd w:val="clear" w:color="auto" w:fill="F0F0F0"/>
            <w:vAlign w:val="center"/>
            <w:hideMark/>
          </w:tcPr>
          <w:p w14:paraId="742868F1" w14:textId="77777777" w:rsidR="002E4D4F" w:rsidRPr="00E41BA7" w:rsidRDefault="002E4D4F" w:rsidP="00484323">
            <w:pPr>
              <w:spacing w:before="0"/>
              <w:contextualSpacing/>
              <w:mirrorIndents/>
              <w:rPr>
                <w:sz w:val="18"/>
                <w:szCs w:val="18"/>
              </w:rPr>
            </w:pPr>
            <w:r w:rsidRPr="00E41BA7">
              <w:rPr>
                <w:sz w:val="18"/>
                <w:szCs w:val="18"/>
              </w:rPr>
              <w:t>IST</w:t>
            </w:r>
          </w:p>
        </w:tc>
      </w:tr>
      <w:tr w:rsidR="002E4D4F" w:rsidRPr="00E41BA7" w14:paraId="2A4DB8E0" w14:textId="77777777" w:rsidTr="00A26274">
        <w:trPr>
          <w:tblCellSpacing w:w="0" w:type="dxa"/>
        </w:trPr>
        <w:tc>
          <w:tcPr>
            <w:tcW w:w="5984" w:type="dxa"/>
            <w:gridSpan w:val="2"/>
            <w:vAlign w:val="center"/>
            <w:hideMark/>
          </w:tcPr>
          <w:p w14:paraId="6660D3D4" w14:textId="77777777" w:rsidR="002E4D4F" w:rsidRPr="00E41BA7" w:rsidRDefault="002E4D4F" w:rsidP="00484323">
            <w:pPr>
              <w:spacing w:before="0"/>
              <w:contextualSpacing/>
              <w:mirrorIndents/>
              <w:rPr>
                <w:sz w:val="18"/>
                <w:szCs w:val="18"/>
              </w:rPr>
            </w:pPr>
          </w:p>
        </w:tc>
        <w:tc>
          <w:tcPr>
            <w:tcW w:w="1807" w:type="dxa"/>
            <w:vAlign w:val="center"/>
            <w:hideMark/>
          </w:tcPr>
          <w:p w14:paraId="2BAB4CAD" w14:textId="77777777" w:rsidR="002E4D4F" w:rsidRPr="00E41BA7" w:rsidRDefault="002E4D4F" w:rsidP="00484323">
            <w:pPr>
              <w:spacing w:before="0"/>
              <w:contextualSpacing/>
              <w:mirrorIndents/>
              <w:rPr>
                <w:sz w:val="18"/>
                <w:szCs w:val="18"/>
              </w:rPr>
            </w:pPr>
            <w:r w:rsidRPr="00E41BA7">
              <w:rPr>
                <w:sz w:val="18"/>
                <w:szCs w:val="18"/>
              </w:rPr>
              <w:t>2022</w:t>
            </w:r>
          </w:p>
        </w:tc>
        <w:tc>
          <w:tcPr>
            <w:tcW w:w="1311" w:type="dxa"/>
            <w:vAlign w:val="center"/>
            <w:hideMark/>
          </w:tcPr>
          <w:p w14:paraId="65A94876" w14:textId="77777777" w:rsidR="002E4D4F" w:rsidRPr="00E41BA7" w:rsidRDefault="002E4D4F" w:rsidP="00484323">
            <w:pPr>
              <w:spacing w:before="0"/>
              <w:contextualSpacing/>
              <w:mirrorIndents/>
              <w:rPr>
                <w:sz w:val="18"/>
                <w:szCs w:val="18"/>
              </w:rPr>
            </w:pPr>
            <w:r w:rsidRPr="00E41BA7">
              <w:rPr>
                <w:sz w:val="18"/>
                <w:szCs w:val="18"/>
              </w:rPr>
              <w:t>2021</w:t>
            </w:r>
          </w:p>
        </w:tc>
      </w:tr>
      <w:tr w:rsidR="002E4D4F" w:rsidRPr="00E41BA7" w14:paraId="27762FB1" w14:textId="77777777" w:rsidTr="00A26274">
        <w:trPr>
          <w:tblCellSpacing w:w="0" w:type="dxa"/>
        </w:trPr>
        <w:tc>
          <w:tcPr>
            <w:tcW w:w="5984" w:type="dxa"/>
            <w:gridSpan w:val="2"/>
            <w:shd w:val="clear" w:color="auto" w:fill="F0F0F0"/>
            <w:vAlign w:val="center"/>
            <w:hideMark/>
          </w:tcPr>
          <w:p w14:paraId="02BA3355" w14:textId="77777777" w:rsidR="002E4D4F" w:rsidRPr="00E41BA7" w:rsidRDefault="002E4D4F" w:rsidP="00484323">
            <w:pPr>
              <w:spacing w:before="0"/>
              <w:contextualSpacing/>
              <w:mirrorIndents/>
              <w:rPr>
                <w:sz w:val="18"/>
                <w:szCs w:val="18"/>
              </w:rPr>
            </w:pPr>
            <w:r w:rsidRPr="00E41BA7">
              <w:rPr>
                <w:sz w:val="18"/>
                <w:szCs w:val="18"/>
              </w:rPr>
              <w:t>Unfallhäufigkeit EUROVIA Deutschland</w:t>
            </w:r>
          </w:p>
        </w:tc>
        <w:tc>
          <w:tcPr>
            <w:tcW w:w="1807" w:type="dxa"/>
            <w:shd w:val="clear" w:color="auto" w:fill="F0F0F0"/>
            <w:vAlign w:val="center"/>
            <w:hideMark/>
          </w:tcPr>
          <w:p w14:paraId="3C500212" w14:textId="77777777" w:rsidR="002E4D4F" w:rsidRPr="00E41BA7" w:rsidRDefault="002E4D4F" w:rsidP="00484323">
            <w:pPr>
              <w:spacing w:before="0"/>
              <w:contextualSpacing/>
              <w:mirrorIndents/>
              <w:rPr>
                <w:sz w:val="18"/>
                <w:szCs w:val="18"/>
              </w:rPr>
            </w:pPr>
            <w:r w:rsidRPr="00E41BA7">
              <w:rPr>
                <w:sz w:val="18"/>
                <w:szCs w:val="18"/>
              </w:rPr>
              <w:t>9,5</w:t>
            </w:r>
          </w:p>
        </w:tc>
        <w:tc>
          <w:tcPr>
            <w:tcW w:w="1311" w:type="dxa"/>
            <w:shd w:val="clear" w:color="auto" w:fill="F0F0F0"/>
            <w:vAlign w:val="center"/>
            <w:hideMark/>
          </w:tcPr>
          <w:p w14:paraId="646C3D3D" w14:textId="77777777" w:rsidR="002E4D4F" w:rsidRPr="00E41BA7" w:rsidRDefault="002E4D4F" w:rsidP="00484323">
            <w:pPr>
              <w:spacing w:before="0"/>
              <w:contextualSpacing/>
              <w:mirrorIndents/>
              <w:rPr>
                <w:sz w:val="18"/>
                <w:szCs w:val="18"/>
              </w:rPr>
            </w:pPr>
            <w:r w:rsidRPr="00E41BA7">
              <w:rPr>
                <w:sz w:val="18"/>
                <w:szCs w:val="18"/>
              </w:rPr>
              <w:t>7,9</w:t>
            </w:r>
          </w:p>
        </w:tc>
      </w:tr>
      <w:tr w:rsidR="002E4D4F" w:rsidRPr="00E41BA7" w14:paraId="425F9C5F" w14:textId="77777777" w:rsidTr="00A26274">
        <w:trPr>
          <w:tblCellSpacing w:w="0" w:type="dxa"/>
        </w:trPr>
        <w:tc>
          <w:tcPr>
            <w:tcW w:w="5984" w:type="dxa"/>
            <w:gridSpan w:val="2"/>
            <w:vAlign w:val="center"/>
            <w:hideMark/>
          </w:tcPr>
          <w:p w14:paraId="7C106DAB" w14:textId="77777777" w:rsidR="002E4D4F" w:rsidRPr="00E41BA7" w:rsidRDefault="002E4D4F" w:rsidP="00484323">
            <w:pPr>
              <w:spacing w:before="0"/>
              <w:contextualSpacing/>
              <w:mirrorIndents/>
              <w:rPr>
                <w:sz w:val="18"/>
                <w:szCs w:val="18"/>
              </w:rPr>
            </w:pPr>
            <w:r w:rsidRPr="00E41BA7">
              <w:rPr>
                <w:sz w:val="18"/>
                <w:szCs w:val="18"/>
              </w:rPr>
              <w:t>Unfallschweregrad EUROVIA Deutschland</w:t>
            </w:r>
          </w:p>
        </w:tc>
        <w:tc>
          <w:tcPr>
            <w:tcW w:w="1807" w:type="dxa"/>
            <w:vAlign w:val="center"/>
            <w:hideMark/>
          </w:tcPr>
          <w:p w14:paraId="1D4C2731" w14:textId="77777777" w:rsidR="002E4D4F" w:rsidRPr="00E41BA7" w:rsidRDefault="002E4D4F" w:rsidP="00484323">
            <w:pPr>
              <w:spacing w:before="0"/>
              <w:contextualSpacing/>
              <w:mirrorIndents/>
              <w:rPr>
                <w:sz w:val="18"/>
                <w:szCs w:val="18"/>
              </w:rPr>
            </w:pPr>
            <w:r w:rsidRPr="00E41BA7">
              <w:rPr>
                <w:sz w:val="18"/>
                <w:szCs w:val="18"/>
              </w:rPr>
              <w:t>0,3</w:t>
            </w:r>
          </w:p>
        </w:tc>
        <w:tc>
          <w:tcPr>
            <w:tcW w:w="1311" w:type="dxa"/>
            <w:vAlign w:val="center"/>
            <w:hideMark/>
          </w:tcPr>
          <w:p w14:paraId="0D885633" w14:textId="77777777" w:rsidR="002E4D4F" w:rsidRPr="00E41BA7" w:rsidRDefault="002E4D4F" w:rsidP="00484323">
            <w:pPr>
              <w:spacing w:before="0"/>
              <w:contextualSpacing/>
              <w:mirrorIndents/>
              <w:rPr>
                <w:sz w:val="18"/>
                <w:szCs w:val="18"/>
              </w:rPr>
            </w:pPr>
            <w:r w:rsidRPr="00E41BA7">
              <w:rPr>
                <w:sz w:val="18"/>
                <w:szCs w:val="18"/>
              </w:rPr>
              <w:t>0,4</w:t>
            </w:r>
          </w:p>
        </w:tc>
      </w:tr>
    </w:tbl>
    <w:p w14:paraId="74D3B49A" w14:textId="77777777" w:rsidR="00215211" w:rsidRPr="008E4151" w:rsidRDefault="00215211" w:rsidP="00484323">
      <w:pPr>
        <w:spacing w:before="0"/>
        <w:contextualSpacing/>
        <w:mirrorIndents/>
        <w:rPr>
          <w:sz w:val="18"/>
          <w:szCs w:val="18"/>
          <w:highlight w:val="yellow"/>
        </w:rPr>
      </w:pPr>
    </w:p>
    <w:p w14:paraId="51F739B5" w14:textId="542489EF" w:rsidR="00CB74A1" w:rsidRDefault="00CB74A1" w:rsidP="00E41BA7">
      <w:pPr>
        <w:spacing w:before="0"/>
        <w:rPr>
          <w:sz w:val="18"/>
          <w:szCs w:val="18"/>
        </w:rPr>
      </w:pPr>
      <w:r w:rsidRPr="00CB74A1">
        <w:rPr>
          <w:sz w:val="18"/>
          <w:szCs w:val="18"/>
        </w:rPr>
        <w:t>Die Gesellschaft wird durch die finanziellen Leistungsindikatoren Bauleistung sowie operatives Ergebnis nach IFRS gesteuert und beurteilt.</w:t>
      </w:r>
    </w:p>
    <w:p w14:paraId="18CC81B9" w14:textId="77777777" w:rsidR="00E41BA7" w:rsidRPr="00CB74A1" w:rsidRDefault="00E41BA7" w:rsidP="00E41BA7">
      <w:pPr>
        <w:spacing w:before="0"/>
        <w:rPr>
          <w:sz w:val="18"/>
          <w:szCs w:val="18"/>
        </w:rPr>
      </w:pPr>
    </w:p>
    <w:p w14:paraId="146DBDF5" w14:textId="78995F42" w:rsidR="00CB74A1" w:rsidRDefault="00CB74A1" w:rsidP="00E41BA7">
      <w:pPr>
        <w:spacing w:before="0"/>
        <w:rPr>
          <w:sz w:val="18"/>
          <w:szCs w:val="18"/>
        </w:rPr>
      </w:pPr>
      <w:r w:rsidRPr="00CB74A1">
        <w:rPr>
          <w:sz w:val="18"/>
          <w:szCs w:val="18"/>
        </w:rPr>
        <w:t xml:space="preserve">Aufgrund der schwierigen Rahmenbedingungen mit auslaufender </w:t>
      </w:r>
      <w:proofErr w:type="spellStart"/>
      <w:r w:rsidRPr="00CB74A1">
        <w:rPr>
          <w:sz w:val="18"/>
          <w:szCs w:val="18"/>
        </w:rPr>
        <w:t>Coronakrise</w:t>
      </w:r>
      <w:proofErr w:type="spellEnd"/>
      <w:r w:rsidRPr="00CB74A1">
        <w:rPr>
          <w:sz w:val="18"/>
          <w:szCs w:val="18"/>
        </w:rPr>
        <w:t xml:space="preserve"> und beginnendem Ukraine-Krieg konnte die EUROVIA Verkehrsbau GmbH das zu Jahresanfang geplante Leistungsziel mit der erreichten Leistung in Höhe von Mio. EUR 297,0</w:t>
      </w:r>
      <w:r w:rsidRPr="00CB74A1">
        <w:rPr>
          <w:sz w:val="18"/>
          <w:szCs w:val="18"/>
          <w:u w:val="single"/>
          <w:vertAlign w:val="superscript"/>
        </w:rPr>
        <w:t>9</w:t>
      </w:r>
      <w:r w:rsidRPr="00CB74A1">
        <w:rPr>
          <w:sz w:val="18"/>
          <w:szCs w:val="18"/>
        </w:rPr>
        <w:t xml:space="preserve"> nicht bestätigen. Der Leistungsrückgang resultiert zum einen auf Leistungsverschiebungen, aber auch auf eine zurückhaltend agierende </w:t>
      </w:r>
      <w:proofErr w:type="spellStart"/>
      <w:r w:rsidRPr="00CB74A1">
        <w:rPr>
          <w:sz w:val="18"/>
          <w:szCs w:val="18"/>
        </w:rPr>
        <w:t>Auftraggeberschaft</w:t>
      </w:r>
      <w:proofErr w:type="spellEnd"/>
      <w:r w:rsidRPr="00CB74A1">
        <w:rPr>
          <w:sz w:val="18"/>
          <w:szCs w:val="18"/>
        </w:rPr>
        <w:t xml:space="preserve"> durch die allgemeinen Kostensteigerungen der Rohstoff- und Beschaffungspreise.</w:t>
      </w:r>
    </w:p>
    <w:p w14:paraId="2EE86B00" w14:textId="77777777" w:rsidR="00E41BA7" w:rsidRPr="00CB74A1" w:rsidRDefault="00E41BA7" w:rsidP="00E41BA7">
      <w:pPr>
        <w:spacing w:before="0"/>
        <w:rPr>
          <w:sz w:val="18"/>
          <w:szCs w:val="18"/>
        </w:rPr>
      </w:pPr>
    </w:p>
    <w:p w14:paraId="511D1461" w14:textId="255DBAF0" w:rsidR="00CB74A1" w:rsidRDefault="00CB74A1" w:rsidP="00E41BA7">
      <w:pPr>
        <w:spacing w:before="0"/>
        <w:rPr>
          <w:sz w:val="18"/>
          <w:szCs w:val="18"/>
        </w:rPr>
      </w:pPr>
      <w:r w:rsidRPr="00CB74A1">
        <w:rPr>
          <w:sz w:val="18"/>
          <w:szCs w:val="18"/>
        </w:rPr>
        <w:t>Auch der Auftragseingang lag im Geschäftsjahr mit Mio. EUR 279,4 deutlich unterhalb des Vorjahres. Insbesondere die Marktsituation nach Beginn des Ukrainekrieges mit signifikant gestiegenen Rohstoff- und Energiekosten sowie der Unsicherheit hinsichtlich der zukünftigen Preisentwicklung erforderten eine konsequente Umsetzung der vorgegebenen Geschäftsmodelle. Weiterhin wirkt sich der Sondereffekt des Vorjahres durch die Partizipation der Niederlassungen Leipzig und Weimar an der erfolgreichen Akquise des PPP-Projektes B247 mit einem anteiligen Auftragsbestand von Mio. EUR 45,0 aus.</w:t>
      </w:r>
    </w:p>
    <w:p w14:paraId="17D95E29" w14:textId="77777777" w:rsidR="00E41BA7" w:rsidRPr="00CB74A1" w:rsidRDefault="00E41BA7" w:rsidP="00E41BA7">
      <w:pPr>
        <w:spacing w:before="0"/>
        <w:rPr>
          <w:sz w:val="18"/>
          <w:szCs w:val="18"/>
        </w:rPr>
      </w:pPr>
    </w:p>
    <w:p w14:paraId="63A3A5CD" w14:textId="08FDFDA0" w:rsidR="00CB74A1" w:rsidRDefault="00CB74A1" w:rsidP="00E41BA7">
      <w:pPr>
        <w:spacing w:before="0"/>
        <w:rPr>
          <w:sz w:val="18"/>
          <w:szCs w:val="18"/>
        </w:rPr>
      </w:pPr>
      <w:r w:rsidRPr="00CB74A1">
        <w:rPr>
          <w:sz w:val="18"/>
          <w:szCs w:val="18"/>
        </w:rPr>
        <w:t>Das zu Jahresanfang 2022 mit Mio. EUR 24,5 geplante operative Ergebnis wurde mit Mio. EUR 22,4 aufgrund einzelner zentraler Risikoabsicherungen leicht unterschritten.</w:t>
      </w:r>
    </w:p>
    <w:p w14:paraId="12F7957B" w14:textId="77777777" w:rsidR="00E41BA7" w:rsidRPr="00CB74A1" w:rsidRDefault="00E41BA7" w:rsidP="00E41BA7">
      <w:pPr>
        <w:spacing w:before="0"/>
        <w:rPr>
          <w:sz w:val="18"/>
          <w:szCs w:val="18"/>
        </w:rPr>
      </w:pPr>
    </w:p>
    <w:p w14:paraId="4BE04211" w14:textId="3F2E458F" w:rsidR="00E41BA7" w:rsidRDefault="00CB74A1" w:rsidP="00E41BA7">
      <w:pPr>
        <w:spacing w:before="0"/>
        <w:rPr>
          <w:sz w:val="18"/>
          <w:szCs w:val="18"/>
        </w:rPr>
      </w:pPr>
      <w:r w:rsidRPr="00CB74A1">
        <w:rPr>
          <w:sz w:val="18"/>
          <w:szCs w:val="18"/>
        </w:rPr>
        <w:t>Insgesamt zeigt die Entwicklung der Gesellschaft, dass der Ukraine-Krieg als auch die auslaufende pandemische Lage einen geringen Einfluss auf die wirtschaftliche Situation der EUROVIA Verkehrsbau GmbH hatten.</w:t>
      </w:r>
    </w:p>
    <w:p w14:paraId="6D2F496D" w14:textId="77777777" w:rsidR="00E41BA7" w:rsidRDefault="00E41BA7" w:rsidP="00E41BA7">
      <w:pPr>
        <w:spacing w:before="0"/>
        <w:rPr>
          <w:sz w:val="18"/>
          <w:szCs w:val="18"/>
        </w:rPr>
      </w:pPr>
    </w:p>
    <w:p w14:paraId="1CEB7770" w14:textId="2AACC789" w:rsidR="00CB74A1" w:rsidRDefault="00CB74A1" w:rsidP="00E41BA7">
      <w:pPr>
        <w:spacing w:before="0"/>
        <w:rPr>
          <w:sz w:val="18"/>
          <w:szCs w:val="18"/>
        </w:rPr>
      </w:pPr>
      <w:r w:rsidRPr="00CB74A1">
        <w:rPr>
          <w:sz w:val="18"/>
          <w:szCs w:val="18"/>
        </w:rPr>
        <w:t xml:space="preserve">In der </w:t>
      </w:r>
      <w:r w:rsidRPr="00CB74A1">
        <w:rPr>
          <w:b/>
          <w:bCs/>
          <w:sz w:val="18"/>
          <w:szCs w:val="18"/>
        </w:rPr>
        <w:t>Region Nord-Ost</w:t>
      </w:r>
      <w:r w:rsidRPr="00CB74A1">
        <w:rPr>
          <w:sz w:val="18"/>
          <w:szCs w:val="18"/>
        </w:rPr>
        <w:t xml:space="preserve"> konnten die Niederlassungen Neubrandenburg, Lindow und Cottbus ihre Vorjahresleistung übertreffen. Die Niederlassung Berlin-Potsdam lag leicht unterhalb der Vorjahresleistung. In Summe konnte auf Regionsebene Nord-Ost die Leistung im Vergleich zum Vorjahr gesteigert werden, bei einem gleichbleibenden guten Ergebnisniveau.</w:t>
      </w:r>
    </w:p>
    <w:p w14:paraId="66E199F6" w14:textId="77777777" w:rsidR="00E41BA7" w:rsidRPr="00CB74A1" w:rsidRDefault="00E41BA7" w:rsidP="00E41BA7">
      <w:pPr>
        <w:spacing w:before="0"/>
        <w:rPr>
          <w:sz w:val="18"/>
          <w:szCs w:val="18"/>
        </w:rPr>
      </w:pPr>
    </w:p>
    <w:p w14:paraId="1051CB8C" w14:textId="77777777" w:rsidR="00CB74A1" w:rsidRPr="00CB74A1" w:rsidRDefault="00CB74A1" w:rsidP="00E41BA7">
      <w:pPr>
        <w:spacing w:before="0"/>
        <w:rPr>
          <w:sz w:val="18"/>
          <w:szCs w:val="18"/>
        </w:rPr>
      </w:pPr>
      <w:r w:rsidRPr="00CB74A1">
        <w:rPr>
          <w:sz w:val="18"/>
          <w:szCs w:val="18"/>
        </w:rPr>
        <w:t xml:space="preserve">Die Niederlassung Magdeburg der </w:t>
      </w:r>
      <w:r w:rsidRPr="00CB74A1">
        <w:rPr>
          <w:b/>
          <w:bCs/>
          <w:sz w:val="18"/>
          <w:szCs w:val="18"/>
        </w:rPr>
        <w:t>Region Nord</w:t>
      </w:r>
      <w:r w:rsidRPr="00CB74A1">
        <w:rPr>
          <w:sz w:val="18"/>
          <w:szCs w:val="18"/>
        </w:rPr>
        <w:t xml:space="preserve"> erzielte eine geringere Leistung, ob des geringeren Auftragsbestandes zu Jahresbeginn. Der Auftragseingang konnte aber im Vergleich zum Vorjahr gesteigert werden. Die Rendite lag auf Vorjahresniveau.</w:t>
      </w:r>
    </w:p>
    <w:p w14:paraId="2CFA74C1" w14:textId="28E2ACB9" w:rsidR="00CB74A1" w:rsidRDefault="00CB74A1" w:rsidP="00E41BA7">
      <w:pPr>
        <w:spacing w:before="0"/>
        <w:rPr>
          <w:sz w:val="18"/>
          <w:szCs w:val="18"/>
        </w:rPr>
      </w:pPr>
      <w:r w:rsidRPr="00CB74A1">
        <w:rPr>
          <w:sz w:val="18"/>
          <w:szCs w:val="18"/>
        </w:rPr>
        <w:lastRenderedPageBreak/>
        <w:t xml:space="preserve">In allen Niederlassungen der </w:t>
      </w:r>
      <w:r w:rsidRPr="00CB74A1">
        <w:rPr>
          <w:b/>
          <w:bCs/>
          <w:sz w:val="18"/>
          <w:szCs w:val="18"/>
        </w:rPr>
        <w:t>Region Mitte</w:t>
      </w:r>
      <w:r w:rsidRPr="00CB74A1">
        <w:rPr>
          <w:sz w:val="18"/>
          <w:szCs w:val="18"/>
        </w:rPr>
        <w:t>, konnte im laufenden Jahr eine Leistung realisiert werden, die das Vorjahresvolumen und auch die Erwartungshaltung zu Jahresbeginn deutlich überschritten haben. Das Ergebnisniveau wurde ebenfalls im Vergleich zum Vorjahr gesteigert.</w:t>
      </w:r>
    </w:p>
    <w:p w14:paraId="1B08ECCE" w14:textId="77777777" w:rsidR="00E41BA7" w:rsidRPr="00CB74A1" w:rsidRDefault="00E41BA7" w:rsidP="00E41BA7">
      <w:pPr>
        <w:spacing w:before="0"/>
        <w:rPr>
          <w:sz w:val="18"/>
          <w:szCs w:val="18"/>
        </w:rPr>
      </w:pPr>
    </w:p>
    <w:p w14:paraId="1F5DE11D" w14:textId="40716C22" w:rsidR="00CB74A1" w:rsidRPr="00566DD2" w:rsidRDefault="00CB74A1" w:rsidP="00E41BA7">
      <w:pPr>
        <w:spacing w:before="0"/>
        <w:rPr>
          <w:spacing w:val="-2"/>
          <w:sz w:val="18"/>
          <w:szCs w:val="18"/>
        </w:rPr>
      </w:pPr>
      <w:r w:rsidRPr="00566DD2">
        <w:rPr>
          <w:spacing w:val="-2"/>
          <w:sz w:val="18"/>
          <w:szCs w:val="18"/>
        </w:rPr>
        <w:t xml:space="preserve">Die Nachfrage nach mischgutintensiven Baumaßnahmen entwickelte sich im Jahresverlauf 2022 im Marktgebiet der EUROVIA Verkehrsbau GmbH unterschiedlich. Insbesondere nach Ausbruch des Ukraine-Krieges einhergehend mit signifikant gestiegenen Bitumenpreisen wurden </w:t>
      </w:r>
      <w:proofErr w:type="spellStart"/>
      <w:r w:rsidRPr="00566DD2">
        <w:rPr>
          <w:spacing w:val="-2"/>
          <w:sz w:val="18"/>
          <w:szCs w:val="18"/>
        </w:rPr>
        <w:t>asphaltlastige</w:t>
      </w:r>
      <w:proofErr w:type="spellEnd"/>
      <w:r w:rsidRPr="00566DD2">
        <w:rPr>
          <w:spacing w:val="-2"/>
          <w:sz w:val="18"/>
          <w:szCs w:val="18"/>
        </w:rPr>
        <w:t xml:space="preserve"> Projekte nur sehr vorsichtig angeboten. Insgesamt sind die Einbaumengen gegenüber dem Vorjahr leicht zurückgegangen.</w:t>
      </w:r>
    </w:p>
    <w:p w14:paraId="5A4E3143" w14:textId="77777777" w:rsidR="00E41BA7" w:rsidRPr="00CB74A1" w:rsidRDefault="00E41BA7" w:rsidP="00E41BA7">
      <w:pPr>
        <w:spacing w:before="0"/>
        <w:rPr>
          <w:sz w:val="18"/>
          <w:szCs w:val="18"/>
        </w:rPr>
      </w:pPr>
    </w:p>
    <w:p w14:paraId="6F91D692" w14:textId="04C4BA2D" w:rsidR="00CB74A1" w:rsidRDefault="00CB74A1" w:rsidP="00E41BA7">
      <w:pPr>
        <w:spacing w:before="0"/>
        <w:rPr>
          <w:sz w:val="18"/>
          <w:szCs w:val="18"/>
        </w:rPr>
      </w:pPr>
      <w:r w:rsidRPr="00CB74A1">
        <w:rPr>
          <w:sz w:val="18"/>
          <w:szCs w:val="18"/>
        </w:rPr>
        <w:t>Die Kennziffern aus dem Bereich Arbeitssicherheit haben sich gegenüber dem Vorjahr bei der Unfallhäufigkeit bei einem ähnlichen Schweregrad verschlechtert. Die Anzahl der meldepflichtigen Unfälle mit Arbeitsausfall hat sich bei der EUROVIA Verkehrsbau von 16 auf 15 verringert. Dennoch konnte keine der acht operativen Niederlassungen das Ziel „Null-meldepflichtige-Unfälle“ im Kalenderjahr 2022 erreichen.</w:t>
      </w:r>
    </w:p>
    <w:p w14:paraId="0A26F3DE" w14:textId="77777777" w:rsidR="00E41BA7" w:rsidRPr="00E41BA7" w:rsidRDefault="00E41BA7" w:rsidP="00E41BA7">
      <w:pPr>
        <w:spacing w:before="0"/>
        <w:rPr>
          <w:sz w:val="14"/>
          <w:szCs w:val="14"/>
        </w:rPr>
      </w:pPr>
    </w:p>
    <w:p w14:paraId="48E1925A" w14:textId="3F12C533" w:rsidR="00CB74A1" w:rsidRPr="00E41BA7" w:rsidRDefault="00CB74A1" w:rsidP="00E41BA7">
      <w:pPr>
        <w:spacing w:before="0"/>
        <w:rPr>
          <w:sz w:val="14"/>
          <w:szCs w:val="14"/>
        </w:rPr>
      </w:pPr>
      <w:bookmarkStart w:id="6" w:name="8"/>
      <w:r w:rsidRPr="00E41BA7">
        <w:rPr>
          <w:sz w:val="14"/>
          <w:szCs w:val="14"/>
          <w:vertAlign w:val="superscript"/>
        </w:rPr>
        <w:t>8</w:t>
      </w:r>
      <w:r w:rsidRPr="00E41BA7">
        <w:rPr>
          <w:sz w:val="14"/>
          <w:szCs w:val="14"/>
        </w:rPr>
        <w:t xml:space="preserve"> Die Kennzahlen Bauleistung sowie operatives Ergebnis orientieren sich nach der Bilanzierung auf Grundlage der International Financial Reporting Standards (IFRS) sowie des internen Berichtswesens. Unterschiede ergeben sich weitgehend aus der Erfassung von Bauaufträgen nach der Fortschrittsmethode sowie der anteiligen Leistung und dem anteiligen Ergebnis aus Arbeitsgemeinschaften.</w:t>
      </w:r>
      <w:r w:rsidRPr="00E41BA7">
        <w:rPr>
          <w:sz w:val="14"/>
          <w:szCs w:val="14"/>
        </w:rPr>
        <w:br/>
        <w:t>Die Kennzahl Unfallhäufigkeit beschreibt die Relation der Arbeitsunfälle zu den geleisteten Arbeitsstunden und bezieht sich auf die Gesellschaften der EUROVIA-Gruppe.</w:t>
      </w:r>
      <w:r w:rsidR="00E41BA7" w:rsidRPr="00E41BA7">
        <w:rPr>
          <w:sz w:val="14"/>
          <w:szCs w:val="14"/>
        </w:rPr>
        <w:tab/>
      </w:r>
      <w:r w:rsidRPr="00E41BA7">
        <w:rPr>
          <w:sz w:val="14"/>
          <w:szCs w:val="14"/>
        </w:rPr>
        <w:br/>
      </w:r>
      <w:bookmarkStart w:id="7" w:name="9"/>
      <w:bookmarkEnd w:id="6"/>
      <w:r w:rsidRPr="00E41BA7">
        <w:rPr>
          <w:sz w:val="14"/>
          <w:szCs w:val="14"/>
          <w:vertAlign w:val="superscript"/>
        </w:rPr>
        <w:t>9</w:t>
      </w:r>
      <w:r w:rsidRPr="00E41BA7">
        <w:rPr>
          <w:sz w:val="14"/>
          <w:szCs w:val="14"/>
        </w:rPr>
        <w:t xml:space="preserve"> Als Bauleistung wird die nach IFRS 15 ermittelte Leistung inklusive der anteiligen Leistung aus Arbeitsgemeinschaften der Gesellschaft ausgewiesen. Das interne Reporting und die Steuerung der Gesellschaft erfolgen auf der Grundlage der International Financial Reporting Standards (IFRS).</w:t>
      </w:r>
      <w:bookmarkEnd w:id="7"/>
    </w:p>
    <w:p w14:paraId="264E676E" w14:textId="0BD9D6D1" w:rsidR="00E41BA7" w:rsidRPr="00CB74A1" w:rsidRDefault="00E41BA7" w:rsidP="00E41BA7">
      <w:pPr>
        <w:tabs>
          <w:tab w:val="left" w:pos="1902"/>
        </w:tabs>
        <w:spacing w:before="0"/>
        <w:rPr>
          <w:sz w:val="18"/>
          <w:szCs w:val="18"/>
        </w:rPr>
      </w:pPr>
    </w:p>
    <w:p w14:paraId="272ACDE7" w14:textId="30C6F129" w:rsidR="002E4D4F" w:rsidRPr="00CD2E4B" w:rsidRDefault="002E4D4F" w:rsidP="00484323">
      <w:pPr>
        <w:spacing w:before="0"/>
        <w:contextualSpacing/>
        <w:mirrorIndents/>
        <w:jc w:val="center"/>
        <w:outlineLvl w:val="3"/>
        <w:rPr>
          <w:b/>
          <w:bCs/>
          <w:sz w:val="18"/>
          <w:szCs w:val="18"/>
        </w:rPr>
      </w:pPr>
      <w:r w:rsidRPr="00CD2E4B">
        <w:rPr>
          <w:b/>
          <w:bCs/>
          <w:sz w:val="18"/>
          <w:szCs w:val="18"/>
        </w:rPr>
        <w:t>III. Ertragslage</w:t>
      </w:r>
      <w:r w:rsidR="00566DD2">
        <w:rPr>
          <w:b/>
          <w:bCs/>
          <w:sz w:val="18"/>
          <w:szCs w:val="18"/>
        </w:rPr>
        <w:br/>
      </w:r>
    </w:p>
    <w:p w14:paraId="5231893A" w14:textId="5F2886C4" w:rsidR="002E4D4F" w:rsidRPr="00CD2E4B" w:rsidRDefault="002E4D4F" w:rsidP="00484323">
      <w:pPr>
        <w:spacing w:before="0"/>
        <w:contextualSpacing/>
        <w:mirrorIndents/>
        <w:jc w:val="center"/>
        <w:outlineLvl w:val="3"/>
        <w:rPr>
          <w:b/>
          <w:bCs/>
          <w:sz w:val="18"/>
          <w:szCs w:val="18"/>
          <w:u w:val="single"/>
          <w:vertAlign w:val="superscript"/>
        </w:rPr>
      </w:pPr>
      <w:r w:rsidRPr="00CD2E4B">
        <w:rPr>
          <w:b/>
          <w:bCs/>
          <w:sz w:val="18"/>
          <w:szCs w:val="18"/>
        </w:rPr>
        <w:t>Eckdaten der Gewinn- und Verlustrechnung</w:t>
      </w:r>
      <w:r w:rsidR="00566DD2">
        <w:rPr>
          <w:b/>
          <w:bCs/>
          <w:sz w:val="18"/>
          <w:szCs w:val="18"/>
        </w:rPr>
        <w:t xml:space="preserve"> </w:t>
      </w:r>
      <w:r w:rsidRPr="00CD2E4B">
        <w:rPr>
          <w:b/>
          <w:bCs/>
          <w:sz w:val="18"/>
          <w:szCs w:val="18"/>
        </w:rPr>
        <w:t>der EUROVIA Verkehrsbau GmbH</w:t>
      </w:r>
      <w:r w:rsidRPr="00CD2E4B">
        <w:rPr>
          <w:b/>
          <w:bCs/>
          <w:sz w:val="18"/>
          <w:szCs w:val="18"/>
          <w:u w:val="single"/>
          <w:vertAlign w:val="superscript"/>
        </w:rPr>
        <w:t>10</w:t>
      </w:r>
    </w:p>
    <w:p w14:paraId="4A978595" w14:textId="77777777" w:rsidR="00215211" w:rsidRPr="00CD2E4B" w:rsidRDefault="00215211" w:rsidP="00484323">
      <w:pPr>
        <w:spacing w:before="0"/>
        <w:contextualSpacing/>
        <w:mirrorIndents/>
        <w:jc w:val="center"/>
        <w:outlineLvl w:val="3"/>
        <w:rPr>
          <w:b/>
          <w:bCs/>
          <w:sz w:val="18"/>
          <w:szCs w:val="18"/>
        </w:rPr>
      </w:pPr>
    </w:p>
    <w:tbl>
      <w:tblPr>
        <w:tblW w:w="9102" w:type="dxa"/>
        <w:tblCellSpacing w:w="0" w:type="dxa"/>
        <w:tblCellMar>
          <w:top w:w="30" w:type="dxa"/>
          <w:left w:w="30" w:type="dxa"/>
          <w:bottom w:w="30" w:type="dxa"/>
          <w:right w:w="30" w:type="dxa"/>
        </w:tblCellMar>
        <w:tblLook w:val="04A0" w:firstRow="1" w:lastRow="0" w:firstColumn="1" w:lastColumn="0" w:noHBand="0" w:noVBand="1"/>
      </w:tblPr>
      <w:tblGrid>
        <w:gridCol w:w="4708"/>
        <w:gridCol w:w="1559"/>
        <w:gridCol w:w="1418"/>
        <w:gridCol w:w="1417"/>
      </w:tblGrid>
      <w:tr w:rsidR="002E4D4F" w:rsidRPr="00CD2E4B" w14:paraId="421CD204" w14:textId="77777777" w:rsidTr="004D3D4E">
        <w:trPr>
          <w:tblHeader/>
          <w:tblCellSpacing w:w="0" w:type="dxa"/>
        </w:trPr>
        <w:tc>
          <w:tcPr>
            <w:tcW w:w="4708" w:type="dxa"/>
            <w:shd w:val="clear" w:color="auto" w:fill="CDCDCE"/>
            <w:vAlign w:val="bottom"/>
            <w:hideMark/>
          </w:tcPr>
          <w:p w14:paraId="516A6304" w14:textId="77777777" w:rsidR="002E4D4F" w:rsidRPr="00CD2E4B" w:rsidRDefault="002E4D4F" w:rsidP="00484323">
            <w:pPr>
              <w:spacing w:before="0"/>
              <w:contextualSpacing/>
              <w:mirrorIndents/>
              <w:rPr>
                <w:sz w:val="18"/>
                <w:szCs w:val="18"/>
              </w:rPr>
            </w:pPr>
          </w:p>
        </w:tc>
        <w:tc>
          <w:tcPr>
            <w:tcW w:w="1559" w:type="dxa"/>
            <w:shd w:val="clear" w:color="auto" w:fill="CDCDCE"/>
            <w:vAlign w:val="bottom"/>
            <w:hideMark/>
          </w:tcPr>
          <w:p w14:paraId="79656E56" w14:textId="77777777" w:rsidR="002E4D4F" w:rsidRPr="00CD2E4B" w:rsidRDefault="002E4D4F" w:rsidP="00E82B21">
            <w:pPr>
              <w:spacing w:before="0"/>
              <w:contextualSpacing/>
              <w:mirrorIndents/>
              <w:jc w:val="right"/>
              <w:rPr>
                <w:sz w:val="18"/>
                <w:szCs w:val="18"/>
              </w:rPr>
            </w:pPr>
            <w:r w:rsidRPr="00CD2E4B">
              <w:rPr>
                <w:sz w:val="18"/>
                <w:szCs w:val="18"/>
              </w:rPr>
              <w:t>IST 2022</w:t>
            </w:r>
            <w:r w:rsidRPr="00CD2E4B">
              <w:rPr>
                <w:sz w:val="18"/>
                <w:szCs w:val="18"/>
              </w:rPr>
              <w:br/>
              <w:t>Mio. EUR</w:t>
            </w:r>
          </w:p>
        </w:tc>
        <w:tc>
          <w:tcPr>
            <w:tcW w:w="1418" w:type="dxa"/>
            <w:shd w:val="clear" w:color="auto" w:fill="CDCDCE"/>
            <w:vAlign w:val="bottom"/>
            <w:hideMark/>
          </w:tcPr>
          <w:p w14:paraId="4346C9EF" w14:textId="77777777" w:rsidR="002E4D4F" w:rsidRPr="00CD2E4B" w:rsidRDefault="002E4D4F" w:rsidP="00E82B21">
            <w:pPr>
              <w:spacing w:before="0"/>
              <w:contextualSpacing/>
              <w:mirrorIndents/>
              <w:jc w:val="right"/>
              <w:rPr>
                <w:sz w:val="18"/>
                <w:szCs w:val="18"/>
              </w:rPr>
            </w:pPr>
            <w:r w:rsidRPr="00CD2E4B">
              <w:rPr>
                <w:sz w:val="18"/>
                <w:szCs w:val="18"/>
              </w:rPr>
              <w:t>IST 2021</w:t>
            </w:r>
            <w:r w:rsidRPr="00CD2E4B">
              <w:rPr>
                <w:sz w:val="18"/>
                <w:szCs w:val="18"/>
              </w:rPr>
              <w:br/>
              <w:t>Mio. EUR</w:t>
            </w:r>
          </w:p>
        </w:tc>
        <w:tc>
          <w:tcPr>
            <w:tcW w:w="1417" w:type="dxa"/>
            <w:shd w:val="clear" w:color="auto" w:fill="CDCDCE"/>
            <w:vAlign w:val="bottom"/>
            <w:hideMark/>
          </w:tcPr>
          <w:p w14:paraId="0DBDB6DC" w14:textId="77777777" w:rsidR="002E4D4F" w:rsidRPr="00CD2E4B" w:rsidRDefault="002E4D4F" w:rsidP="00E82B21">
            <w:pPr>
              <w:spacing w:before="0"/>
              <w:contextualSpacing/>
              <w:mirrorIndents/>
              <w:jc w:val="right"/>
              <w:rPr>
                <w:sz w:val="18"/>
                <w:szCs w:val="18"/>
              </w:rPr>
            </w:pPr>
            <w:r w:rsidRPr="00CD2E4B">
              <w:rPr>
                <w:sz w:val="18"/>
                <w:szCs w:val="18"/>
              </w:rPr>
              <w:t>Veränderung</w:t>
            </w:r>
            <w:r w:rsidRPr="00CD2E4B">
              <w:rPr>
                <w:sz w:val="18"/>
                <w:szCs w:val="18"/>
              </w:rPr>
              <w:br/>
              <w:t>%</w:t>
            </w:r>
          </w:p>
        </w:tc>
      </w:tr>
      <w:tr w:rsidR="002E4D4F" w:rsidRPr="00CD2E4B" w14:paraId="052D5EAE" w14:textId="77777777" w:rsidTr="004D3D4E">
        <w:trPr>
          <w:tblCellSpacing w:w="0" w:type="dxa"/>
        </w:trPr>
        <w:tc>
          <w:tcPr>
            <w:tcW w:w="4708" w:type="dxa"/>
            <w:vAlign w:val="center"/>
            <w:hideMark/>
          </w:tcPr>
          <w:p w14:paraId="66B1B0DA" w14:textId="77777777" w:rsidR="002E4D4F" w:rsidRPr="00CD2E4B" w:rsidRDefault="002E4D4F" w:rsidP="00484323">
            <w:pPr>
              <w:spacing w:before="0"/>
              <w:contextualSpacing/>
              <w:mirrorIndents/>
              <w:rPr>
                <w:sz w:val="18"/>
                <w:szCs w:val="18"/>
              </w:rPr>
            </w:pPr>
            <w:r w:rsidRPr="00CD2E4B">
              <w:rPr>
                <w:sz w:val="18"/>
                <w:szCs w:val="18"/>
              </w:rPr>
              <w:t>Handelsrechtliche Gesamtleistung</w:t>
            </w:r>
          </w:p>
        </w:tc>
        <w:tc>
          <w:tcPr>
            <w:tcW w:w="1559" w:type="dxa"/>
            <w:vAlign w:val="center"/>
            <w:hideMark/>
          </w:tcPr>
          <w:p w14:paraId="49DA8D63" w14:textId="77777777" w:rsidR="002E4D4F" w:rsidRPr="00CD2E4B" w:rsidRDefault="002E4D4F" w:rsidP="00E82B21">
            <w:pPr>
              <w:spacing w:before="0"/>
              <w:contextualSpacing/>
              <w:mirrorIndents/>
              <w:jc w:val="right"/>
              <w:rPr>
                <w:sz w:val="18"/>
                <w:szCs w:val="18"/>
              </w:rPr>
            </w:pPr>
            <w:r w:rsidRPr="00CD2E4B">
              <w:rPr>
                <w:sz w:val="18"/>
                <w:szCs w:val="18"/>
              </w:rPr>
              <w:t>286,5</w:t>
            </w:r>
          </w:p>
        </w:tc>
        <w:tc>
          <w:tcPr>
            <w:tcW w:w="1418" w:type="dxa"/>
            <w:vAlign w:val="center"/>
            <w:hideMark/>
          </w:tcPr>
          <w:p w14:paraId="606EE1E9" w14:textId="77777777" w:rsidR="002E4D4F" w:rsidRPr="00CD2E4B" w:rsidRDefault="002E4D4F" w:rsidP="00E82B21">
            <w:pPr>
              <w:spacing w:before="0"/>
              <w:contextualSpacing/>
              <w:mirrorIndents/>
              <w:jc w:val="right"/>
              <w:rPr>
                <w:sz w:val="18"/>
                <w:szCs w:val="18"/>
              </w:rPr>
            </w:pPr>
            <w:r w:rsidRPr="00CD2E4B">
              <w:rPr>
                <w:sz w:val="18"/>
                <w:szCs w:val="18"/>
              </w:rPr>
              <w:t>277,4</w:t>
            </w:r>
          </w:p>
        </w:tc>
        <w:tc>
          <w:tcPr>
            <w:tcW w:w="1417" w:type="dxa"/>
            <w:vAlign w:val="center"/>
            <w:hideMark/>
          </w:tcPr>
          <w:p w14:paraId="18DD8469" w14:textId="77777777" w:rsidR="002E4D4F" w:rsidRPr="00CD2E4B" w:rsidRDefault="002E4D4F" w:rsidP="00E82B21">
            <w:pPr>
              <w:spacing w:before="0"/>
              <w:contextualSpacing/>
              <w:mirrorIndents/>
              <w:jc w:val="right"/>
              <w:rPr>
                <w:sz w:val="18"/>
                <w:szCs w:val="18"/>
              </w:rPr>
            </w:pPr>
            <w:r w:rsidRPr="00CD2E4B">
              <w:rPr>
                <w:sz w:val="18"/>
                <w:szCs w:val="18"/>
              </w:rPr>
              <w:t>3,3</w:t>
            </w:r>
          </w:p>
        </w:tc>
      </w:tr>
      <w:tr w:rsidR="002E4D4F" w:rsidRPr="00CD2E4B" w14:paraId="683EB360" w14:textId="77777777" w:rsidTr="004D3D4E">
        <w:trPr>
          <w:tblCellSpacing w:w="0" w:type="dxa"/>
        </w:trPr>
        <w:tc>
          <w:tcPr>
            <w:tcW w:w="4708" w:type="dxa"/>
            <w:shd w:val="clear" w:color="auto" w:fill="F0F0F0"/>
            <w:vAlign w:val="center"/>
            <w:hideMark/>
          </w:tcPr>
          <w:p w14:paraId="3895E4F8" w14:textId="77777777" w:rsidR="002E4D4F" w:rsidRPr="00CD2E4B" w:rsidRDefault="002E4D4F" w:rsidP="00484323">
            <w:pPr>
              <w:spacing w:before="0"/>
              <w:contextualSpacing/>
              <w:mirrorIndents/>
              <w:rPr>
                <w:sz w:val="18"/>
                <w:szCs w:val="18"/>
              </w:rPr>
            </w:pPr>
            <w:r w:rsidRPr="00CD2E4B">
              <w:rPr>
                <w:sz w:val="18"/>
                <w:szCs w:val="18"/>
              </w:rPr>
              <w:t>Materialaufwand</w:t>
            </w:r>
          </w:p>
        </w:tc>
        <w:tc>
          <w:tcPr>
            <w:tcW w:w="1559" w:type="dxa"/>
            <w:shd w:val="clear" w:color="auto" w:fill="F0F0F0"/>
            <w:vAlign w:val="center"/>
            <w:hideMark/>
          </w:tcPr>
          <w:p w14:paraId="697DDAED" w14:textId="77777777" w:rsidR="002E4D4F" w:rsidRPr="00CD2E4B" w:rsidRDefault="002E4D4F" w:rsidP="00E82B21">
            <w:pPr>
              <w:spacing w:before="0"/>
              <w:contextualSpacing/>
              <w:mirrorIndents/>
              <w:jc w:val="right"/>
              <w:rPr>
                <w:sz w:val="18"/>
                <w:szCs w:val="18"/>
              </w:rPr>
            </w:pPr>
            <w:r w:rsidRPr="00CD2E4B">
              <w:rPr>
                <w:sz w:val="18"/>
                <w:szCs w:val="18"/>
              </w:rPr>
              <w:t>-156,3</w:t>
            </w:r>
          </w:p>
        </w:tc>
        <w:tc>
          <w:tcPr>
            <w:tcW w:w="1418" w:type="dxa"/>
            <w:shd w:val="clear" w:color="auto" w:fill="F0F0F0"/>
            <w:vAlign w:val="center"/>
            <w:hideMark/>
          </w:tcPr>
          <w:p w14:paraId="1C44B853" w14:textId="77777777" w:rsidR="002E4D4F" w:rsidRPr="00CD2E4B" w:rsidRDefault="002E4D4F" w:rsidP="00E82B21">
            <w:pPr>
              <w:spacing w:before="0"/>
              <w:contextualSpacing/>
              <w:mirrorIndents/>
              <w:jc w:val="right"/>
              <w:rPr>
                <w:sz w:val="18"/>
                <w:szCs w:val="18"/>
              </w:rPr>
            </w:pPr>
            <w:r w:rsidRPr="00CD2E4B">
              <w:rPr>
                <w:sz w:val="18"/>
                <w:szCs w:val="18"/>
              </w:rPr>
              <w:t>-155,8</w:t>
            </w:r>
          </w:p>
        </w:tc>
        <w:tc>
          <w:tcPr>
            <w:tcW w:w="1417" w:type="dxa"/>
            <w:shd w:val="clear" w:color="auto" w:fill="F0F0F0"/>
            <w:vAlign w:val="center"/>
            <w:hideMark/>
          </w:tcPr>
          <w:p w14:paraId="13601628" w14:textId="77777777" w:rsidR="002E4D4F" w:rsidRPr="00CD2E4B" w:rsidRDefault="002E4D4F" w:rsidP="00E82B21">
            <w:pPr>
              <w:spacing w:before="0"/>
              <w:contextualSpacing/>
              <w:mirrorIndents/>
              <w:jc w:val="right"/>
              <w:rPr>
                <w:sz w:val="18"/>
                <w:szCs w:val="18"/>
              </w:rPr>
            </w:pPr>
            <w:r w:rsidRPr="00CD2E4B">
              <w:rPr>
                <w:sz w:val="18"/>
                <w:szCs w:val="18"/>
              </w:rPr>
              <w:t>0,3</w:t>
            </w:r>
          </w:p>
        </w:tc>
      </w:tr>
      <w:tr w:rsidR="002E4D4F" w:rsidRPr="00CD2E4B" w14:paraId="45FC21A5" w14:textId="77777777" w:rsidTr="004D3D4E">
        <w:trPr>
          <w:tblCellSpacing w:w="0" w:type="dxa"/>
        </w:trPr>
        <w:tc>
          <w:tcPr>
            <w:tcW w:w="4708" w:type="dxa"/>
            <w:vAlign w:val="center"/>
            <w:hideMark/>
          </w:tcPr>
          <w:p w14:paraId="48746894" w14:textId="77777777" w:rsidR="002E4D4F" w:rsidRPr="00CD2E4B" w:rsidRDefault="002E4D4F" w:rsidP="00484323">
            <w:pPr>
              <w:spacing w:before="0"/>
              <w:contextualSpacing/>
              <w:mirrorIndents/>
              <w:rPr>
                <w:sz w:val="18"/>
                <w:szCs w:val="18"/>
              </w:rPr>
            </w:pPr>
            <w:r w:rsidRPr="00CD2E4B">
              <w:rPr>
                <w:sz w:val="18"/>
                <w:szCs w:val="18"/>
              </w:rPr>
              <w:t>Personalaufwand</w:t>
            </w:r>
          </w:p>
        </w:tc>
        <w:tc>
          <w:tcPr>
            <w:tcW w:w="1559" w:type="dxa"/>
            <w:vAlign w:val="center"/>
            <w:hideMark/>
          </w:tcPr>
          <w:p w14:paraId="34DCD586" w14:textId="77777777" w:rsidR="002E4D4F" w:rsidRPr="00CD2E4B" w:rsidRDefault="002E4D4F" w:rsidP="00E82B21">
            <w:pPr>
              <w:spacing w:before="0"/>
              <w:contextualSpacing/>
              <w:mirrorIndents/>
              <w:jc w:val="right"/>
              <w:rPr>
                <w:sz w:val="18"/>
                <w:szCs w:val="18"/>
              </w:rPr>
            </w:pPr>
            <w:r w:rsidRPr="00CD2E4B">
              <w:rPr>
                <w:sz w:val="18"/>
                <w:szCs w:val="18"/>
              </w:rPr>
              <w:t>-80,9</w:t>
            </w:r>
          </w:p>
        </w:tc>
        <w:tc>
          <w:tcPr>
            <w:tcW w:w="1418" w:type="dxa"/>
            <w:vAlign w:val="center"/>
            <w:hideMark/>
          </w:tcPr>
          <w:p w14:paraId="16F854C4" w14:textId="77777777" w:rsidR="002E4D4F" w:rsidRPr="00CD2E4B" w:rsidRDefault="002E4D4F" w:rsidP="00E82B21">
            <w:pPr>
              <w:spacing w:before="0"/>
              <w:contextualSpacing/>
              <w:mirrorIndents/>
              <w:jc w:val="right"/>
              <w:rPr>
                <w:sz w:val="18"/>
                <w:szCs w:val="18"/>
              </w:rPr>
            </w:pPr>
            <w:r w:rsidRPr="00CD2E4B">
              <w:rPr>
                <w:sz w:val="18"/>
                <w:szCs w:val="18"/>
              </w:rPr>
              <w:t>-74,3</w:t>
            </w:r>
          </w:p>
        </w:tc>
        <w:tc>
          <w:tcPr>
            <w:tcW w:w="1417" w:type="dxa"/>
            <w:vAlign w:val="center"/>
            <w:hideMark/>
          </w:tcPr>
          <w:p w14:paraId="4FD8A9EF" w14:textId="77777777" w:rsidR="002E4D4F" w:rsidRPr="00CD2E4B" w:rsidRDefault="002E4D4F" w:rsidP="00E82B21">
            <w:pPr>
              <w:spacing w:before="0"/>
              <w:contextualSpacing/>
              <w:mirrorIndents/>
              <w:jc w:val="right"/>
              <w:rPr>
                <w:sz w:val="18"/>
                <w:szCs w:val="18"/>
              </w:rPr>
            </w:pPr>
            <w:r w:rsidRPr="00CD2E4B">
              <w:rPr>
                <w:sz w:val="18"/>
                <w:szCs w:val="18"/>
              </w:rPr>
              <w:t>8,9</w:t>
            </w:r>
          </w:p>
        </w:tc>
      </w:tr>
      <w:tr w:rsidR="002E4D4F" w:rsidRPr="00CD2E4B" w14:paraId="60E870D2" w14:textId="77777777" w:rsidTr="004D3D4E">
        <w:trPr>
          <w:tblCellSpacing w:w="0" w:type="dxa"/>
        </w:trPr>
        <w:tc>
          <w:tcPr>
            <w:tcW w:w="4708" w:type="dxa"/>
            <w:shd w:val="clear" w:color="auto" w:fill="F0F0F0"/>
            <w:vAlign w:val="center"/>
            <w:hideMark/>
          </w:tcPr>
          <w:p w14:paraId="74A39F63" w14:textId="77777777" w:rsidR="002E4D4F" w:rsidRPr="00CD2E4B" w:rsidRDefault="002E4D4F" w:rsidP="00484323">
            <w:pPr>
              <w:spacing w:before="0"/>
              <w:contextualSpacing/>
              <w:mirrorIndents/>
              <w:rPr>
                <w:sz w:val="18"/>
                <w:szCs w:val="18"/>
              </w:rPr>
            </w:pPr>
            <w:r w:rsidRPr="00CD2E4B">
              <w:rPr>
                <w:sz w:val="18"/>
                <w:szCs w:val="18"/>
              </w:rPr>
              <w:t>Sonstige betriebliche Aufwendungen</w:t>
            </w:r>
          </w:p>
        </w:tc>
        <w:tc>
          <w:tcPr>
            <w:tcW w:w="1559" w:type="dxa"/>
            <w:shd w:val="clear" w:color="auto" w:fill="F0F0F0"/>
            <w:vAlign w:val="center"/>
            <w:hideMark/>
          </w:tcPr>
          <w:p w14:paraId="4426A11C" w14:textId="77777777" w:rsidR="002E4D4F" w:rsidRPr="00CD2E4B" w:rsidRDefault="002E4D4F" w:rsidP="00E82B21">
            <w:pPr>
              <w:spacing w:before="0"/>
              <w:contextualSpacing/>
              <w:mirrorIndents/>
              <w:jc w:val="right"/>
              <w:rPr>
                <w:sz w:val="18"/>
                <w:szCs w:val="18"/>
              </w:rPr>
            </w:pPr>
            <w:r w:rsidRPr="00CD2E4B">
              <w:rPr>
                <w:sz w:val="18"/>
                <w:szCs w:val="18"/>
              </w:rPr>
              <w:t>-25,4</w:t>
            </w:r>
          </w:p>
        </w:tc>
        <w:tc>
          <w:tcPr>
            <w:tcW w:w="1418" w:type="dxa"/>
            <w:shd w:val="clear" w:color="auto" w:fill="F0F0F0"/>
            <w:vAlign w:val="center"/>
            <w:hideMark/>
          </w:tcPr>
          <w:p w14:paraId="18FF8AA9" w14:textId="77777777" w:rsidR="002E4D4F" w:rsidRPr="00CD2E4B" w:rsidRDefault="002E4D4F" w:rsidP="00E82B21">
            <w:pPr>
              <w:spacing w:before="0"/>
              <w:contextualSpacing/>
              <w:mirrorIndents/>
              <w:jc w:val="right"/>
              <w:rPr>
                <w:sz w:val="18"/>
                <w:szCs w:val="18"/>
              </w:rPr>
            </w:pPr>
            <w:r w:rsidRPr="00CD2E4B">
              <w:rPr>
                <w:sz w:val="18"/>
                <w:szCs w:val="18"/>
              </w:rPr>
              <w:t>-23,5</w:t>
            </w:r>
          </w:p>
        </w:tc>
        <w:tc>
          <w:tcPr>
            <w:tcW w:w="1417" w:type="dxa"/>
            <w:shd w:val="clear" w:color="auto" w:fill="F0F0F0"/>
            <w:vAlign w:val="center"/>
            <w:hideMark/>
          </w:tcPr>
          <w:p w14:paraId="1E7746EB" w14:textId="77777777" w:rsidR="002E4D4F" w:rsidRPr="00CD2E4B" w:rsidRDefault="002E4D4F" w:rsidP="00E82B21">
            <w:pPr>
              <w:spacing w:before="0"/>
              <w:contextualSpacing/>
              <w:mirrorIndents/>
              <w:jc w:val="right"/>
              <w:rPr>
                <w:sz w:val="18"/>
                <w:szCs w:val="18"/>
              </w:rPr>
            </w:pPr>
            <w:r w:rsidRPr="00CD2E4B">
              <w:rPr>
                <w:sz w:val="18"/>
                <w:szCs w:val="18"/>
              </w:rPr>
              <w:t>8,1</w:t>
            </w:r>
          </w:p>
        </w:tc>
      </w:tr>
      <w:tr w:rsidR="002E4D4F" w:rsidRPr="00CD2E4B" w14:paraId="320733F6" w14:textId="77777777" w:rsidTr="004D3D4E">
        <w:trPr>
          <w:tblCellSpacing w:w="0" w:type="dxa"/>
        </w:trPr>
        <w:tc>
          <w:tcPr>
            <w:tcW w:w="4708" w:type="dxa"/>
            <w:vAlign w:val="center"/>
            <w:hideMark/>
          </w:tcPr>
          <w:p w14:paraId="503D251E" w14:textId="77777777" w:rsidR="002E4D4F" w:rsidRPr="00CD2E4B" w:rsidRDefault="002E4D4F" w:rsidP="00484323">
            <w:pPr>
              <w:spacing w:before="0"/>
              <w:contextualSpacing/>
              <w:mirrorIndents/>
              <w:rPr>
                <w:sz w:val="18"/>
                <w:szCs w:val="18"/>
              </w:rPr>
            </w:pPr>
            <w:r w:rsidRPr="00CD2E4B">
              <w:rPr>
                <w:sz w:val="18"/>
                <w:szCs w:val="18"/>
              </w:rPr>
              <w:t>Sonstige Steuern</w:t>
            </w:r>
          </w:p>
        </w:tc>
        <w:tc>
          <w:tcPr>
            <w:tcW w:w="1559" w:type="dxa"/>
            <w:vAlign w:val="center"/>
            <w:hideMark/>
          </w:tcPr>
          <w:p w14:paraId="54C5E144" w14:textId="77777777" w:rsidR="002E4D4F" w:rsidRPr="00CD2E4B" w:rsidRDefault="002E4D4F" w:rsidP="00E82B21">
            <w:pPr>
              <w:spacing w:before="0"/>
              <w:contextualSpacing/>
              <w:mirrorIndents/>
              <w:jc w:val="right"/>
              <w:rPr>
                <w:sz w:val="18"/>
                <w:szCs w:val="18"/>
              </w:rPr>
            </w:pPr>
            <w:r w:rsidRPr="00CD2E4B">
              <w:rPr>
                <w:sz w:val="18"/>
                <w:szCs w:val="18"/>
              </w:rPr>
              <w:t>-0,2</w:t>
            </w:r>
          </w:p>
        </w:tc>
        <w:tc>
          <w:tcPr>
            <w:tcW w:w="1418" w:type="dxa"/>
            <w:vAlign w:val="center"/>
            <w:hideMark/>
          </w:tcPr>
          <w:p w14:paraId="465FC0B9" w14:textId="77777777" w:rsidR="002E4D4F" w:rsidRPr="00CD2E4B" w:rsidRDefault="002E4D4F" w:rsidP="00E82B21">
            <w:pPr>
              <w:spacing w:before="0"/>
              <w:contextualSpacing/>
              <w:mirrorIndents/>
              <w:jc w:val="right"/>
              <w:rPr>
                <w:sz w:val="18"/>
                <w:szCs w:val="18"/>
              </w:rPr>
            </w:pPr>
            <w:r w:rsidRPr="00CD2E4B">
              <w:rPr>
                <w:sz w:val="18"/>
                <w:szCs w:val="18"/>
              </w:rPr>
              <w:t>-0,2</w:t>
            </w:r>
          </w:p>
        </w:tc>
        <w:tc>
          <w:tcPr>
            <w:tcW w:w="1417" w:type="dxa"/>
            <w:vAlign w:val="center"/>
            <w:hideMark/>
          </w:tcPr>
          <w:p w14:paraId="62715CEF" w14:textId="77777777" w:rsidR="002E4D4F" w:rsidRPr="00CD2E4B" w:rsidRDefault="002E4D4F" w:rsidP="00E82B21">
            <w:pPr>
              <w:spacing w:before="0"/>
              <w:contextualSpacing/>
              <w:mirrorIndents/>
              <w:jc w:val="right"/>
              <w:rPr>
                <w:sz w:val="18"/>
                <w:szCs w:val="18"/>
              </w:rPr>
            </w:pPr>
            <w:r w:rsidRPr="00CD2E4B">
              <w:rPr>
                <w:sz w:val="18"/>
                <w:szCs w:val="18"/>
              </w:rPr>
              <w:t>0,0</w:t>
            </w:r>
          </w:p>
        </w:tc>
      </w:tr>
      <w:tr w:rsidR="002E4D4F" w:rsidRPr="00CD2E4B" w14:paraId="084D0450" w14:textId="77777777" w:rsidTr="004D3D4E">
        <w:trPr>
          <w:tblCellSpacing w:w="0" w:type="dxa"/>
        </w:trPr>
        <w:tc>
          <w:tcPr>
            <w:tcW w:w="4708" w:type="dxa"/>
            <w:shd w:val="clear" w:color="auto" w:fill="F0F0F0"/>
            <w:vAlign w:val="center"/>
            <w:hideMark/>
          </w:tcPr>
          <w:p w14:paraId="596136DD" w14:textId="77777777" w:rsidR="002E4D4F" w:rsidRPr="00CD2E4B" w:rsidRDefault="002E4D4F" w:rsidP="00484323">
            <w:pPr>
              <w:spacing w:before="0"/>
              <w:contextualSpacing/>
              <w:mirrorIndents/>
              <w:rPr>
                <w:sz w:val="18"/>
                <w:szCs w:val="18"/>
              </w:rPr>
            </w:pPr>
            <w:r w:rsidRPr="00CD2E4B">
              <w:rPr>
                <w:sz w:val="18"/>
                <w:szCs w:val="18"/>
              </w:rPr>
              <w:t>EBITDA</w:t>
            </w:r>
          </w:p>
        </w:tc>
        <w:tc>
          <w:tcPr>
            <w:tcW w:w="1559" w:type="dxa"/>
            <w:shd w:val="clear" w:color="auto" w:fill="F0F0F0"/>
            <w:vAlign w:val="center"/>
            <w:hideMark/>
          </w:tcPr>
          <w:p w14:paraId="0182959B" w14:textId="77777777" w:rsidR="002E4D4F" w:rsidRPr="00CD2E4B" w:rsidRDefault="002E4D4F" w:rsidP="00E82B21">
            <w:pPr>
              <w:spacing w:before="0"/>
              <w:contextualSpacing/>
              <w:mirrorIndents/>
              <w:jc w:val="right"/>
              <w:rPr>
                <w:sz w:val="18"/>
                <w:szCs w:val="18"/>
              </w:rPr>
            </w:pPr>
            <w:r w:rsidRPr="00CD2E4B">
              <w:rPr>
                <w:sz w:val="18"/>
                <w:szCs w:val="18"/>
              </w:rPr>
              <w:t>23,7</w:t>
            </w:r>
          </w:p>
        </w:tc>
        <w:tc>
          <w:tcPr>
            <w:tcW w:w="1418" w:type="dxa"/>
            <w:shd w:val="clear" w:color="auto" w:fill="F0F0F0"/>
            <w:vAlign w:val="center"/>
            <w:hideMark/>
          </w:tcPr>
          <w:p w14:paraId="09B1FC35" w14:textId="77777777" w:rsidR="002E4D4F" w:rsidRPr="00CD2E4B" w:rsidRDefault="002E4D4F" w:rsidP="00E82B21">
            <w:pPr>
              <w:spacing w:before="0"/>
              <w:contextualSpacing/>
              <w:mirrorIndents/>
              <w:jc w:val="right"/>
              <w:rPr>
                <w:sz w:val="18"/>
                <w:szCs w:val="18"/>
              </w:rPr>
            </w:pPr>
            <w:r w:rsidRPr="00CD2E4B">
              <w:rPr>
                <w:sz w:val="18"/>
                <w:szCs w:val="18"/>
              </w:rPr>
              <w:t>23,6</w:t>
            </w:r>
          </w:p>
        </w:tc>
        <w:tc>
          <w:tcPr>
            <w:tcW w:w="1417" w:type="dxa"/>
            <w:shd w:val="clear" w:color="auto" w:fill="F0F0F0"/>
            <w:vAlign w:val="center"/>
            <w:hideMark/>
          </w:tcPr>
          <w:p w14:paraId="0C2526C5" w14:textId="77777777" w:rsidR="002E4D4F" w:rsidRPr="00CD2E4B" w:rsidRDefault="002E4D4F" w:rsidP="00E82B21">
            <w:pPr>
              <w:spacing w:before="0"/>
              <w:contextualSpacing/>
              <w:mirrorIndents/>
              <w:jc w:val="right"/>
              <w:rPr>
                <w:sz w:val="18"/>
                <w:szCs w:val="18"/>
              </w:rPr>
            </w:pPr>
            <w:r w:rsidRPr="00CD2E4B">
              <w:rPr>
                <w:sz w:val="18"/>
                <w:szCs w:val="18"/>
              </w:rPr>
              <w:t>0,4</w:t>
            </w:r>
          </w:p>
        </w:tc>
      </w:tr>
      <w:tr w:rsidR="002E4D4F" w:rsidRPr="00CD2E4B" w14:paraId="5FBE7409" w14:textId="77777777" w:rsidTr="004D3D4E">
        <w:trPr>
          <w:tblCellSpacing w:w="0" w:type="dxa"/>
        </w:trPr>
        <w:tc>
          <w:tcPr>
            <w:tcW w:w="4708" w:type="dxa"/>
            <w:vAlign w:val="center"/>
            <w:hideMark/>
          </w:tcPr>
          <w:p w14:paraId="0DAB1764" w14:textId="77777777" w:rsidR="002E4D4F" w:rsidRPr="00CD2E4B" w:rsidRDefault="002E4D4F" w:rsidP="00484323">
            <w:pPr>
              <w:spacing w:before="0"/>
              <w:contextualSpacing/>
              <w:mirrorIndents/>
              <w:rPr>
                <w:sz w:val="18"/>
                <w:szCs w:val="18"/>
              </w:rPr>
            </w:pPr>
            <w:r w:rsidRPr="00CD2E4B">
              <w:rPr>
                <w:sz w:val="18"/>
                <w:szCs w:val="18"/>
              </w:rPr>
              <w:t>Abschreibungen</w:t>
            </w:r>
          </w:p>
        </w:tc>
        <w:tc>
          <w:tcPr>
            <w:tcW w:w="1559" w:type="dxa"/>
            <w:vAlign w:val="center"/>
            <w:hideMark/>
          </w:tcPr>
          <w:p w14:paraId="77AD1A80" w14:textId="77777777" w:rsidR="002E4D4F" w:rsidRPr="00CD2E4B" w:rsidRDefault="002E4D4F" w:rsidP="00E82B21">
            <w:pPr>
              <w:spacing w:before="0"/>
              <w:contextualSpacing/>
              <w:mirrorIndents/>
              <w:jc w:val="right"/>
              <w:rPr>
                <w:sz w:val="18"/>
                <w:szCs w:val="18"/>
              </w:rPr>
            </w:pPr>
            <w:r w:rsidRPr="00CD2E4B">
              <w:rPr>
                <w:sz w:val="18"/>
                <w:szCs w:val="18"/>
              </w:rPr>
              <w:t>-4,0</w:t>
            </w:r>
          </w:p>
        </w:tc>
        <w:tc>
          <w:tcPr>
            <w:tcW w:w="1418" w:type="dxa"/>
            <w:vAlign w:val="center"/>
            <w:hideMark/>
          </w:tcPr>
          <w:p w14:paraId="46DE876A" w14:textId="77777777" w:rsidR="002E4D4F" w:rsidRPr="00CD2E4B" w:rsidRDefault="002E4D4F" w:rsidP="00E82B21">
            <w:pPr>
              <w:spacing w:before="0"/>
              <w:contextualSpacing/>
              <w:mirrorIndents/>
              <w:jc w:val="right"/>
              <w:rPr>
                <w:sz w:val="18"/>
                <w:szCs w:val="18"/>
              </w:rPr>
            </w:pPr>
            <w:r w:rsidRPr="00CD2E4B">
              <w:rPr>
                <w:sz w:val="18"/>
                <w:szCs w:val="18"/>
              </w:rPr>
              <w:t>-3,6</w:t>
            </w:r>
          </w:p>
        </w:tc>
        <w:tc>
          <w:tcPr>
            <w:tcW w:w="1417" w:type="dxa"/>
            <w:vAlign w:val="center"/>
            <w:hideMark/>
          </w:tcPr>
          <w:p w14:paraId="61FDC6BF" w14:textId="77777777" w:rsidR="002E4D4F" w:rsidRPr="00CD2E4B" w:rsidRDefault="002E4D4F" w:rsidP="00E82B21">
            <w:pPr>
              <w:spacing w:before="0"/>
              <w:contextualSpacing/>
              <w:mirrorIndents/>
              <w:jc w:val="right"/>
              <w:rPr>
                <w:sz w:val="18"/>
                <w:szCs w:val="18"/>
              </w:rPr>
            </w:pPr>
            <w:r w:rsidRPr="00CD2E4B">
              <w:rPr>
                <w:sz w:val="18"/>
                <w:szCs w:val="18"/>
              </w:rPr>
              <w:t>11,1</w:t>
            </w:r>
          </w:p>
        </w:tc>
      </w:tr>
      <w:tr w:rsidR="002E4D4F" w:rsidRPr="00CD2E4B" w14:paraId="142ACEDB" w14:textId="77777777" w:rsidTr="004D3D4E">
        <w:trPr>
          <w:tblCellSpacing w:w="0" w:type="dxa"/>
        </w:trPr>
        <w:tc>
          <w:tcPr>
            <w:tcW w:w="4708" w:type="dxa"/>
            <w:shd w:val="clear" w:color="auto" w:fill="F0F0F0"/>
            <w:vAlign w:val="center"/>
            <w:hideMark/>
          </w:tcPr>
          <w:p w14:paraId="287677A1" w14:textId="77777777" w:rsidR="002E4D4F" w:rsidRPr="00CD2E4B" w:rsidRDefault="002E4D4F" w:rsidP="00484323">
            <w:pPr>
              <w:spacing w:before="0"/>
              <w:contextualSpacing/>
              <w:mirrorIndents/>
              <w:rPr>
                <w:sz w:val="18"/>
                <w:szCs w:val="18"/>
              </w:rPr>
            </w:pPr>
            <w:r w:rsidRPr="00CD2E4B">
              <w:rPr>
                <w:sz w:val="18"/>
                <w:szCs w:val="18"/>
              </w:rPr>
              <w:t>Betriebsergebnis = EBIT</w:t>
            </w:r>
          </w:p>
        </w:tc>
        <w:tc>
          <w:tcPr>
            <w:tcW w:w="1559" w:type="dxa"/>
            <w:shd w:val="clear" w:color="auto" w:fill="F0F0F0"/>
            <w:vAlign w:val="center"/>
            <w:hideMark/>
          </w:tcPr>
          <w:p w14:paraId="63D826B7" w14:textId="77777777" w:rsidR="002E4D4F" w:rsidRPr="00CD2E4B" w:rsidRDefault="002E4D4F" w:rsidP="00E82B21">
            <w:pPr>
              <w:spacing w:before="0"/>
              <w:contextualSpacing/>
              <w:mirrorIndents/>
              <w:jc w:val="right"/>
              <w:rPr>
                <w:sz w:val="18"/>
                <w:szCs w:val="18"/>
              </w:rPr>
            </w:pPr>
            <w:r w:rsidRPr="00CD2E4B">
              <w:rPr>
                <w:sz w:val="18"/>
                <w:szCs w:val="18"/>
              </w:rPr>
              <w:t>19,7</w:t>
            </w:r>
          </w:p>
        </w:tc>
        <w:tc>
          <w:tcPr>
            <w:tcW w:w="1418" w:type="dxa"/>
            <w:shd w:val="clear" w:color="auto" w:fill="F0F0F0"/>
            <w:vAlign w:val="center"/>
            <w:hideMark/>
          </w:tcPr>
          <w:p w14:paraId="76522267" w14:textId="77777777" w:rsidR="002E4D4F" w:rsidRPr="00CD2E4B" w:rsidRDefault="002E4D4F" w:rsidP="00E82B21">
            <w:pPr>
              <w:spacing w:before="0"/>
              <w:contextualSpacing/>
              <w:mirrorIndents/>
              <w:jc w:val="right"/>
              <w:rPr>
                <w:sz w:val="18"/>
                <w:szCs w:val="18"/>
              </w:rPr>
            </w:pPr>
            <w:r w:rsidRPr="00CD2E4B">
              <w:rPr>
                <w:sz w:val="18"/>
                <w:szCs w:val="18"/>
              </w:rPr>
              <w:t>20,0</w:t>
            </w:r>
          </w:p>
        </w:tc>
        <w:tc>
          <w:tcPr>
            <w:tcW w:w="1417" w:type="dxa"/>
            <w:shd w:val="clear" w:color="auto" w:fill="F0F0F0"/>
            <w:vAlign w:val="center"/>
            <w:hideMark/>
          </w:tcPr>
          <w:p w14:paraId="47FEC726" w14:textId="77777777" w:rsidR="002E4D4F" w:rsidRPr="00CD2E4B" w:rsidRDefault="002E4D4F" w:rsidP="00E82B21">
            <w:pPr>
              <w:spacing w:before="0"/>
              <w:contextualSpacing/>
              <w:mirrorIndents/>
              <w:jc w:val="right"/>
              <w:rPr>
                <w:sz w:val="18"/>
                <w:szCs w:val="18"/>
              </w:rPr>
            </w:pPr>
            <w:r w:rsidRPr="00CD2E4B">
              <w:rPr>
                <w:sz w:val="18"/>
                <w:szCs w:val="18"/>
              </w:rPr>
              <w:t>-1,5</w:t>
            </w:r>
          </w:p>
        </w:tc>
      </w:tr>
      <w:tr w:rsidR="002E4D4F" w:rsidRPr="00CD2E4B" w14:paraId="5E40A97D" w14:textId="77777777" w:rsidTr="004D3D4E">
        <w:trPr>
          <w:tblCellSpacing w:w="0" w:type="dxa"/>
        </w:trPr>
        <w:tc>
          <w:tcPr>
            <w:tcW w:w="4708" w:type="dxa"/>
            <w:vAlign w:val="center"/>
            <w:hideMark/>
          </w:tcPr>
          <w:p w14:paraId="494E5710" w14:textId="77777777" w:rsidR="002E4D4F" w:rsidRPr="00CD2E4B" w:rsidRDefault="002E4D4F" w:rsidP="00484323">
            <w:pPr>
              <w:spacing w:before="0"/>
              <w:contextualSpacing/>
              <w:mirrorIndents/>
              <w:rPr>
                <w:sz w:val="18"/>
                <w:szCs w:val="18"/>
              </w:rPr>
            </w:pPr>
            <w:r w:rsidRPr="00CD2E4B">
              <w:rPr>
                <w:sz w:val="18"/>
                <w:szCs w:val="18"/>
              </w:rPr>
              <w:t>Finanzergebnis</w:t>
            </w:r>
          </w:p>
        </w:tc>
        <w:tc>
          <w:tcPr>
            <w:tcW w:w="1559" w:type="dxa"/>
            <w:vAlign w:val="center"/>
            <w:hideMark/>
          </w:tcPr>
          <w:p w14:paraId="5D6EE0CB" w14:textId="77777777" w:rsidR="002E4D4F" w:rsidRPr="00CD2E4B" w:rsidRDefault="002E4D4F" w:rsidP="00E82B21">
            <w:pPr>
              <w:spacing w:before="0"/>
              <w:contextualSpacing/>
              <w:mirrorIndents/>
              <w:jc w:val="right"/>
              <w:rPr>
                <w:sz w:val="18"/>
                <w:szCs w:val="18"/>
              </w:rPr>
            </w:pPr>
            <w:r w:rsidRPr="00CD2E4B">
              <w:rPr>
                <w:sz w:val="18"/>
                <w:szCs w:val="18"/>
              </w:rPr>
              <w:t>0,3</w:t>
            </w:r>
          </w:p>
        </w:tc>
        <w:tc>
          <w:tcPr>
            <w:tcW w:w="1418" w:type="dxa"/>
            <w:vAlign w:val="center"/>
            <w:hideMark/>
          </w:tcPr>
          <w:p w14:paraId="01B2BFBD" w14:textId="77777777" w:rsidR="002E4D4F" w:rsidRPr="00CD2E4B" w:rsidRDefault="002E4D4F" w:rsidP="00E82B21">
            <w:pPr>
              <w:spacing w:before="0"/>
              <w:contextualSpacing/>
              <w:mirrorIndents/>
              <w:jc w:val="right"/>
              <w:rPr>
                <w:sz w:val="18"/>
                <w:szCs w:val="18"/>
              </w:rPr>
            </w:pPr>
            <w:r w:rsidRPr="00CD2E4B">
              <w:rPr>
                <w:sz w:val="18"/>
                <w:szCs w:val="18"/>
              </w:rPr>
              <w:t>0,1</w:t>
            </w:r>
          </w:p>
        </w:tc>
        <w:tc>
          <w:tcPr>
            <w:tcW w:w="1417" w:type="dxa"/>
            <w:vAlign w:val="center"/>
            <w:hideMark/>
          </w:tcPr>
          <w:p w14:paraId="41727008" w14:textId="77777777" w:rsidR="002E4D4F" w:rsidRPr="00CD2E4B" w:rsidRDefault="002E4D4F" w:rsidP="00E82B21">
            <w:pPr>
              <w:spacing w:before="0"/>
              <w:contextualSpacing/>
              <w:mirrorIndents/>
              <w:jc w:val="right"/>
              <w:rPr>
                <w:sz w:val="18"/>
                <w:szCs w:val="18"/>
              </w:rPr>
            </w:pPr>
            <w:r w:rsidRPr="00CD2E4B">
              <w:rPr>
                <w:sz w:val="18"/>
                <w:szCs w:val="18"/>
              </w:rPr>
              <w:t>&gt;100,0</w:t>
            </w:r>
          </w:p>
        </w:tc>
      </w:tr>
      <w:tr w:rsidR="002E4D4F" w:rsidRPr="00CD2E4B" w14:paraId="253B5AEB" w14:textId="77777777" w:rsidTr="004D3D4E">
        <w:trPr>
          <w:tblCellSpacing w:w="0" w:type="dxa"/>
        </w:trPr>
        <w:tc>
          <w:tcPr>
            <w:tcW w:w="4708" w:type="dxa"/>
            <w:shd w:val="clear" w:color="auto" w:fill="F0F0F0"/>
            <w:vAlign w:val="center"/>
            <w:hideMark/>
          </w:tcPr>
          <w:p w14:paraId="71B3154C" w14:textId="77777777" w:rsidR="002E4D4F" w:rsidRPr="00CD2E4B" w:rsidRDefault="002E4D4F" w:rsidP="00484323">
            <w:pPr>
              <w:spacing w:before="0"/>
              <w:contextualSpacing/>
              <w:mirrorIndents/>
              <w:rPr>
                <w:sz w:val="18"/>
                <w:szCs w:val="18"/>
              </w:rPr>
            </w:pPr>
            <w:r w:rsidRPr="00CD2E4B">
              <w:rPr>
                <w:sz w:val="18"/>
                <w:szCs w:val="18"/>
              </w:rPr>
              <w:t>Ergebnis vor Ergebnisübernahme</w:t>
            </w:r>
          </w:p>
        </w:tc>
        <w:tc>
          <w:tcPr>
            <w:tcW w:w="1559" w:type="dxa"/>
            <w:shd w:val="clear" w:color="auto" w:fill="F0F0F0"/>
            <w:vAlign w:val="center"/>
            <w:hideMark/>
          </w:tcPr>
          <w:p w14:paraId="7E44EC3B" w14:textId="77777777" w:rsidR="002E4D4F" w:rsidRPr="00CD2E4B" w:rsidRDefault="002E4D4F" w:rsidP="00E82B21">
            <w:pPr>
              <w:spacing w:before="0"/>
              <w:contextualSpacing/>
              <w:mirrorIndents/>
              <w:jc w:val="right"/>
              <w:rPr>
                <w:sz w:val="18"/>
                <w:szCs w:val="18"/>
              </w:rPr>
            </w:pPr>
            <w:r w:rsidRPr="00CD2E4B">
              <w:rPr>
                <w:sz w:val="18"/>
                <w:szCs w:val="18"/>
              </w:rPr>
              <w:t>20,0</w:t>
            </w:r>
          </w:p>
        </w:tc>
        <w:tc>
          <w:tcPr>
            <w:tcW w:w="1418" w:type="dxa"/>
            <w:shd w:val="clear" w:color="auto" w:fill="F0F0F0"/>
            <w:vAlign w:val="center"/>
            <w:hideMark/>
          </w:tcPr>
          <w:p w14:paraId="35279BBB" w14:textId="77777777" w:rsidR="002E4D4F" w:rsidRPr="00CD2E4B" w:rsidRDefault="002E4D4F" w:rsidP="00E82B21">
            <w:pPr>
              <w:spacing w:before="0"/>
              <w:contextualSpacing/>
              <w:mirrorIndents/>
              <w:jc w:val="right"/>
              <w:rPr>
                <w:sz w:val="18"/>
                <w:szCs w:val="18"/>
              </w:rPr>
            </w:pPr>
            <w:r w:rsidRPr="00CD2E4B">
              <w:rPr>
                <w:sz w:val="18"/>
                <w:szCs w:val="18"/>
              </w:rPr>
              <w:t>20,1</w:t>
            </w:r>
          </w:p>
        </w:tc>
        <w:tc>
          <w:tcPr>
            <w:tcW w:w="1417" w:type="dxa"/>
            <w:shd w:val="clear" w:color="auto" w:fill="F0F0F0"/>
            <w:vAlign w:val="center"/>
            <w:hideMark/>
          </w:tcPr>
          <w:p w14:paraId="4B8E17FE" w14:textId="77777777" w:rsidR="002E4D4F" w:rsidRPr="00CD2E4B" w:rsidRDefault="002E4D4F" w:rsidP="00E82B21">
            <w:pPr>
              <w:spacing w:before="0"/>
              <w:contextualSpacing/>
              <w:mirrorIndents/>
              <w:jc w:val="right"/>
              <w:rPr>
                <w:sz w:val="18"/>
                <w:szCs w:val="18"/>
              </w:rPr>
            </w:pPr>
            <w:r w:rsidRPr="00CD2E4B">
              <w:rPr>
                <w:sz w:val="18"/>
                <w:szCs w:val="18"/>
              </w:rPr>
              <w:t>-0,5</w:t>
            </w:r>
          </w:p>
        </w:tc>
      </w:tr>
    </w:tbl>
    <w:p w14:paraId="11AAD633" w14:textId="77777777" w:rsidR="00215211" w:rsidRPr="00CD2E4B" w:rsidRDefault="00215211" w:rsidP="00484323">
      <w:pPr>
        <w:spacing w:before="0"/>
        <w:contextualSpacing/>
        <w:mirrorIndents/>
        <w:rPr>
          <w:sz w:val="18"/>
          <w:szCs w:val="18"/>
        </w:rPr>
      </w:pPr>
    </w:p>
    <w:p w14:paraId="711BB592" w14:textId="61E81FD1" w:rsidR="002E4D4F" w:rsidRPr="00CD2E4B" w:rsidRDefault="002E4D4F" w:rsidP="00484323">
      <w:pPr>
        <w:spacing w:before="0"/>
        <w:contextualSpacing/>
        <w:mirrorIndents/>
        <w:rPr>
          <w:sz w:val="18"/>
          <w:szCs w:val="18"/>
        </w:rPr>
      </w:pPr>
      <w:r w:rsidRPr="00CD2E4B">
        <w:rPr>
          <w:sz w:val="18"/>
          <w:szCs w:val="18"/>
        </w:rPr>
        <w:t>Die EUROVIA Verkehrsbau GmbH hat bei Umsatzerlösen von Mio. EUR 247,8 (Vorjahr: Mio. EUR 265,3) das abgelaufene Geschäftsjahr mit einem positiven Jahresergebnis vor Ergebnisabführung in Höhe von Mio. EUR 20,0 (Vorjahr: Mio. EUR 20,1) abgeschlossen. Die Verringerung des Jahresergebnisses resultiert im Wesentlichen aus der Bestandserhöhung (Bestandsaufbau um Mio. EUR 33,7; Vorjahr: Mio. EUR 7,3) sowie einzelner zentraler Risikoabsicherungen.</w:t>
      </w:r>
    </w:p>
    <w:p w14:paraId="21198518" w14:textId="77777777" w:rsidR="00215211" w:rsidRPr="00CD2E4B" w:rsidRDefault="00215211" w:rsidP="00484323">
      <w:pPr>
        <w:spacing w:before="0"/>
        <w:contextualSpacing/>
        <w:mirrorIndents/>
        <w:rPr>
          <w:sz w:val="18"/>
          <w:szCs w:val="18"/>
        </w:rPr>
      </w:pPr>
    </w:p>
    <w:p w14:paraId="4F1197D3" w14:textId="6B13C055" w:rsidR="002E4D4F" w:rsidRPr="00CD2E4B" w:rsidRDefault="002E4D4F" w:rsidP="00484323">
      <w:pPr>
        <w:spacing w:before="0"/>
        <w:contextualSpacing/>
        <w:mirrorIndents/>
        <w:rPr>
          <w:sz w:val="18"/>
          <w:szCs w:val="18"/>
        </w:rPr>
      </w:pPr>
      <w:r w:rsidRPr="00CD2E4B">
        <w:rPr>
          <w:sz w:val="18"/>
          <w:szCs w:val="18"/>
        </w:rPr>
        <w:t>Alle Niederlassungen der EUROVIA Verkehrsbau GmbH haben positive operative Ergebnisse erzielt.</w:t>
      </w:r>
    </w:p>
    <w:p w14:paraId="6FC67C2E" w14:textId="77777777" w:rsidR="00215211" w:rsidRPr="00CD2E4B" w:rsidRDefault="00215211" w:rsidP="00484323">
      <w:pPr>
        <w:spacing w:before="0"/>
        <w:contextualSpacing/>
        <w:mirrorIndents/>
        <w:rPr>
          <w:sz w:val="18"/>
          <w:szCs w:val="18"/>
        </w:rPr>
      </w:pPr>
    </w:p>
    <w:p w14:paraId="70FA682B" w14:textId="2C96E1EE" w:rsidR="002E4D4F" w:rsidRPr="00CD2E4B" w:rsidRDefault="002E4D4F" w:rsidP="00484323">
      <w:pPr>
        <w:spacing w:before="0"/>
        <w:contextualSpacing/>
        <w:mirrorIndents/>
        <w:rPr>
          <w:sz w:val="18"/>
          <w:szCs w:val="18"/>
        </w:rPr>
      </w:pPr>
      <w:r w:rsidRPr="00CD2E4B">
        <w:rPr>
          <w:sz w:val="18"/>
          <w:szCs w:val="18"/>
        </w:rPr>
        <w:t>Die Materialaufwandsquote, d.h. Materialaufwand in Beziehung gesetzt zur handelsrechtlichen Gesamtleistung, der EUROVIA Verkehrsbau GmbH hat sich leicht von 56,2 % auf 54,6 % verringert. Die Personalaufwandsquote hat sich von 26,8 % auf 28,2 % leicht erhöht.</w:t>
      </w:r>
    </w:p>
    <w:p w14:paraId="33662C9F" w14:textId="77777777" w:rsidR="00215211" w:rsidRPr="00CD2E4B" w:rsidRDefault="00215211" w:rsidP="00484323">
      <w:pPr>
        <w:spacing w:before="0"/>
        <w:contextualSpacing/>
        <w:mirrorIndents/>
        <w:rPr>
          <w:sz w:val="18"/>
          <w:szCs w:val="18"/>
        </w:rPr>
      </w:pPr>
    </w:p>
    <w:p w14:paraId="2EAFFBEE" w14:textId="77777777" w:rsidR="008E4151" w:rsidRPr="00566DD2" w:rsidRDefault="002E4D4F" w:rsidP="00484323">
      <w:pPr>
        <w:spacing w:before="0"/>
        <w:contextualSpacing/>
        <w:mirrorIndents/>
        <w:rPr>
          <w:spacing w:val="-2"/>
          <w:sz w:val="18"/>
          <w:szCs w:val="18"/>
        </w:rPr>
      </w:pPr>
      <w:r w:rsidRPr="00566DD2">
        <w:rPr>
          <w:spacing w:val="-2"/>
          <w:sz w:val="18"/>
          <w:szCs w:val="18"/>
        </w:rPr>
        <w:t>Das EBIT hat sich im Vorjahresvergleich korrespondierend zur Jahresergebnisentwicklung von Mio. EUR 20,0 auf Mio. EUR 19,7 verringert. Das Zinsergebnis entwickelte sich höher aufgrund des Anstiegs des allgemeinen Zinsniveaus. Das positive Jahresergebnis vor Ergebnisübernahme in Höhe von Mio. EUR 20,0 ist aufgrund des Ergebnisabführungsvertrags an die VINCI Construction GmbH, Berlin, abgeführt worden.</w:t>
      </w:r>
      <w:bookmarkStart w:id="8" w:name="10"/>
    </w:p>
    <w:p w14:paraId="49D2C530" w14:textId="5B1E7135" w:rsidR="00E41BA7" w:rsidRDefault="00E41BA7">
      <w:pPr>
        <w:spacing w:before="0"/>
        <w:jc w:val="left"/>
        <w:rPr>
          <w:sz w:val="18"/>
          <w:szCs w:val="18"/>
          <w:vertAlign w:val="superscript"/>
        </w:rPr>
      </w:pPr>
    </w:p>
    <w:p w14:paraId="7EF04AC6" w14:textId="12B877A6" w:rsidR="002E4D4F" w:rsidRPr="008E4151" w:rsidRDefault="002E4D4F" w:rsidP="00484323">
      <w:pPr>
        <w:spacing w:before="0"/>
        <w:contextualSpacing/>
        <w:mirrorIndents/>
        <w:rPr>
          <w:sz w:val="18"/>
          <w:szCs w:val="18"/>
          <w:vertAlign w:val="superscript"/>
        </w:rPr>
      </w:pPr>
      <w:r w:rsidRPr="00CD2E4B">
        <w:rPr>
          <w:sz w:val="18"/>
          <w:szCs w:val="18"/>
          <w:vertAlign w:val="superscript"/>
        </w:rPr>
        <w:t>10</w:t>
      </w:r>
      <w:r w:rsidR="008E4151">
        <w:rPr>
          <w:sz w:val="18"/>
          <w:szCs w:val="18"/>
          <w:vertAlign w:val="superscript"/>
        </w:rPr>
        <w:t xml:space="preserve"> </w:t>
      </w:r>
      <w:r w:rsidRPr="00CD2E4B">
        <w:rPr>
          <w:sz w:val="18"/>
          <w:szCs w:val="18"/>
        </w:rPr>
        <w:t>Die handelsrechtliche Gesamtleistung beinhaltet die Umsatzerlöse, die Bestandsveränderung sowie die sonstigen betrieblichen Erträge.</w:t>
      </w:r>
      <w:bookmarkEnd w:id="8"/>
    </w:p>
    <w:p w14:paraId="14FF3058" w14:textId="39E9EAC0" w:rsidR="002E4D4F" w:rsidRPr="00CD2E4B" w:rsidRDefault="002E4D4F" w:rsidP="00484323">
      <w:pPr>
        <w:spacing w:before="0"/>
        <w:contextualSpacing/>
        <w:mirrorIndents/>
        <w:jc w:val="center"/>
        <w:outlineLvl w:val="3"/>
        <w:rPr>
          <w:b/>
          <w:bCs/>
          <w:sz w:val="18"/>
          <w:szCs w:val="18"/>
        </w:rPr>
      </w:pPr>
      <w:r w:rsidRPr="00CD2E4B">
        <w:rPr>
          <w:b/>
          <w:bCs/>
          <w:sz w:val="18"/>
          <w:szCs w:val="18"/>
        </w:rPr>
        <w:lastRenderedPageBreak/>
        <w:t>IV. Vermögens- und Finanzlage</w:t>
      </w:r>
      <w:r w:rsidR="00566DD2">
        <w:rPr>
          <w:b/>
          <w:bCs/>
          <w:sz w:val="18"/>
          <w:szCs w:val="18"/>
        </w:rPr>
        <w:br/>
      </w:r>
    </w:p>
    <w:p w14:paraId="7CBF3CB2" w14:textId="675DEE7E" w:rsidR="002E4D4F" w:rsidRPr="00CD2E4B" w:rsidRDefault="002E4D4F" w:rsidP="00484323">
      <w:pPr>
        <w:spacing w:before="0"/>
        <w:contextualSpacing/>
        <w:mirrorIndents/>
        <w:jc w:val="center"/>
        <w:outlineLvl w:val="3"/>
        <w:rPr>
          <w:b/>
          <w:bCs/>
          <w:sz w:val="18"/>
          <w:szCs w:val="18"/>
        </w:rPr>
      </w:pPr>
      <w:r w:rsidRPr="00CD2E4B">
        <w:rPr>
          <w:b/>
          <w:bCs/>
          <w:sz w:val="18"/>
          <w:szCs w:val="18"/>
        </w:rPr>
        <w:t>Eckdaten der Bilanz</w:t>
      </w:r>
      <w:r w:rsidR="00566DD2">
        <w:rPr>
          <w:b/>
          <w:bCs/>
          <w:sz w:val="18"/>
          <w:szCs w:val="18"/>
        </w:rPr>
        <w:t xml:space="preserve"> </w:t>
      </w:r>
      <w:r w:rsidRPr="00CD2E4B">
        <w:rPr>
          <w:b/>
          <w:bCs/>
          <w:sz w:val="18"/>
          <w:szCs w:val="18"/>
        </w:rPr>
        <w:t>der EUROVIA Verkehrsbau GmbH</w:t>
      </w:r>
    </w:p>
    <w:p w14:paraId="5710EE8B" w14:textId="77777777" w:rsidR="00B06A1B" w:rsidRPr="00CD2E4B" w:rsidRDefault="00B06A1B" w:rsidP="00484323">
      <w:pPr>
        <w:spacing w:before="0"/>
        <w:contextualSpacing/>
        <w:mirrorIndents/>
        <w:jc w:val="center"/>
        <w:outlineLvl w:val="3"/>
        <w:rPr>
          <w:b/>
          <w:bCs/>
          <w:sz w:val="18"/>
          <w:szCs w:val="18"/>
        </w:rPr>
      </w:pPr>
    </w:p>
    <w:tbl>
      <w:tblPr>
        <w:tblW w:w="9102" w:type="dxa"/>
        <w:tblCellSpacing w:w="0" w:type="dxa"/>
        <w:tblCellMar>
          <w:top w:w="30" w:type="dxa"/>
          <w:left w:w="30" w:type="dxa"/>
          <w:bottom w:w="30" w:type="dxa"/>
          <w:right w:w="30" w:type="dxa"/>
        </w:tblCellMar>
        <w:tblLook w:val="04A0" w:firstRow="1" w:lastRow="0" w:firstColumn="1" w:lastColumn="0" w:noHBand="0" w:noVBand="1"/>
      </w:tblPr>
      <w:tblGrid>
        <w:gridCol w:w="4708"/>
        <w:gridCol w:w="1559"/>
        <w:gridCol w:w="1388"/>
        <w:gridCol w:w="1447"/>
      </w:tblGrid>
      <w:tr w:rsidR="002E4D4F" w:rsidRPr="00CD2E4B" w14:paraId="00F6FCEE" w14:textId="77777777" w:rsidTr="008E4151">
        <w:trPr>
          <w:tblHeader/>
          <w:tblCellSpacing w:w="0" w:type="dxa"/>
        </w:trPr>
        <w:tc>
          <w:tcPr>
            <w:tcW w:w="4708" w:type="dxa"/>
            <w:shd w:val="clear" w:color="auto" w:fill="CDCDCE"/>
            <w:vAlign w:val="bottom"/>
            <w:hideMark/>
          </w:tcPr>
          <w:p w14:paraId="4F887DBC" w14:textId="77777777" w:rsidR="002E4D4F" w:rsidRPr="00CD2E4B" w:rsidRDefault="002E4D4F" w:rsidP="00484323">
            <w:pPr>
              <w:spacing w:before="0"/>
              <w:contextualSpacing/>
              <w:mirrorIndents/>
              <w:rPr>
                <w:sz w:val="18"/>
                <w:szCs w:val="18"/>
              </w:rPr>
            </w:pPr>
          </w:p>
        </w:tc>
        <w:tc>
          <w:tcPr>
            <w:tcW w:w="1559" w:type="dxa"/>
            <w:shd w:val="clear" w:color="auto" w:fill="CDCDCE"/>
            <w:vAlign w:val="bottom"/>
            <w:hideMark/>
          </w:tcPr>
          <w:p w14:paraId="424C85EA" w14:textId="77777777" w:rsidR="002E4D4F" w:rsidRPr="00CD2E4B" w:rsidRDefault="002E4D4F" w:rsidP="00E82B21">
            <w:pPr>
              <w:spacing w:before="0"/>
              <w:contextualSpacing/>
              <w:mirrorIndents/>
              <w:jc w:val="right"/>
              <w:rPr>
                <w:sz w:val="18"/>
                <w:szCs w:val="18"/>
              </w:rPr>
            </w:pPr>
            <w:r w:rsidRPr="00CD2E4B">
              <w:rPr>
                <w:sz w:val="18"/>
                <w:szCs w:val="18"/>
              </w:rPr>
              <w:t>IST 2022</w:t>
            </w:r>
            <w:r w:rsidRPr="00CD2E4B">
              <w:rPr>
                <w:sz w:val="18"/>
                <w:szCs w:val="18"/>
              </w:rPr>
              <w:br/>
              <w:t>Mio. EUR</w:t>
            </w:r>
          </w:p>
        </w:tc>
        <w:tc>
          <w:tcPr>
            <w:tcW w:w="1388" w:type="dxa"/>
            <w:shd w:val="clear" w:color="auto" w:fill="CDCDCE"/>
            <w:vAlign w:val="bottom"/>
            <w:hideMark/>
          </w:tcPr>
          <w:p w14:paraId="0CBA3C13" w14:textId="77777777" w:rsidR="002E4D4F" w:rsidRPr="00CD2E4B" w:rsidRDefault="002E4D4F" w:rsidP="00E82B21">
            <w:pPr>
              <w:spacing w:before="0"/>
              <w:contextualSpacing/>
              <w:mirrorIndents/>
              <w:jc w:val="right"/>
              <w:rPr>
                <w:sz w:val="18"/>
                <w:szCs w:val="18"/>
              </w:rPr>
            </w:pPr>
            <w:r w:rsidRPr="00CD2E4B">
              <w:rPr>
                <w:sz w:val="18"/>
                <w:szCs w:val="18"/>
              </w:rPr>
              <w:t>IST 2021</w:t>
            </w:r>
            <w:r w:rsidRPr="00CD2E4B">
              <w:rPr>
                <w:sz w:val="18"/>
                <w:szCs w:val="18"/>
              </w:rPr>
              <w:br/>
              <w:t>Mio. EUR</w:t>
            </w:r>
          </w:p>
        </w:tc>
        <w:tc>
          <w:tcPr>
            <w:tcW w:w="1447" w:type="dxa"/>
            <w:shd w:val="clear" w:color="auto" w:fill="CDCDCE"/>
            <w:vAlign w:val="bottom"/>
            <w:hideMark/>
          </w:tcPr>
          <w:p w14:paraId="5F9F651D" w14:textId="77777777" w:rsidR="002E4D4F" w:rsidRPr="00CD2E4B" w:rsidRDefault="002E4D4F" w:rsidP="00E82B21">
            <w:pPr>
              <w:spacing w:before="0"/>
              <w:contextualSpacing/>
              <w:mirrorIndents/>
              <w:jc w:val="right"/>
              <w:rPr>
                <w:sz w:val="18"/>
                <w:szCs w:val="18"/>
              </w:rPr>
            </w:pPr>
            <w:r w:rsidRPr="00CD2E4B">
              <w:rPr>
                <w:sz w:val="18"/>
                <w:szCs w:val="18"/>
              </w:rPr>
              <w:t>Veränderung</w:t>
            </w:r>
            <w:r w:rsidRPr="00CD2E4B">
              <w:rPr>
                <w:sz w:val="18"/>
                <w:szCs w:val="18"/>
              </w:rPr>
              <w:br/>
              <w:t>%</w:t>
            </w:r>
          </w:p>
        </w:tc>
      </w:tr>
      <w:tr w:rsidR="002E4D4F" w:rsidRPr="00CD2E4B" w14:paraId="0B980222" w14:textId="77777777" w:rsidTr="008E4151">
        <w:trPr>
          <w:tblCellSpacing w:w="0" w:type="dxa"/>
        </w:trPr>
        <w:tc>
          <w:tcPr>
            <w:tcW w:w="4708" w:type="dxa"/>
            <w:vAlign w:val="center"/>
            <w:hideMark/>
          </w:tcPr>
          <w:p w14:paraId="1E51DF73" w14:textId="77777777" w:rsidR="002E4D4F" w:rsidRPr="00CD2E4B" w:rsidRDefault="002E4D4F" w:rsidP="00484323">
            <w:pPr>
              <w:spacing w:before="0"/>
              <w:contextualSpacing/>
              <w:mirrorIndents/>
              <w:rPr>
                <w:sz w:val="18"/>
                <w:szCs w:val="18"/>
              </w:rPr>
            </w:pPr>
            <w:r w:rsidRPr="00CD2E4B">
              <w:rPr>
                <w:sz w:val="18"/>
                <w:szCs w:val="18"/>
              </w:rPr>
              <w:t>Aktiva</w:t>
            </w:r>
          </w:p>
        </w:tc>
        <w:tc>
          <w:tcPr>
            <w:tcW w:w="1559" w:type="dxa"/>
            <w:vAlign w:val="center"/>
            <w:hideMark/>
          </w:tcPr>
          <w:p w14:paraId="45F5FFF7" w14:textId="77777777" w:rsidR="002E4D4F" w:rsidRPr="00CD2E4B" w:rsidRDefault="002E4D4F" w:rsidP="00E82B21">
            <w:pPr>
              <w:spacing w:before="0"/>
              <w:contextualSpacing/>
              <w:mirrorIndents/>
              <w:jc w:val="right"/>
              <w:rPr>
                <w:sz w:val="18"/>
                <w:szCs w:val="18"/>
              </w:rPr>
            </w:pPr>
          </w:p>
        </w:tc>
        <w:tc>
          <w:tcPr>
            <w:tcW w:w="1388" w:type="dxa"/>
            <w:vAlign w:val="center"/>
            <w:hideMark/>
          </w:tcPr>
          <w:p w14:paraId="09698D20" w14:textId="77777777" w:rsidR="002E4D4F" w:rsidRPr="00CD2E4B" w:rsidRDefault="002E4D4F" w:rsidP="00E82B21">
            <w:pPr>
              <w:spacing w:before="0"/>
              <w:contextualSpacing/>
              <w:mirrorIndents/>
              <w:jc w:val="right"/>
              <w:rPr>
                <w:sz w:val="18"/>
                <w:szCs w:val="18"/>
              </w:rPr>
            </w:pPr>
          </w:p>
        </w:tc>
        <w:tc>
          <w:tcPr>
            <w:tcW w:w="1447" w:type="dxa"/>
            <w:vAlign w:val="center"/>
            <w:hideMark/>
          </w:tcPr>
          <w:p w14:paraId="3157AD16" w14:textId="77777777" w:rsidR="002E4D4F" w:rsidRPr="00CD2E4B" w:rsidRDefault="002E4D4F" w:rsidP="00E82B21">
            <w:pPr>
              <w:spacing w:before="0"/>
              <w:contextualSpacing/>
              <w:mirrorIndents/>
              <w:jc w:val="right"/>
              <w:rPr>
                <w:sz w:val="18"/>
                <w:szCs w:val="18"/>
              </w:rPr>
            </w:pPr>
          </w:p>
        </w:tc>
      </w:tr>
      <w:tr w:rsidR="002E4D4F" w:rsidRPr="00CD2E4B" w14:paraId="7390CC14" w14:textId="77777777" w:rsidTr="008E4151">
        <w:trPr>
          <w:tblCellSpacing w:w="0" w:type="dxa"/>
        </w:trPr>
        <w:tc>
          <w:tcPr>
            <w:tcW w:w="4708" w:type="dxa"/>
            <w:shd w:val="clear" w:color="auto" w:fill="F0F0F0"/>
            <w:vAlign w:val="center"/>
            <w:hideMark/>
          </w:tcPr>
          <w:p w14:paraId="61967D5C" w14:textId="77777777" w:rsidR="002E4D4F" w:rsidRPr="00CD2E4B" w:rsidRDefault="002E4D4F" w:rsidP="00484323">
            <w:pPr>
              <w:spacing w:before="0"/>
              <w:contextualSpacing/>
              <w:mirrorIndents/>
              <w:rPr>
                <w:sz w:val="18"/>
                <w:szCs w:val="18"/>
              </w:rPr>
            </w:pPr>
            <w:r w:rsidRPr="00CD2E4B">
              <w:rPr>
                <w:sz w:val="18"/>
                <w:szCs w:val="18"/>
              </w:rPr>
              <w:t>Anlagevermögen</w:t>
            </w:r>
          </w:p>
        </w:tc>
        <w:tc>
          <w:tcPr>
            <w:tcW w:w="1559" w:type="dxa"/>
            <w:shd w:val="clear" w:color="auto" w:fill="F0F0F0"/>
            <w:vAlign w:val="center"/>
            <w:hideMark/>
          </w:tcPr>
          <w:p w14:paraId="6554164D" w14:textId="77777777" w:rsidR="002E4D4F" w:rsidRPr="00CD2E4B" w:rsidRDefault="002E4D4F" w:rsidP="00E82B21">
            <w:pPr>
              <w:spacing w:before="0"/>
              <w:contextualSpacing/>
              <w:mirrorIndents/>
              <w:jc w:val="right"/>
              <w:rPr>
                <w:sz w:val="18"/>
                <w:szCs w:val="18"/>
              </w:rPr>
            </w:pPr>
            <w:r w:rsidRPr="00CD2E4B">
              <w:rPr>
                <w:sz w:val="18"/>
                <w:szCs w:val="18"/>
              </w:rPr>
              <w:t>27,2</w:t>
            </w:r>
          </w:p>
        </w:tc>
        <w:tc>
          <w:tcPr>
            <w:tcW w:w="1388" w:type="dxa"/>
            <w:shd w:val="clear" w:color="auto" w:fill="F0F0F0"/>
            <w:vAlign w:val="center"/>
            <w:hideMark/>
          </w:tcPr>
          <w:p w14:paraId="65E866AE" w14:textId="77777777" w:rsidR="002E4D4F" w:rsidRPr="00CD2E4B" w:rsidRDefault="002E4D4F" w:rsidP="00E82B21">
            <w:pPr>
              <w:spacing w:before="0"/>
              <w:contextualSpacing/>
              <w:mirrorIndents/>
              <w:jc w:val="right"/>
              <w:rPr>
                <w:sz w:val="18"/>
                <w:szCs w:val="18"/>
              </w:rPr>
            </w:pPr>
            <w:r w:rsidRPr="00CD2E4B">
              <w:rPr>
                <w:sz w:val="18"/>
                <w:szCs w:val="18"/>
              </w:rPr>
              <w:t>24,6</w:t>
            </w:r>
          </w:p>
        </w:tc>
        <w:tc>
          <w:tcPr>
            <w:tcW w:w="1447" w:type="dxa"/>
            <w:shd w:val="clear" w:color="auto" w:fill="F0F0F0"/>
            <w:vAlign w:val="center"/>
            <w:hideMark/>
          </w:tcPr>
          <w:p w14:paraId="1FB811D5" w14:textId="77777777" w:rsidR="002E4D4F" w:rsidRPr="00CD2E4B" w:rsidRDefault="002E4D4F" w:rsidP="00E82B21">
            <w:pPr>
              <w:spacing w:before="0"/>
              <w:contextualSpacing/>
              <w:mirrorIndents/>
              <w:jc w:val="right"/>
              <w:rPr>
                <w:sz w:val="18"/>
                <w:szCs w:val="18"/>
              </w:rPr>
            </w:pPr>
            <w:r w:rsidRPr="00CD2E4B">
              <w:rPr>
                <w:sz w:val="18"/>
                <w:szCs w:val="18"/>
              </w:rPr>
              <w:t>10,6</w:t>
            </w:r>
          </w:p>
        </w:tc>
      </w:tr>
      <w:tr w:rsidR="002E4D4F" w:rsidRPr="00CD2E4B" w14:paraId="36769BAC" w14:textId="77777777" w:rsidTr="008E4151">
        <w:trPr>
          <w:tblCellSpacing w:w="0" w:type="dxa"/>
        </w:trPr>
        <w:tc>
          <w:tcPr>
            <w:tcW w:w="4708" w:type="dxa"/>
            <w:vAlign w:val="center"/>
            <w:hideMark/>
          </w:tcPr>
          <w:p w14:paraId="14F201D8" w14:textId="77777777" w:rsidR="002E4D4F" w:rsidRPr="00CD2E4B" w:rsidRDefault="002E4D4F" w:rsidP="00484323">
            <w:pPr>
              <w:spacing w:before="0"/>
              <w:contextualSpacing/>
              <w:mirrorIndents/>
              <w:rPr>
                <w:sz w:val="18"/>
                <w:szCs w:val="18"/>
              </w:rPr>
            </w:pPr>
            <w:r w:rsidRPr="00CD2E4B">
              <w:rPr>
                <w:sz w:val="18"/>
                <w:szCs w:val="18"/>
              </w:rPr>
              <w:t>Umlaufvermögen/RAP</w:t>
            </w:r>
          </w:p>
        </w:tc>
        <w:tc>
          <w:tcPr>
            <w:tcW w:w="1559" w:type="dxa"/>
            <w:vAlign w:val="center"/>
            <w:hideMark/>
          </w:tcPr>
          <w:p w14:paraId="233D8892" w14:textId="77777777" w:rsidR="002E4D4F" w:rsidRPr="00CD2E4B" w:rsidRDefault="002E4D4F" w:rsidP="00E82B21">
            <w:pPr>
              <w:spacing w:before="0"/>
              <w:contextualSpacing/>
              <w:mirrorIndents/>
              <w:jc w:val="right"/>
              <w:rPr>
                <w:sz w:val="18"/>
                <w:szCs w:val="18"/>
              </w:rPr>
            </w:pPr>
            <w:r w:rsidRPr="00CD2E4B">
              <w:rPr>
                <w:sz w:val="18"/>
                <w:szCs w:val="18"/>
              </w:rPr>
              <w:t>159,6</w:t>
            </w:r>
          </w:p>
        </w:tc>
        <w:tc>
          <w:tcPr>
            <w:tcW w:w="1388" w:type="dxa"/>
            <w:vAlign w:val="center"/>
            <w:hideMark/>
          </w:tcPr>
          <w:p w14:paraId="0AAD1F5C" w14:textId="77777777" w:rsidR="002E4D4F" w:rsidRPr="00CD2E4B" w:rsidRDefault="002E4D4F" w:rsidP="00E82B21">
            <w:pPr>
              <w:spacing w:before="0"/>
              <w:contextualSpacing/>
              <w:mirrorIndents/>
              <w:jc w:val="right"/>
              <w:rPr>
                <w:sz w:val="18"/>
                <w:szCs w:val="18"/>
              </w:rPr>
            </w:pPr>
            <w:r w:rsidRPr="00CD2E4B">
              <w:rPr>
                <w:sz w:val="18"/>
                <w:szCs w:val="18"/>
              </w:rPr>
              <w:t>170,0</w:t>
            </w:r>
          </w:p>
        </w:tc>
        <w:tc>
          <w:tcPr>
            <w:tcW w:w="1447" w:type="dxa"/>
            <w:vAlign w:val="center"/>
            <w:hideMark/>
          </w:tcPr>
          <w:p w14:paraId="2E98C97D" w14:textId="77777777" w:rsidR="002E4D4F" w:rsidRPr="00CD2E4B" w:rsidRDefault="002E4D4F" w:rsidP="00E82B21">
            <w:pPr>
              <w:spacing w:before="0"/>
              <w:contextualSpacing/>
              <w:mirrorIndents/>
              <w:jc w:val="right"/>
              <w:rPr>
                <w:sz w:val="18"/>
                <w:szCs w:val="18"/>
              </w:rPr>
            </w:pPr>
            <w:r w:rsidRPr="00CD2E4B">
              <w:rPr>
                <w:sz w:val="18"/>
                <w:szCs w:val="18"/>
              </w:rPr>
              <w:t>-6,1</w:t>
            </w:r>
          </w:p>
        </w:tc>
      </w:tr>
      <w:tr w:rsidR="002E4D4F" w:rsidRPr="00CD2E4B" w14:paraId="5986B9A0" w14:textId="77777777" w:rsidTr="008E4151">
        <w:trPr>
          <w:tblCellSpacing w:w="0" w:type="dxa"/>
        </w:trPr>
        <w:tc>
          <w:tcPr>
            <w:tcW w:w="4708" w:type="dxa"/>
            <w:shd w:val="clear" w:color="auto" w:fill="F0F0F0"/>
            <w:vAlign w:val="center"/>
            <w:hideMark/>
          </w:tcPr>
          <w:p w14:paraId="7F3EF876" w14:textId="77777777" w:rsidR="002E4D4F" w:rsidRPr="00CD2E4B" w:rsidRDefault="002E4D4F" w:rsidP="00484323">
            <w:pPr>
              <w:spacing w:before="0"/>
              <w:contextualSpacing/>
              <w:mirrorIndents/>
              <w:rPr>
                <w:sz w:val="18"/>
                <w:szCs w:val="18"/>
              </w:rPr>
            </w:pPr>
            <w:r w:rsidRPr="00CD2E4B">
              <w:rPr>
                <w:sz w:val="18"/>
                <w:szCs w:val="18"/>
              </w:rPr>
              <w:t>Passiva</w:t>
            </w:r>
          </w:p>
        </w:tc>
        <w:tc>
          <w:tcPr>
            <w:tcW w:w="1559" w:type="dxa"/>
            <w:shd w:val="clear" w:color="auto" w:fill="F0F0F0"/>
            <w:vAlign w:val="center"/>
            <w:hideMark/>
          </w:tcPr>
          <w:p w14:paraId="2DCEC50C" w14:textId="77777777" w:rsidR="002E4D4F" w:rsidRPr="00CD2E4B" w:rsidRDefault="002E4D4F" w:rsidP="00E82B21">
            <w:pPr>
              <w:spacing w:before="0"/>
              <w:contextualSpacing/>
              <w:mirrorIndents/>
              <w:jc w:val="right"/>
              <w:rPr>
                <w:sz w:val="18"/>
                <w:szCs w:val="18"/>
              </w:rPr>
            </w:pPr>
          </w:p>
        </w:tc>
        <w:tc>
          <w:tcPr>
            <w:tcW w:w="1388" w:type="dxa"/>
            <w:shd w:val="clear" w:color="auto" w:fill="F0F0F0"/>
            <w:vAlign w:val="center"/>
            <w:hideMark/>
          </w:tcPr>
          <w:p w14:paraId="706A32B3" w14:textId="77777777" w:rsidR="002E4D4F" w:rsidRPr="00CD2E4B" w:rsidRDefault="002E4D4F" w:rsidP="00E82B21">
            <w:pPr>
              <w:spacing w:before="0"/>
              <w:contextualSpacing/>
              <w:mirrorIndents/>
              <w:jc w:val="right"/>
              <w:rPr>
                <w:sz w:val="18"/>
                <w:szCs w:val="18"/>
              </w:rPr>
            </w:pPr>
          </w:p>
        </w:tc>
        <w:tc>
          <w:tcPr>
            <w:tcW w:w="1447" w:type="dxa"/>
            <w:shd w:val="clear" w:color="auto" w:fill="F0F0F0"/>
            <w:vAlign w:val="center"/>
            <w:hideMark/>
          </w:tcPr>
          <w:p w14:paraId="3527F8F6" w14:textId="77777777" w:rsidR="002E4D4F" w:rsidRPr="00CD2E4B" w:rsidRDefault="002E4D4F" w:rsidP="00E82B21">
            <w:pPr>
              <w:spacing w:before="0"/>
              <w:contextualSpacing/>
              <w:mirrorIndents/>
              <w:jc w:val="right"/>
              <w:rPr>
                <w:sz w:val="18"/>
                <w:szCs w:val="18"/>
              </w:rPr>
            </w:pPr>
          </w:p>
        </w:tc>
      </w:tr>
      <w:tr w:rsidR="002E4D4F" w:rsidRPr="00CD2E4B" w14:paraId="174F7018" w14:textId="77777777" w:rsidTr="008E4151">
        <w:trPr>
          <w:tblCellSpacing w:w="0" w:type="dxa"/>
        </w:trPr>
        <w:tc>
          <w:tcPr>
            <w:tcW w:w="4708" w:type="dxa"/>
            <w:vAlign w:val="center"/>
            <w:hideMark/>
          </w:tcPr>
          <w:p w14:paraId="208C1B2D" w14:textId="77777777" w:rsidR="002E4D4F" w:rsidRPr="00CD2E4B" w:rsidRDefault="002E4D4F" w:rsidP="00484323">
            <w:pPr>
              <w:spacing w:before="0"/>
              <w:contextualSpacing/>
              <w:mirrorIndents/>
              <w:rPr>
                <w:sz w:val="18"/>
                <w:szCs w:val="18"/>
              </w:rPr>
            </w:pPr>
            <w:r w:rsidRPr="00CD2E4B">
              <w:rPr>
                <w:sz w:val="18"/>
                <w:szCs w:val="18"/>
              </w:rPr>
              <w:t>Eigenkapital</w:t>
            </w:r>
          </w:p>
        </w:tc>
        <w:tc>
          <w:tcPr>
            <w:tcW w:w="1559" w:type="dxa"/>
            <w:vAlign w:val="center"/>
            <w:hideMark/>
          </w:tcPr>
          <w:p w14:paraId="39FB3DFA" w14:textId="77777777" w:rsidR="002E4D4F" w:rsidRPr="00CD2E4B" w:rsidRDefault="002E4D4F" w:rsidP="00E82B21">
            <w:pPr>
              <w:spacing w:before="0"/>
              <w:contextualSpacing/>
              <w:mirrorIndents/>
              <w:jc w:val="right"/>
              <w:rPr>
                <w:sz w:val="18"/>
                <w:szCs w:val="18"/>
              </w:rPr>
            </w:pPr>
            <w:r w:rsidRPr="00CD2E4B">
              <w:rPr>
                <w:sz w:val="18"/>
                <w:szCs w:val="18"/>
              </w:rPr>
              <w:t>33,2</w:t>
            </w:r>
          </w:p>
        </w:tc>
        <w:tc>
          <w:tcPr>
            <w:tcW w:w="1388" w:type="dxa"/>
            <w:vAlign w:val="center"/>
            <w:hideMark/>
          </w:tcPr>
          <w:p w14:paraId="7685753C" w14:textId="77777777" w:rsidR="002E4D4F" w:rsidRPr="00CD2E4B" w:rsidRDefault="002E4D4F" w:rsidP="00E82B21">
            <w:pPr>
              <w:spacing w:before="0"/>
              <w:contextualSpacing/>
              <w:mirrorIndents/>
              <w:jc w:val="right"/>
              <w:rPr>
                <w:sz w:val="18"/>
                <w:szCs w:val="18"/>
              </w:rPr>
            </w:pPr>
            <w:r w:rsidRPr="00CD2E4B">
              <w:rPr>
                <w:sz w:val="18"/>
                <w:szCs w:val="18"/>
              </w:rPr>
              <w:t>33,2</w:t>
            </w:r>
          </w:p>
        </w:tc>
        <w:tc>
          <w:tcPr>
            <w:tcW w:w="1447" w:type="dxa"/>
            <w:vAlign w:val="center"/>
            <w:hideMark/>
          </w:tcPr>
          <w:p w14:paraId="78EF81B2" w14:textId="77777777" w:rsidR="002E4D4F" w:rsidRPr="00CD2E4B" w:rsidRDefault="002E4D4F" w:rsidP="00E82B21">
            <w:pPr>
              <w:spacing w:before="0"/>
              <w:contextualSpacing/>
              <w:mirrorIndents/>
              <w:jc w:val="right"/>
              <w:rPr>
                <w:sz w:val="18"/>
                <w:szCs w:val="18"/>
              </w:rPr>
            </w:pPr>
            <w:r w:rsidRPr="00CD2E4B">
              <w:rPr>
                <w:sz w:val="18"/>
                <w:szCs w:val="18"/>
              </w:rPr>
              <w:t>0,0</w:t>
            </w:r>
          </w:p>
        </w:tc>
      </w:tr>
      <w:tr w:rsidR="002E4D4F" w:rsidRPr="00CD2E4B" w14:paraId="2B588F15" w14:textId="77777777" w:rsidTr="008E4151">
        <w:trPr>
          <w:tblCellSpacing w:w="0" w:type="dxa"/>
        </w:trPr>
        <w:tc>
          <w:tcPr>
            <w:tcW w:w="4708" w:type="dxa"/>
            <w:shd w:val="clear" w:color="auto" w:fill="F0F0F0"/>
            <w:vAlign w:val="center"/>
            <w:hideMark/>
          </w:tcPr>
          <w:p w14:paraId="5D8C07E2" w14:textId="77777777" w:rsidR="002E4D4F" w:rsidRPr="00CD2E4B" w:rsidRDefault="002E4D4F" w:rsidP="00484323">
            <w:pPr>
              <w:spacing w:before="0"/>
              <w:contextualSpacing/>
              <w:mirrorIndents/>
              <w:rPr>
                <w:sz w:val="18"/>
                <w:szCs w:val="18"/>
              </w:rPr>
            </w:pPr>
            <w:r w:rsidRPr="00CD2E4B">
              <w:rPr>
                <w:sz w:val="18"/>
                <w:szCs w:val="18"/>
              </w:rPr>
              <w:t>Rückstellungen</w:t>
            </w:r>
          </w:p>
        </w:tc>
        <w:tc>
          <w:tcPr>
            <w:tcW w:w="1559" w:type="dxa"/>
            <w:shd w:val="clear" w:color="auto" w:fill="F0F0F0"/>
            <w:vAlign w:val="center"/>
            <w:hideMark/>
          </w:tcPr>
          <w:p w14:paraId="601747A9" w14:textId="77777777" w:rsidR="002E4D4F" w:rsidRPr="00CD2E4B" w:rsidRDefault="002E4D4F" w:rsidP="00E82B21">
            <w:pPr>
              <w:spacing w:before="0"/>
              <w:contextualSpacing/>
              <w:mirrorIndents/>
              <w:jc w:val="right"/>
              <w:rPr>
                <w:sz w:val="18"/>
                <w:szCs w:val="18"/>
              </w:rPr>
            </w:pPr>
            <w:r w:rsidRPr="00CD2E4B">
              <w:rPr>
                <w:sz w:val="18"/>
                <w:szCs w:val="18"/>
              </w:rPr>
              <w:t>36,1</w:t>
            </w:r>
          </w:p>
        </w:tc>
        <w:tc>
          <w:tcPr>
            <w:tcW w:w="1388" w:type="dxa"/>
            <w:shd w:val="clear" w:color="auto" w:fill="F0F0F0"/>
            <w:vAlign w:val="center"/>
            <w:hideMark/>
          </w:tcPr>
          <w:p w14:paraId="78250112" w14:textId="77777777" w:rsidR="002E4D4F" w:rsidRPr="00CD2E4B" w:rsidRDefault="002E4D4F" w:rsidP="00E82B21">
            <w:pPr>
              <w:spacing w:before="0"/>
              <w:contextualSpacing/>
              <w:mirrorIndents/>
              <w:jc w:val="right"/>
              <w:rPr>
                <w:sz w:val="18"/>
                <w:szCs w:val="18"/>
              </w:rPr>
            </w:pPr>
            <w:r w:rsidRPr="00CD2E4B">
              <w:rPr>
                <w:sz w:val="18"/>
                <w:szCs w:val="18"/>
              </w:rPr>
              <w:t>32,9</w:t>
            </w:r>
          </w:p>
        </w:tc>
        <w:tc>
          <w:tcPr>
            <w:tcW w:w="1447" w:type="dxa"/>
            <w:shd w:val="clear" w:color="auto" w:fill="F0F0F0"/>
            <w:vAlign w:val="center"/>
            <w:hideMark/>
          </w:tcPr>
          <w:p w14:paraId="3EA71835" w14:textId="77777777" w:rsidR="002E4D4F" w:rsidRPr="00CD2E4B" w:rsidRDefault="002E4D4F" w:rsidP="00E82B21">
            <w:pPr>
              <w:spacing w:before="0"/>
              <w:contextualSpacing/>
              <w:mirrorIndents/>
              <w:jc w:val="right"/>
              <w:rPr>
                <w:sz w:val="18"/>
                <w:szCs w:val="18"/>
              </w:rPr>
            </w:pPr>
            <w:r w:rsidRPr="00CD2E4B">
              <w:rPr>
                <w:sz w:val="18"/>
                <w:szCs w:val="18"/>
              </w:rPr>
              <w:t>9,7</w:t>
            </w:r>
          </w:p>
        </w:tc>
      </w:tr>
      <w:tr w:rsidR="002E4D4F" w:rsidRPr="00CD2E4B" w14:paraId="5F132D25" w14:textId="77777777" w:rsidTr="008E4151">
        <w:trPr>
          <w:tblCellSpacing w:w="0" w:type="dxa"/>
        </w:trPr>
        <w:tc>
          <w:tcPr>
            <w:tcW w:w="4708" w:type="dxa"/>
            <w:vAlign w:val="center"/>
            <w:hideMark/>
          </w:tcPr>
          <w:p w14:paraId="7F75ECB2" w14:textId="77777777" w:rsidR="002E4D4F" w:rsidRPr="00CD2E4B" w:rsidRDefault="002E4D4F" w:rsidP="00484323">
            <w:pPr>
              <w:spacing w:before="0"/>
              <w:contextualSpacing/>
              <w:mirrorIndents/>
              <w:rPr>
                <w:sz w:val="18"/>
                <w:szCs w:val="18"/>
              </w:rPr>
            </w:pPr>
            <w:r w:rsidRPr="00CD2E4B">
              <w:rPr>
                <w:sz w:val="18"/>
                <w:szCs w:val="18"/>
              </w:rPr>
              <w:t>Verbindlichkeiten</w:t>
            </w:r>
          </w:p>
        </w:tc>
        <w:tc>
          <w:tcPr>
            <w:tcW w:w="1559" w:type="dxa"/>
            <w:vAlign w:val="center"/>
            <w:hideMark/>
          </w:tcPr>
          <w:p w14:paraId="6A066139" w14:textId="77777777" w:rsidR="002E4D4F" w:rsidRPr="00CD2E4B" w:rsidRDefault="002E4D4F" w:rsidP="00E82B21">
            <w:pPr>
              <w:spacing w:before="0"/>
              <w:contextualSpacing/>
              <w:mirrorIndents/>
              <w:jc w:val="right"/>
              <w:rPr>
                <w:sz w:val="18"/>
                <w:szCs w:val="18"/>
              </w:rPr>
            </w:pPr>
            <w:r w:rsidRPr="00CD2E4B">
              <w:rPr>
                <w:sz w:val="18"/>
                <w:szCs w:val="18"/>
              </w:rPr>
              <w:t>117,5</w:t>
            </w:r>
          </w:p>
        </w:tc>
        <w:tc>
          <w:tcPr>
            <w:tcW w:w="1388" w:type="dxa"/>
            <w:vAlign w:val="center"/>
            <w:hideMark/>
          </w:tcPr>
          <w:p w14:paraId="11CCAB97" w14:textId="77777777" w:rsidR="002E4D4F" w:rsidRPr="00CD2E4B" w:rsidRDefault="002E4D4F" w:rsidP="00E82B21">
            <w:pPr>
              <w:spacing w:before="0"/>
              <w:contextualSpacing/>
              <w:mirrorIndents/>
              <w:jc w:val="right"/>
              <w:rPr>
                <w:sz w:val="18"/>
                <w:szCs w:val="18"/>
              </w:rPr>
            </w:pPr>
            <w:r w:rsidRPr="00CD2E4B">
              <w:rPr>
                <w:sz w:val="18"/>
                <w:szCs w:val="18"/>
              </w:rPr>
              <w:t>128,5</w:t>
            </w:r>
          </w:p>
        </w:tc>
        <w:tc>
          <w:tcPr>
            <w:tcW w:w="1447" w:type="dxa"/>
            <w:vAlign w:val="center"/>
            <w:hideMark/>
          </w:tcPr>
          <w:p w14:paraId="73DF7833" w14:textId="77777777" w:rsidR="002E4D4F" w:rsidRPr="00CD2E4B" w:rsidRDefault="002E4D4F" w:rsidP="00E82B21">
            <w:pPr>
              <w:spacing w:before="0"/>
              <w:contextualSpacing/>
              <w:mirrorIndents/>
              <w:jc w:val="right"/>
              <w:rPr>
                <w:sz w:val="18"/>
                <w:szCs w:val="18"/>
              </w:rPr>
            </w:pPr>
            <w:r w:rsidRPr="00CD2E4B">
              <w:rPr>
                <w:sz w:val="18"/>
                <w:szCs w:val="18"/>
              </w:rPr>
              <w:t>-8,6</w:t>
            </w:r>
          </w:p>
        </w:tc>
      </w:tr>
      <w:tr w:rsidR="002E4D4F" w:rsidRPr="00CD2E4B" w14:paraId="54F5D0BC" w14:textId="77777777" w:rsidTr="008E4151">
        <w:trPr>
          <w:tblCellSpacing w:w="0" w:type="dxa"/>
        </w:trPr>
        <w:tc>
          <w:tcPr>
            <w:tcW w:w="4708" w:type="dxa"/>
            <w:shd w:val="clear" w:color="auto" w:fill="F0F0F0"/>
            <w:vAlign w:val="center"/>
            <w:hideMark/>
          </w:tcPr>
          <w:p w14:paraId="7DB7BE94" w14:textId="77777777" w:rsidR="002E4D4F" w:rsidRPr="00CD2E4B" w:rsidRDefault="002E4D4F" w:rsidP="00484323">
            <w:pPr>
              <w:spacing w:before="0"/>
              <w:contextualSpacing/>
              <w:mirrorIndents/>
              <w:rPr>
                <w:sz w:val="18"/>
                <w:szCs w:val="18"/>
              </w:rPr>
            </w:pPr>
            <w:r w:rsidRPr="00CD2E4B">
              <w:rPr>
                <w:sz w:val="18"/>
                <w:szCs w:val="18"/>
              </w:rPr>
              <w:t>Bilanzsumme</w:t>
            </w:r>
          </w:p>
        </w:tc>
        <w:tc>
          <w:tcPr>
            <w:tcW w:w="1559" w:type="dxa"/>
            <w:shd w:val="clear" w:color="auto" w:fill="F0F0F0"/>
            <w:vAlign w:val="center"/>
            <w:hideMark/>
          </w:tcPr>
          <w:p w14:paraId="0D172150" w14:textId="77777777" w:rsidR="002E4D4F" w:rsidRPr="00CD2E4B" w:rsidRDefault="002E4D4F" w:rsidP="00E82B21">
            <w:pPr>
              <w:spacing w:before="0"/>
              <w:contextualSpacing/>
              <w:mirrorIndents/>
              <w:jc w:val="right"/>
              <w:rPr>
                <w:sz w:val="18"/>
                <w:szCs w:val="18"/>
              </w:rPr>
            </w:pPr>
            <w:r w:rsidRPr="00CD2E4B">
              <w:rPr>
                <w:sz w:val="18"/>
                <w:szCs w:val="18"/>
              </w:rPr>
              <w:t>186,8</w:t>
            </w:r>
          </w:p>
        </w:tc>
        <w:tc>
          <w:tcPr>
            <w:tcW w:w="1388" w:type="dxa"/>
            <w:shd w:val="clear" w:color="auto" w:fill="F0F0F0"/>
            <w:vAlign w:val="center"/>
            <w:hideMark/>
          </w:tcPr>
          <w:p w14:paraId="4B65C31E" w14:textId="77777777" w:rsidR="002E4D4F" w:rsidRPr="00CD2E4B" w:rsidRDefault="002E4D4F" w:rsidP="00E82B21">
            <w:pPr>
              <w:spacing w:before="0"/>
              <w:contextualSpacing/>
              <w:mirrorIndents/>
              <w:jc w:val="right"/>
              <w:rPr>
                <w:sz w:val="18"/>
                <w:szCs w:val="18"/>
              </w:rPr>
            </w:pPr>
            <w:r w:rsidRPr="00CD2E4B">
              <w:rPr>
                <w:sz w:val="18"/>
                <w:szCs w:val="18"/>
              </w:rPr>
              <w:t>194,6</w:t>
            </w:r>
          </w:p>
        </w:tc>
        <w:tc>
          <w:tcPr>
            <w:tcW w:w="1447" w:type="dxa"/>
            <w:shd w:val="clear" w:color="auto" w:fill="F0F0F0"/>
            <w:vAlign w:val="center"/>
            <w:hideMark/>
          </w:tcPr>
          <w:p w14:paraId="19FB3390" w14:textId="77777777" w:rsidR="002E4D4F" w:rsidRPr="00CD2E4B" w:rsidRDefault="002E4D4F" w:rsidP="00E82B21">
            <w:pPr>
              <w:spacing w:before="0"/>
              <w:contextualSpacing/>
              <w:mirrorIndents/>
              <w:jc w:val="right"/>
              <w:rPr>
                <w:sz w:val="18"/>
                <w:szCs w:val="18"/>
              </w:rPr>
            </w:pPr>
            <w:r w:rsidRPr="00CD2E4B">
              <w:rPr>
                <w:sz w:val="18"/>
                <w:szCs w:val="18"/>
              </w:rPr>
              <w:t>-4,0</w:t>
            </w:r>
          </w:p>
        </w:tc>
      </w:tr>
    </w:tbl>
    <w:p w14:paraId="6BD9EFC2" w14:textId="77777777" w:rsidR="00215211" w:rsidRPr="00CD2E4B" w:rsidRDefault="00215211" w:rsidP="00484323">
      <w:pPr>
        <w:spacing w:before="0"/>
        <w:contextualSpacing/>
        <w:mirrorIndents/>
        <w:rPr>
          <w:sz w:val="18"/>
          <w:szCs w:val="18"/>
        </w:rPr>
      </w:pPr>
    </w:p>
    <w:p w14:paraId="7555A9B0" w14:textId="22CFC8E9" w:rsidR="002E4D4F" w:rsidRPr="00CD2E4B" w:rsidRDefault="002E4D4F" w:rsidP="00484323">
      <w:pPr>
        <w:spacing w:before="0"/>
        <w:contextualSpacing/>
        <w:mirrorIndents/>
        <w:rPr>
          <w:sz w:val="18"/>
          <w:szCs w:val="18"/>
        </w:rPr>
      </w:pPr>
      <w:r w:rsidRPr="00CD2E4B">
        <w:rPr>
          <w:sz w:val="18"/>
          <w:szCs w:val="18"/>
        </w:rPr>
        <w:t>Die Vermögens- und Kapitalstruktur hat sich bei der EUROVIA Verkehrsbau GmbH gegenüber dem Vorjahr leicht verringert. Die Bilanzsumme reduzierte sich zum 31. Dezember 2022 von Mio. EUR 194,6 auf Mio. EUR 186,8. Die Reduzierung resultiert auf der Aktivseite im Wesentlichen aus der Abnahme der Forderungen gegen die Gesellschafterin VINCI Construction GmbH aus dem Cash-Pooling aufgrund der geringeren Finanzierung. Auf der Passivseite haben sich insbesondere die Verbindlichkeiten gegenüber Arbeitsgemeinschaften, reduziert.</w:t>
      </w:r>
    </w:p>
    <w:p w14:paraId="185B479F" w14:textId="77777777" w:rsidR="00215211" w:rsidRPr="00CD2E4B" w:rsidRDefault="00215211" w:rsidP="00484323">
      <w:pPr>
        <w:spacing w:before="0"/>
        <w:contextualSpacing/>
        <w:mirrorIndents/>
        <w:rPr>
          <w:sz w:val="18"/>
          <w:szCs w:val="18"/>
        </w:rPr>
      </w:pPr>
    </w:p>
    <w:p w14:paraId="725BCCA1" w14:textId="00D7625A" w:rsidR="002E4D4F" w:rsidRPr="00CD2E4B" w:rsidRDefault="002E4D4F" w:rsidP="00484323">
      <w:pPr>
        <w:spacing w:before="0"/>
        <w:contextualSpacing/>
        <w:mirrorIndents/>
        <w:rPr>
          <w:sz w:val="18"/>
          <w:szCs w:val="18"/>
        </w:rPr>
      </w:pPr>
      <w:r w:rsidRPr="00CD2E4B">
        <w:rPr>
          <w:sz w:val="18"/>
          <w:szCs w:val="18"/>
        </w:rPr>
        <w:t>Die EUROVIA Verkehrsbau GmbH hat im Geschäftsjahr 2022 Mio. EUR 6,7 (Vorjahr: Mio. EUR 3,1) in Sachanlagen investiert.</w:t>
      </w:r>
    </w:p>
    <w:p w14:paraId="61E4C406" w14:textId="77777777" w:rsidR="00215211" w:rsidRPr="00CD2E4B" w:rsidRDefault="00215211" w:rsidP="00484323">
      <w:pPr>
        <w:spacing w:before="0"/>
        <w:contextualSpacing/>
        <w:mirrorIndents/>
        <w:rPr>
          <w:sz w:val="18"/>
          <w:szCs w:val="18"/>
        </w:rPr>
      </w:pPr>
    </w:p>
    <w:p w14:paraId="46C63AE4" w14:textId="20411644" w:rsidR="002E4D4F" w:rsidRPr="00CD2E4B" w:rsidRDefault="002E4D4F" w:rsidP="00484323">
      <w:pPr>
        <w:spacing w:before="0"/>
        <w:contextualSpacing/>
        <w:mirrorIndents/>
        <w:rPr>
          <w:sz w:val="18"/>
          <w:szCs w:val="18"/>
        </w:rPr>
      </w:pPr>
      <w:r w:rsidRPr="00CD2E4B">
        <w:rPr>
          <w:sz w:val="18"/>
          <w:szCs w:val="18"/>
        </w:rPr>
        <w:t>Im Straßenbaubereich werden - wie auch in den vergangenen Geschäftsjahren - zusätzlich Baumaschinen und Geräte zur Abdeckung des Maschinenbedarfs auf den Baustellen angemietet.</w:t>
      </w:r>
    </w:p>
    <w:p w14:paraId="7BFFE5D9" w14:textId="77777777" w:rsidR="00215211" w:rsidRPr="00CD2E4B" w:rsidRDefault="00215211" w:rsidP="00484323">
      <w:pPr>
        <w:spacing w:before="0"/>
        <w:contextualSpacing/>
        <w:mirrorIndents/>
        <w:rPr>
          <w:sz w:val="18"/>
          <w:szCs w:val="18"/>
        </w:rPr>
      </w:pPr>
    </w:p>
    <w:p w14:paraId="3DCE2727" w14:textId="2321AA0C" w:rsidR="002E4D4F" w:rsidRPr="00CD2E4B" w:rsidRDefault="002E4D4F" w:rsidP="00484323">
      <w:pPr>
        <w:spacing w:before="0"/>
        <w:contextualSpacing/>
        <w:mirrorIndents/>
        <w:rPr>
          <w:sz w:val="18"/>
          <w:szCs w:val="18"/>
        </w:rPr>
      </w:pPr>
      <w:r w:rsidRPr="00CD2E4B">
        <w:rPr>
          <w:sz w:val="18"/>
          <w:szCs w:val="18"/>
        </w:rPr>
        <w:t>Das Anlagevermögen ist wie im Vorjahr vollständig durch Eigenkapital finanziert. Das Verhältnis von Umlaufvermögen zu kurzfristigem Fremdkapital betrug am Bilanzstichtag 105,6 % (Vorjahr: 106,9 %).</w:t>
      </w:r>
    </w:p>
    <w:p w14:paraId="5D855DB5" w14:textId="77777777" w:rsidR="00215211" w:rsidRPr="00CD2E4B" w:rsidRDefault="00215211" w:rsidP="00484323">
      <w:pPr>
        <w:spacing w:before="0"/>
        <w:contextualSpacing/>
        <w:mirrorIndents/>
        <w:rPr>
          <w:sz w:val="18"/>
          <w:szCs w:val="18"/>
        </w:rPr>
      </w:pPr>
    </w:p>
    <w:p w14:paraId="28C0D358" w14:textId="6068D04E" w:rsidR="002E4D4F" w:rsidRPr="00566DD2" w:rsidRDefault="002E4D4F" w:rsidP="00484323">
      <w:pPr>
        <w:spacing w:before="0"/>
        <w:contextualSpacing/>
        <w:mirrorIndents/>
        <w:rPr>
          <w:spacing w:val="-4"/>
          <w:sz w:val="18"/>
          <w:szCs w:val="18"/>
        </w:rPr>
      </w:pPr>
      <w:r w:rsidRPr="00566DD2">
        <w:rPr>
          <w:spacing w:val="-4"/>
          <w:sz w:val="18"/>
          <w:szCs w:val="18"/>
        </w:rPr>
        <w:t>Die Eigenkapitalquote erhöhte sich vor dem Hintergrund der geringeren Bilanzsumme von 17,1 % auf 17,8 %.</w:t>
      </w:r>
    </w:p>
    <w:p w14:paraId="300C1B3A" w14:textId="77777777" w:rsidR="00215211" w:rsidRPr="00CD2E4B" w:rsidRDefault="00215211" w:rsidP="00484323">
      <w:pPr>
        <w:spacing w:before="0"/>
        <w:contextualSpacing/>
        <w:mirrorIndents/>
        <w:rPr>
          <w:sz w:val="18"/>
          <w:szCs w:val="18"/>
        </w:rPr>
      </w:pPr>
    </w:p>
    <w:p w14:paraId="08789816" w14:textId="5B7D4035" w:rsidR="002E4D4F" w:rsidRPr="00CD2E4B" w:rsidRDefault="002E4D4F" w:rsidP="00484323">
      <w:pPr>
        <w:spacing w:before="0"/>
        <w:contextualSpacing/>
        <w:mirrorIndents/>
        <w:rPr>
          <w:sz w:val="18"/>
          <w:szCs w:val="18"/>
        </w:rPr>
      </w:pPr>
      <w:r w:rsidRPr="00CD2E4B">
        <w:rPr>
          <w:sz w:val="18"/>
          <w:szCs w:val="18"/>
        </w:rPr>
        <w:t>Der Finanzmittelfonds (Mio. EUR 106,8), bestehend aus Cash-Pool-Forderungen gegen die VINCI Construction GmbH sowie liquiden Mitteln abzüglich Cash-Pool-Verbindlichkeiten gegen Tochtergesellschaften, hat sich gegenüber dem Vorjahresstichtag (Mio. EUR 128,6) verringert.</w:t>
      </w:r>
    </w:p>
    <w:p w14:paraId="6F151DAC" w14:textId="77777777" w:rsidR="00215211" w:rsidRPr="00CD2E4B" w:rsidRDefault="00215211" w:rsidP="00484323">
      <w:pPr>
        <w:spacing w:before="0"/>
        <w:contextualSpacing/>
        <w:mirrorIndents/>
        <w:rPr>
          <w:sz w:val="18"/>
          <w:szCs w:val="18"/>
        </w:rPr>
      </w:pPr>
    </w:p>
    <w:p w14:paraId="156F318D" w14:textId="18204952" w:rsidR="002E4D4F" w:rsidRPr="00CD2E4B" w:rsidRDefault="002E4D4F" w:rsidP="00484323">
      <w:pPr>
        <w:spacing w:before="0"/>
        <w:contextualSpacing/>
        <w:mirrorIndents/>
        <w:rPr>
          <w:sz w:val="18"/>
          <w:szCs w:val="18"/>
        </w:rPr>
      </w:pPr>
      <w:r w:rsidRPr="00CD2E4B">
        <w:rPr>
          <w:sz w:val="18"/>
          <w:szCs w:val="18"/>
        </w:rPr>
        <w:t>Es ergibt sich insgesamt ein Mittelzufluss aus laufender Geschäftstätigkeit in Höhe von Mio. EUR 4,5 gegenüber einem Mittelzufluss von Mio. EUR 47,6 im Vorjahr. Bei einem Mittelabfluss aus der Investitionstätigkeit von insgesamt Mio. EUR 6,4 (Vorjahr: Mio. EUR 3,0) ergab sich unter Berücksichtigung der Ergebnisübernahme per Saldo eine Abnahme des Finanzmittelfonds um Mio. EUR 21,9 (Vorjahr: Zunahme um Mio. EUR 24,5) zum Bilanzstichtag.</w:t>
      </w:r>
    </w:p>
    <w:p w14:paraId="29A98FC1" w14:textId="77777777" w:rsidR="00215211" w:rsidRPr="00CD2E4B" w:rsidRDefault="00215211" w:rsidP="00484323">
      <w:pPr>
        <w:spacing w:before="0"/>
        <w:contextualSpacing/>
        <w:mirrorIndents/>
        <w:rPr>
          <w:sz w:val="18"/>
          <w:szCs w:val="18"/>
        </w:rPr>
      </w:pPr>
    </w:p>
    <w:p w14:paraId="65CCB27B" w14:textId="68FCA518" w:rsidR="002E4D4F" w:rsidRPr="00CD2E4B" w:rsidRDefault="002E4D4F" w:rsidP="00484323">
      <w:pPr>
        <w:spacing w:before="0"/>
        <w:contextualSpacing/>
        <w:mirrorIndents/>
        <w:rPr>
          <w:sz w:val="18"/>
          <w:szCs w:val="18"/>
        </w:rPr>
      </w:pPr>
      <w:r w:rsidRPr="00CD2E4B">
        <w:rPr>
          <w:sz w:val="18"/>
          <w:szCs w:val="18"/>
        </w:rPr>
        <w:t>Das Nettoumlaufvermögen hat sich im Geschäftsjahr verringert und ist mit Mio. EUR 8,2 (Vorjahr: Mio. EUR 11,0) positiv.</w:t>
      </w:r>
    </w:p>
    <w:p w14:paraId="3F567C96" w14:textId="77777777" w:rsidR="00215211" w:rsidRPr="00CD2E4B" w:rsidRDefault="00215211" w:rsidP="00484323">
      <w:pPr>
        <w:spacing w:before="0"/>
        <w:contextualSpacing/>
        <w:mirrorIndents/>
        <w:rPr>
          <w:sz w:val="18"/>
          <w:szCs w:val="18"/>
        </w:rPr>
      </w:pPr>
    </w:p>
    <w:p w14:paraId="78E804BA" w14:textId="73F64B6C" w:rsidR="002E4D4F" w:rsidRPr="00CD2E4B" w:rsidRDefault="002E4D4F" w:rsidP="00484323">
      <w:pPr>
        <w:spacing w:before="0"/>
        <w:contextualSpacing/>
        <w:mirrorIndents/>
        <w:rPr>
          <w:sz w:val="18"/>
          <w:szCs w:val="18"/>
        </w:rPr>
      </w:pPr>
      <w:r w:rsidRPr="00CD2E4B">
        <w:rPr>
          <w:sz w:val="18"/>
          <w:szCs w:val="18"/>
        </w:rPr>
        <w:t>Mit der VINCI Construction GmbH als so genanntem Pool-</w:t>
      </w:r>
      <w:proofErr w:type="spellStart"/>
      <w:r w:rsidRPr="00CD2E4B">
        <w:rPr>
          <w:sz w:val="18"/>
          <w:szCs w:val="18"/>
        </w:rPr>
        <w:t>Centralisateur</w:t>
      </w:r>
      <w:proofErr w:type="spellEnd"/>
      <w:r w:rsidRPr="00CD2E4B">
        <w:rPr>
          <w:sz w:val="18"/>
          <w:szCs w:val="18"/>
        </w:rPr>
        <w:t xml:space="preserve"> ist ein Cash-Pool-Vertrag geschlossen. Nach diesem Vertrag sind flüssige Mittel grundsätzlich dem Pool zur Verfügung zu stellen; vorhandene Deckungslücken werden vom Pool finanziert. Die Pool-Konten werden aus unserer Sicht angemessen verzinst.</w:t>
      </w:r>
    </w:p>
    <w:p w14:paraId="4AB872A2" w14:textId="77777777" w:rsidR="00215211" w:rsidRPr="00CD2E4B" w:rsidRDefault="00215211" w:rsidP="00484323">
      <w:pPr>
        <w:spacing w:before="0"/>
        <w:contextualSpacing/>
        <w:mirrorIndents/>
        <w:rPr>
          <w:sz w:val="18"/>
          <w:szCs w:val="18"/>
        </w:rPr>
      </w:pPr>
    </w:p>
    <w:p w14:paraId="780A50EC" w14:textId="77777777" w:rsidR="002E4D4F" w:rsidRPr="00CD2E4B" w:rsidRDefault="002E4D4F" w:rsidP="00484323">
      <w:pPr>
        <w:spacing w:before="0"/>
        <w:contextualSpacing/>
        <w:mirrorIndents/>
        <w:rPr>
          <w:sz w:val="18"/>
          <w:szCs w:val="18"/>
        </w:rPr>
      </w:pPr>
      <w:r w:rsidRPr="00CD2E4B">
        <w:rPr>
          <w:sz w:val="18"/>
          <w:szCs w:val="18"/>
        </w:rPr>
        <w:t>Die EUROVIA Verkehrsbau GmbH ist über ihre Muttergesellschaften, die VINCI Construction GmbH, Berlin, sowie deren 100%ige Gesellschafter, die VINCI Deutschland GmbH, Berlin, in den Konzernverbund der VINCI S.A., Frankreich, einbezogen. Die Gesellschaft ist von der Verfügbarkeit der bereits in den Cash-Pool eingespeisten finanziellen Mittel abhängig. Die Geschäftsführung, die regelmäßig in Form von Besprechungen über die Situation der VINCI-Gruppe informiert wird, geht unter anderem auf Basis des letzten veröffentlichten Konzernabschlusses davon aus, dass die VINCI-Gruppe über die finanziellen Mittel verfügt, die die ausgewiesenen Forderungen gegen den Gesellschafter sichern. Die Geschäfts</w:t>
      </w:r>
      <w:r w:rsidRPr="00CD2E4B">
        <w:rPr>
          <w:sz w:val="18"/>
          <w:szCs w:val="18"/>
        </w:rPr>
        <w:lastRenderedPageBreak/>
        <w:t>führung geht davon aus, dass diese Mittel auch zukünftig den deutschen Gesellschaften zur Verfügung gestellt werden.</w:t>
      </w:r>
    </w:p>
    <w:p w14:paraId="3ECF6997" w14:textId="56F93C4F" w:rsidR="002E4D4F" w:rsidRPr="00CD2E4B" w:rsidRDefault="002E4D4F" w:rsidP="00484323">
      <w:pPr>
        <w:spacing w:before="0"/>
        <w:contextualSpacing/>
        <w:mirrorIndents/>
        <w:jc w:val="center"/>
        <w:outlineLvl w:val="3"/>
        <w:rPr>
          <w:b/>
          <w:bCs/>
          <w:sz w:val="18"/>
          <w:szCs w:val="18"/>
        </w:rPr>
      </w:pPr>
      <w:r w:rsidRPr="00CD2E4B">
        <w:rPr>
          <w:b/>
          <w:bCs/>
          <w:sz w:val="18"/>
          <w:szCs w:val="18"/>
        </w:rPr>
        <w:t>V. Mitarbeiter</w:t>
      </w:r>
    </w:p>
    <w:p w14:paraId="328B97AA" w14:textId="77777777" w:rsidR="00215211" w:rsidRPr="00CD2E4B" w:rsidRDefault="00215211" w:rsidP="00484323">
      <w:pPr>
        <w:spacing w:before="0"/>
        <w:contextualSpacing/>
        <w:mirrorIndents/>
        <w:jc w:val="center"/>
        <w:outlineLvl w:val="3"/>
        <w:rPr>
          <w:b/>
          <w:bCs/>
          <w:sz w:val="18"/>
          <w:szCs w:val="18"/>
        </w:rPr>
      </w:pPr>
    </w:p>
    <w:p w14:paraId="3612A970" w14:textId="54075D84" w:rsidR="002E4D4F" w:rsidRDefault="002E4D4F" w:rsidP="00484323">
      <w:pPr>
        <w:spacing w:before="0"/>
        <w:contextualSpacing/>
        <w:mirrorIndents/>
        <w:rPr>
          <w:sz w:val="18"/>
          <w:szCs w:val="18"/>
        </w:rPr>
      </w:pPr>
      <w:r w:rsidRPr="00CD2E4B">
        <w:rPr>
          <w:sz w:val="18"/>
          <w:szCs w:val="18"/>
        </w:rPr>
        <w:t>Zum Jahresende 2022 waren bei der EUROVIA Verkehrsbau GmbH 884 gewerbliche Arbeitnehmer (Vorjahr: 860) sowie 370 Angestellte und Poliere (Vorjahr: 379) und 122 Auszubildende (Vorjahr: 121) beschäftigt. Die Gesamtzahl der Mitarbeiter stieg per 31. Dezember 2022 im Vorjahresvergleich um 16 auf 1.376.</w:t>
      </w:r>
    </w:p>
    <w:p w14:paraId="399B7A74" w14:textId="77777777" w:rsidR="008E4151" w:rsidRPr="00CD2E4B" w:rsidRDefault="008E4151" w:rsidP="00484323">
      <w:pPr>
        <w:spacing w:before="0"/>
        <w:contextualSpacing/>
        <w:mirrorIndents/>
        <w:rPr>
          <w:sz w:val="18"/>
          <w:szCs w:val="18"/>
        </w:rPr>
      </w:pPr>
    </w:p>
    <w:p w14:paraId="04FAF087" w14:textId="1CB58464" w:rsidR="002E4D4F" w:rsidRDefault="002E4D4F" w:rsidP="00484323">
      <w:pPr>
        <w:spacing w:before="0"/>
        <w:contextualSpacing/>
        <w:mirrorIndents/>
        <w:rPr>
          <w:sz w:val="18"/>
          <w:szCs w:val="18"/>
        </w:rPr>
      </w:pPr>
      <w:r w:rsidRPr="00CD2E4B">
        <w:rPr>
          <w:sz w:val="18"/>
          <w:szCs w:val="18"/>
        </w:rPr>
        <w:t>Um die Qualifikation unserer Mitarbeiter den gestiegenen Anforderungen anzupassen, haben wir interne und externe Ausbildungs- und Schulungsmaßnahmen durchgeführt. Im Jahr 2022 sind durch Mitarbeiter der EUROVIA Verkehrsbau GmbH 18.758 Schulungsstunden belegt worden.</w:t>
      </w:r>
    </w:p>
    <w:p w14:paraId="7AA4B868" w14:textId="77777777" w:rsidR="008E4151" w:rsidRPr="00CD2E4B" w:rsidRDefault="008E4151" w:rsidP="00484323">
      <w:pPr>
        <w:spacing w:before="0"/>
        <w:contextualSpacing/>
        <w:mirrorIndents/>
        <w:rPr>
          <w:sz w:val="18"/>
          <w:szCs w:val="18"/>
        </w:rPr>
      </w:pPr>
    </w:p>
    <w:p w14:paraId="29EA1F6B" w14:textId="21128932" w:rsidR="002E4D4F" w:rsidRPr="00CD2E4B" w:rsidRDefault="002E4D4F" w:rsidP="00484323">
      <w:pPr>
        <w:spacing w:before="0"/>
        <w:contextualSpacing/>
        <w:mirrorIndents/>
        <w:rPr>
          <w:sz w:val="18"/>
          <w:szCs w:val="18"/>
        </w:rPr>
      </w:pPr>
      <w:r w:rsidRPr="00CD2E4B">
        <w:rPr>
          <w:sz w:val="18"/>
          <w:szCs w:val="18"/>
        </w:rPr>
        <w:t>Unseren Mitarbeitern danken wir an dieser Stelle für den außerordentlichen und erfolgreichen Einsatz.</w:t>
      </w:r>
    </w:p>
    <w:p w14:paraId="7B059DE6" w14:textId="77777777" w:rsidR="00E41BA7" w:rsidRDefault="00E41BA7" w:rsidP="00484323">
      <w:pPr>
        <w:spacing w:before="0"/>
        <w:contextualSpacing/>
        <w:mirrorIndents/>
        <w:jc w:val="center"/>
        <w:outlineLvl w:val="3"/>
        <w:rPr>
          <w:sz w:val="18"/>
          <w:szCs w:val="18"/>
        </w:rPr>
      </w:pPr>
    </w:p>
    <w:p w14:paraId="15C42470" w14:textId="35E3B0E2" w:rsidR="002E4D4F" w:rsidRPr="00CD2E4B" w:rsidRDefault="002E4D4F" w:rsidP="00484323">
      <w:pPr>
        <w:spacing w:before="0"/>
        <w:contextualSpacing/>
        <w:mirrorIndents/>
        <w:jc w:val="center"/>
        <w:outlineLvl w:val="3"/>
        <w:rPr>
          <w:b/>
          <w:bCs/>
          <w:sz w:val="18"/>
          <w:szCs w:val="18"/>
        </w:rPr>
      </w:pPr>
      <w:r w:rsidRPr="00CD2E4B">
        <w:rPr>
          <w:b/>
          <w:bCs/>
          <w:sz w:val="18"/>
          <w:szCs w:val="18"/>
        </w:rPr>
        <w:t>VI. Erklärung zur Unternehmensführung (§ 289f HGB)</w:t>
      </w:r>
    </w:p>
    <w:p w14:paraId="0CD2F3A6" w14:textId="77777777" w:rsidR="00215211" w:rsidRPr="00CD2E4B" w:rsidRDefault="00215211" w:rsidP="00484323">
      <w:pPr>
        <w:spacing w:before="0"/>
        <w:contextualSpacing/>
        <w:mirrorIndents/>
        <w:jc w:val="center"/>
        <w:outlineLvl w:val="3"/>
        <w:rPr>
          <w:b/>
          <w:bCs/>
          <w:sz w:val="18"/>
          <w:szCs w:val="18"/>
        </w:rPr>
      </w:pPr>
    </w:p>
    <w:p w14:paraId="20B6AAFD" w14:textId="285A34E5" w:rsidR="002E4D4F" w:rsidRPr="00CD2E4B" w:rsidRDefault="002E4D4F" w:rsidP="00484323">
      <w:pPr>
        <w:spacing w:before="0"/>
        <w:contextualSpacing/>
        <w:mirrorIndents/>
        <w:rPr>
          <w:sz w:val="18"/>
          <w:szCs w:val="18"/>
        </w:rPr>
      </w:pPr>
      <w:r w:rsidRPr="00CD2E4B">
        <w:rPr>
          <w:sz w:val="18"/>
          <w:szCs w:val="18"/>
        </w:rPr>
        <w:t>Im Geschäftsjahr 2021 ist durch die Geschäftsführung der VINCI Construction GmbH beschlossen worden, dass für die oberste Führungsebene der EUROVIA eine Zielquote von einer Frau (12,5 %) und für die darunterliegende Ebene eine Zielquote von vier Frauen (26,6 %) festgelegt wird. Bei zukünftigen Neubesetzungen soll ein Augenmerk auf die Einstellung von Frauen gelegt werden. Im Geschäftsjahr 2022 wird für die oberste Führungsebene ein Frauenanteil von 16,7 % (eine Frau) und für die darunterliegende Ebene ein Wert von 22,2 % (vier Frauen) erzielt.</w:t>
      </w:r>
    </w:p>
    <w:p w14:paraId="27AC09A3" w14:textId="77777777" w:rsidR="00215211" w:rsidRPr="00CD2E4B" w:rsidRDefault="00215211" w:rsidP="00484323">
      <w:pPr>
        <w:spacing w:before="0"/>
        <w:contextualSpacing/>
        <w:mirrorIndents/>
        <w:rPr>
          <w:sz w:val="18"/>
          <w:szCs w:val="18"/>
        </w:rPr>
      </w:pPr>
    </w:p>
    <w:p w14:paraId="1ACA7EA2" w14:textId="13D9E3B3" w:rsidR="002E4D4F" w:rsidRPr="00CD2E4B" w:rsidRDefault="002E4D4F" w:rsidP="00484323">
      <w:pPr>
        <w:spacing w:before="0"/>
        <w:contextualSpacing/>
        <w:mirrorIndents/>
        <w:jc w:val="center"/>
        <w:outlineLvl w:val="3"/>
        <w:rPr>
          <w:b/>
          <w:bCs/>
          <w:sz w:val="18"/>
          <w:szCs w:val="18"/>
        </w:rPr>
      </w:pPr>
      <w:r w:rsidRPr="00CD2E4B">
        <w:rPr>
          <w:b/>
          <w:bCs/>
          <w:sz w:val="18"/>
          <w:szCs w:val="18"/>
        </w:rPr>
        <w:t>VII. Risikomanagement</w:t>
      </w:r>
    </w:p>
    <w:p w14:paraId="29010CF1" w14:textId="77777777" w:rsidR="00215211" w:rsidRPr="00CD2E4B" w:rsidRDefault="00215211" w:rsidP="00484323">
      <w:pPr>
        <w:spacing w:before="0"/>
        <w:contextualSpacing/>
        <w:mirrorIndents/>
        <w:jc w:val="center"/>
        <w:outlineLvl w:val="3"/>
        <w:rPr>
          <w:b/>
          <w:bCs/>
          <w:sz w:val="18"/>
          <w:szCs w:val="18"/>
        </w:rPr>
      </w:pPr>
    </w:p>
    <w:p w14:paraId="6568D4B5" w14:textId="4F56D908" w:rsidR="002E4D4F" w:rsidRPr="00CD2E4B" w:rsidRDefault="002E4D4F" w:rsidP="00484323">
      <w:pPr>
        <w:spacing w:before="0"/>
        <w:contextualSpacing/>
        <w:mirrorIndents/>
        <w:rPr>
          <w:sz w:val="18"/>
          <w:szCs w:val="18"/>
        </w:rPr>
      </w:pPr>
      <w:r w:rsidRPr="00CD2E4B">
        <w:rPr>
          <w:sz w:val="18"/>
          <w:szCs w:val="18"/>
        </w:rPr>
        <w:t>Das bestehende Überwachungssystem zur Früherkennung möglicher bestandsgefährdender Risiken wird anforderungsgerecht angewendet. Der informationstechnologische Ausbau sowie die geplante Verknüpfung bereits vorhandener Überwachungs- und Kontrollinstrumente zu einem integrierten Risikomanagementsystem und die Aufnahme in das bestehende Berichtswesen der EUROVIA-Gruppe sollen der EUROVIA VERKEHRSBAU GMBH eine rechtzeitige Identifizierung von Frühwarnindikatoren ermöglichen. Die Dokumentation und Einbindung dieser in das Managementinformationssystem (</w:t>
      </w:r>
      <w:proofErr w:type="spellStart"/>
      <w:r w:rsidRPr="00CD2E4B">
        <w:rPr>
          <w:sz w:val="18"/>
          <w:szCs w:val="18"/>
        </w:rPr>
        <w:t>InfoView</w:t>
      </w:r>
      <w:proofErr w:type="spellEnd"/>
      <w:r w:rsidRPr="00CD2E4B">
        <w:rPr>
          <w:sz w:val="18"/>
          <w:szCs w:val="18"/>
        </w:rPr>
        <w:t>) für die Geschäftsführung gewährleisten somit eine strategische und operative Steuerung von Risiken.</w:t>
      </w:r>
    </w:p>
    <w:p w14:paraId="51D0F500" w14:textId="77777777" w:rsidR="00215211" w:rsidRPr="00CD2E4B" w:rsidRDefault="00215211" w:rsidP="00484323">
      <w:pPr>
        <w:spacing w:before="0"/>
        <w:contextualSpacing/>
        <w:mirrorIndents/>
        <w:rPr>
          <w:sz w:val="18"/>
          <w:szCs w:val="18"/>
        </w:rPr>
      </w:pPr>
    </w:p>
    <w:p w14:paraId="01B50504" w14:textId="5853ECD2" w:rsidR="002E4D4F" w:rsidRPr="00CD2E4B" w:rsidRDefault="002E4D4F" w:rsidP="00484323">
      <w:pPr>
        <w:spacing w:before="0"/>
        <w:contextualSpacing/>
        <w:mirrorIndents/>
        <w:rPr>
          <w:sz w:val="18"/>
          <w:szCs w:val="18"/>
        </w:rPr>
      </w:pPr>
      <w:r w:rsidRPr="00CD2E4B">
        <w:rPr>
          <w:sz w:val="18"/>
          <w:szCs w:val="18"/>
        </w:rPr>
        <w:t>Den betrieblichen Risiken (Risiken der Auftragsauswahl und der Auftragsabwicklung) wird durch die Überprüfung der Auftragsauswahl im Rahmen der Akquisition begegnet. Zustimmungspflichtige Geschäftsvorfälle werden von unseren Regionalleitern, der Geschäftsführung bzw. gruppeninternen Gremien entsprechend den internen Anforderungen analysiert und genehmigt. Die Auftragsabwicklung wird durch das Baustellenpersonal vor Ort gesteuert. Hierzu bedienen sie sich unserer Controlling-Instrumente, wie z.B. der Arbeitskalkulation, der Nachtragskalkulation und der Mengen-, Stunden- und Kosten-Soll-Ist-Vergleiche. Wesentliche Abweichungen werden in Zusammenarbeit mit den verantwortlichen Regionalcontrollern sowie Regionalleitern besprochen und entsprechende Maßnahmen ergriffen.</w:t>
      </w:r>
    </w:p>
    <w:p w14:paraId="26B11CBE" w14:textId="77777777" w:rsidR="00215211" w:rsidRPr="00CD2E4B" w:rsidRDefault="00215211" w:rsidP="00484323">
      <w:pPr>
        <w:spacing w:before="0"/>
        <w:contextualSpacing/>
        <w:mirrorIndents/>
        <w:rPr>
          <w:sz w:val="18"/>
          <w:szCs w:val="18"/>
        </w:rPr>
      </w:pPr>
    </w:p>
    <w:p w14:paraId="188E1517" w14:textId="073B3411" w:rsidR="002E4D4F" w:rsidRDefault="002E4D4F" w:rsidP="00484323">
      <w:pPr>
        <w:spacing w:before="0"/>
        <w:contextualSpacing/>
        <w:mirrorIndents/>
        <w:rPr>
          <w:sz w:val="18"/>
          <w:szCs w:val="18"/>
        </w:rPr>
      </w:pPr>
      <w:r w:rsidRPr="00CD2E4B">
        <w:rPr>
          <w:sz w:val="18"/>
          <w:szCs w:val="18"/>
        </w:rPr>
        <w:t xml:space="preserve">Zur Identifikation und Abwehr von möglichen Risiken nutzen wir unsere Risikomanagement- und Kontrollsysteme. Dabei unterstützen uns insbesondere die strategische Unternehmensplanung sowie das interne Berichtswesen. Unsere Regionalcontroller sowie die interne Revision der VINCI Construction Services </w:t>
      </w:r>
      <w:proofErr w:type="spellStart"/>
      <w:r w:rsidRPr="00CD2E4B">
        <w:rPr>
          <w:sz w:val="18"/>
          <w:szCs w:val="18"/>
        </w:rPr>
        <w:t>Partagés</w:t>
      </w:r>
      <w:proofErr w:type="spellEnd"/>
      <w:r w:rsidRPr="00CD2E4B">
        <w:rPr>
          <w:sz w:val="18"/>
          <w:szCs w:val="18"/>
        </w:rPr>
        <w:t xml:space="preserve"> überprüfen regelmäßig die Angemessenheit sowie Effektivität des Risikomanagementsystems sowie die Umsetzung gruppenweiter Vorschriften zur Sicherung der Ergebnissituation sowie der vorhandenen Liquidität der jeweiligen Niederlassung sowie der Gesellschaft im Ganzen.</w:t>
      </w:r>
    </w:p>
    <w:p w14:paraId="0549338A" w14:textId="77777777" w:rsidR="008E4151" w:rsidRPr="00CD2E4B" w:rsidRDefault="008E4151" w:rsidP="00484323">
      <w:pPr>
        <w:spacing w:before="0"/>
        <w:contextualSpacing/>
        <w:mirrorIndents/>
        <w:rPr>
          <w:sz w:val="18"/>
          <w:szCs w:val="18"/>
        </w:rPr>
      </w:pPr>
    </w:p>
    <w:p w14:paraId="1DCBD466" w14:textId="73A86070" w:rsidR="002E4D4F" w:rsidRPr="00CD2E4B" w:rsidRDefault="002E4D4F" w:rsidP="00484323">
      <w:pPr>
        <w:spacing w:before="0"/>
        <w:contextualSpacing/>
        <w:mirrorIndents/>
        <w:rPr>
          <w:sz w:val="18"/>
          <w:szCs w:val="18"/>
        </w:rPr>
      </w:pPr>
      <w:r w:rsidRPr="00CD2E4B">
        <w:rPr>
          <w:sz w:val="18"/>
          <w:szCs w:val="18"/>
        </w:rPr>
        <w:t>Die Information des Aufsichtsrates der VINCI Construction GmbH über mögliche Geschäftsrisiken und hier insbesondere über Projektrisiken, Risiken bei der Auftragsauswahl sowie der Auftragsabwicklung erfolgt im Rahmen der turnusmäßigen Sitzungen des Aufsichtsrats.</w:t>
      </w:r>
    </w:p>
    <w:p w14:paraId="6335E8BF" w14:textId="465276B9" w:rsidR="00215211" w:rsidRPr="00CD2E4B" w:rsidRDefault="00215211" w:rsidP="00E41BA7">
      <w:pPr>
        <w:spacing w:before="0"/>
        <w:jc w:val="left"/>
        <w:rPr>
          <w:sz w:val="18"/>
          <w:szCs w:val="18"/>
        </w:rPr>
      </w:pPr>
    </w:p>
    <w:p w14:paraId="742916D6" w14:textId="243AE559" w:rsidR="00770901" w:rsidRPr="00770901" w:rsidRDefault="002E4D4F" w:rsidP="00770901">
      <w:pPr>
        <w:spacing w:before="0"/>
        <w:contextualSpacing/>
        <w:mirrorIndents/>
        <w:jc w:val="center"/>
        <w:outlineLvl w:val="3"/>
        <w:rPr>
          <w:b/>
          <w:bCs/>
          <w:sz w:val="12"/>
          <w:szCs w:val="18"/>
        </w:rPr>
      </w:pPr>
      <w:r w:rsidRPr="00CD2E4B">
        <w:rPr>
          <w:b/>
          <w:bCs/>
          <w:sz w:val="18"/>
          <w:szCs w:val="18"/>
        </w:rPr>
        <w:t>VIII. Risiken und Chancen der zukünftigen Entwicklung</w:t>
      </w:r>
      <w:r w:rsidR="00770901">
        <w:rPr>
          <w:b/>
          <w:bCs/>
          <w:sz w:val="18"/>
          <w:szCs w:val="18"/>
        </w:rPr>
        <w:br/>
      </w:r>
    </w:p>
    <w:p w14:paraId="29C5419F" w14:textId="027D466D" w:rsidR="002E4D4F" w:rsidRDefault="002E4D4F" w:rsidP="00770901">
      <w:pPr>
        <w:spacing w:before="0"/>
        <w:contextualSpacing/>
        <w:mirrorIndents/>
        <w:outlineLvl w:val="3"/>
        <w:rPr>
          <w:sz w:val="18"/>
          <w:szCs w:val="18"/>
        </w:rPr>
      </w:pPr>
      <w:r w:rsidRPr="00CD2E4B">
        <w:rPr>
          <w:sz w:val="18"/>
          <w:szCs w:val="18"/>
        </w:rPr>
        <w:t>Das Geschäft der EUROVIA Verkehrsbau GmbH und somit der Fortbestand der Gesellschaft unterliegt ständig wechselnden Anforderungen und Möglichkeiten. Dabei sind nachfolgende Risiken sowie Chancen wesentlich:</w:t>
      </w:r>
    </w:p>
    <w:p w14:paraId="1B0374D4" w14:textId="77777777" w:rsidR="00770901" w:rsidRDefault="00770901" w:rsidP="00770901">
      <w:pPr>
        <w:spacing w:before="0"/>
        <w:contextualSpacing/>
        <w:mirrorIndents/>
        <w:outlineLvl w:val="3"/>
        <w:rPr>
          <w:sz w:val="18"/>
          <w:szCs w:val="18"/>
        </w:rPr>
      </w:pPr>
    </w:p>
    <w:p w14:paraId="0F7336E6" w14:textId="4FC0E3B7" w:rsidR="002E4D4F" w:rsidRDefault="002E4D4F" w:rsidP="00484323">
      <w:pPr>
        <w:spacing w:before="0"/>
        <w:contextualSpacing/>
        <w:mirrorIndents/>
        <w:rPr>
          <w:sz w:val="18"/>
          <w:szCs w:val="18"/>
        </w:rPr>
      </w:pPr>
      <w:r w:rsidRPr="00CD2E4B">
        <w:rPr>
          <w:sz w:val="18"/>
          <w:szCs w:val="18"/>
        </w:rPr>
        <w:t xml:space="preserve">Risiken in der wirtschaftlichen Entwicklung bestehen aus Sicht der Geschäftsführung in der Preisentwicklung von Nachunternehmerleistungen und Rohstoffen, insbesondere den Aluminium-, Stahl-, Energie-, </w:t>
      </w:r>
      <w:r w:rsidRPr="00CD2E4B">
        <w:rPr>
          <w:sz w:val="18"/>
          <w:szCs w:val="18"/>
        </w:rPr>
        <w:lastRenderedPageBreak/>
        <w:t>Bitumen- sowie Gesteinskosten im Asphaltbereich, weil mögliche Preiserhöhungen lediglich verzögert am Markt weitergegeben werden können. Durch langfristige Rahmenverträge und die erfolgte Ausweitung der zur EUROVIA-Gruppe gehörenden Gesteinsressourcen wurde das generelle Preisrisiko reduziert. Die derzeitigen Preisentwicklungen aufgrund des Krieges in der Ukraine haben und werden auch weiterhin einen Einfluss auf die Kalkulationen haben. Diese Preisrisiken können nicht durch langfristige Rahmenverträge reduziert werden. Darüber hinaus gibt es zum Teil Lieferengpässe. Die Preissteigerungen sowie die sehr geringen Bauzeitverzögerungen haben jedoch im Jahr 2022 nicht wesentlich die Margen der Projekte beeinflusst. Die Auswirkungen für die kommenden Jahre sind derzeitig nicht absehbar. Die weiteren Entwicklungen vor dem Hintergrund des Krieges in der Ukraine verursachen eine überdurchschnittliche Kapazitätsbindung der Mitarbeiter, die mit Nachträgen und Verhandlungen zusätzlich belastet sind. Diese Situation muss bei der Auftragsakquise berücksichtigt werden, da ansonsten ein signifikanter Anstieg von Verlustprojekten die Folge wäre. Hier gilt das Prinzip Ergebnis vor Volumen. Durch die Geschäftsführung als auch durch die Gesellschafterin wird regelmäßig geprüft, ob Maßnahmen zu treffen sind, um kurzfristig auf die Entwicklungen reagieren zu müssen. Bisweilen hat die derzeitige Entwicklung aber keinen wesentlichen Einfluss auf die Vermögens-, Finanz- und Ertragslage und die Geschäftsführung geht davon aus, dass auch im Geschäftsjahr 2023 die wirtschaftlichen Konsequenzen überschaubar bleiben.</w:t>
      </w:r>
    </w:p>
    <w:p w14:paraId="4BF4F544" w14:textId="77777777" w:rsidR="008E4151" w:rsidRPr="00CD2E4B" w:rsidRDefault="008E4151" w:rsidP="00484323">
      <w:pPr>
        <w:spacing w:before="0"/>
        <w:contextualSpacing/>
        <w:mirrorIndents/>
        <w:rPr>
          <w:sz w:val="18"/>
          <w:szCs w:val="18"/>
        </w:rPr>
      </w:pPr>
    </w:p>
    <w:p w14:paraId="520DC9A1" w14:textId="0F7202C7" w:rsidR="002E4D4F" w:rsidRDefault="002E4D4F" w:rsidP="00484323">
      <w:pPr>
        <w:spacing w:before="0"/>
        <w:contextualSpacing/>
        <w:mirrorIndents/>
        <w:rPr>
          <w:sz w:val="18"/>
          <w:szCs w:val="18"/>
        </w:rPr>
      </w:pPr>
      <w:r w:rsidRPr="00CD2E4B">
        <w:rPr>
          <w:sz w:val="18"/>
          <w:szCs w:val="18"/>
        </w:rPr>
        <w:t>Zusätzlich ist zu befürchten, dass sich die Nachfrage der Kommunen und Gemeinden durch die negative Entwicklung in der Haushaltssituation weiterhin rückläufig entwickeln könnte. Zum Teil fordern kommunale Haushalte vom Bund Zuschüsse, mit denen insbesondere Investitionen für den notwendigen Erhalt und Ausbau von Straßen finanziert werden sollen.</w:t>
      </w:r>
    </w:p>
    <w:p w14:paraId="23E1544D" w14:textId="77777777" w:rsidR="008E4151" w:rsidRPr="00CD2E4B" w:rsidRDefault="008E4151" w:rsidP="00484323">
      <w:pPr>
        <w:spacing w:before="0"/>
        <w:contextualSpacing/>
        <w:mirrorIndents/>
        <w:rPr>
          <w:sz w:val="18"/>
          <w:szCs w:val="18"/>
        </w:rPr>
      </w:pPr>
    </w:p>
    <w:p w14:paraId="75FD088A" w14:textId="166BD6CE" w:rsidR="002E4D4F" w:rsidRDefault="002E4D4F" w:rsidP="00484323">
      <w:pPr>
        <w:spacing w:before="0"/>
        <w:contextualSpacing/>
        <w:mirrorIndents/>
        <w:rPr>
          <w:sz w:val="18"/>
          <w:szCs w:val="18"/>
        </w:rPr>
      </w:pPr>
      <w:r w:rsidRPr="00CD2E4B">
        <w:rPr>
          <w:sz w:val="18"/>
          <w:szCs w:val="18"/>
        </w:rPr>
        <w:t>Durch den Wechsel der Bundesregierung im Jahr 2021 besteht weiterhin das Risiko, dass innerhalb des Etats für Infrastrukturmaßnahmen eine Verschiebung zugunsten des öffentlichen Nahverkehrs sowie Bahnbaus erfolgen könnte.</w:t>
      </w:r>
    </w:p>
    <w:p w14:paraId="421C6597" w14:textId="77777777" w:rsidR="008E4151" w:rsidRPr="00CD2E4B" w:rsidRDefault="008E4151" w:rsidP="00484323">
      <w:pPr>
        <w:spacing w:before="0"/>
        <w:contextualSpacing/>
        <w:mirrorIndents/>
        <w:rPr>
          <w:sz w:val="18"/>
          <w:szCs w:val="18"/>
        </w:rPr>
      </w:pPr>
    </w:p>
    <w:p w14:paraId="073D9B49" w14:textId="56723A01" w:rsidR="002E4D4F" w:rsidRDefault="002E4D4F" w:rsidP="00484323">
      <w:pPr>
        <w:spacing w:before="0"/>
        <w:contextualSpacing/>
        <w:mirrorIndents/>
        <w:rPr>
          <w:sz w:val="18"/>
          <w:szCs w:val="18"/>
        </w:rPr>
      </w:pPr>
      <w:r w:rsidRPr="00CD2E4B">
        <w:rPr>
          <w:sz w:val="18"/>
          <w:szCs w:val="18"/>
        </w:rPr>
        <w:t>Risiken aus Zahlungsstromschwankungen erkennen wir frühzeitig im Rahmen unseres Liquiditätsplanungssystems. Aufgrund des mit der VINCI Construction GmbH geschlossenen Cash-Pool-Vertrags können wir jederzeit auf liquide Mittel zurückgreifen.</w:t>
      </w:r>
    </w:p>
    <w:p w14:paraId="772824A2" w14:textId="77777777" w:rsidR="008E4151" w:rsidRPr="00CD2E4B" w:rsidRDefault="008E4151" w:rsidP="00484323">
      <w:pPr>
        <w:spacing w:before="0"/>
        <w:contextualSpacing/>
        <w:mirrorIndents/>
        <w:rPr>
          <w:sz w:val="18"/>
          <w:szCs w:val="18"/>
        </w:rPr>
      </w:pPr>
    </w:p>
    <w:p w14:paraId="617AEA74" w14:textId="5A1246BF" w:rsidR="002E4D4F" w:rsidRDefault="002E4D4F" w:rsidP="00484323">
      <w:pPr>
        <w:spacing w:before="0"/>
        <w:contextualSpacing/>
        <w:mirrorIndents/>
        <w:rPr>
          <w:sz w:val="18"/>
          <w:szCs w:val="18"/>
        </w:rPr>
      </w:pPr>
      <w:r w:rsidRPr="00CD2E4B">
        <w:rPr>
          <w:sz w:val="18"/>
          <w:szCs w:val="18"/>
        </w:rPr>
        <w:t>Das allgemeine Forderungsausfallrisiko ist aufgrund der Tatsache, dass die EUROVIA Verkehrsbau weitgehend öffentliche Auftraggeber hat, relativ gering. Zur Sicherung der Forderungen gegen private Auftraggeber bedienen wir uns der Instrumente der Bürgschaften und Garantien sowie der Warenkreditversicherung.</w:t>
      </w:r>
    </w:p>
    <w:p w14:paraId="0A30FCCF" w14:textId="77777777" w:rsidR="008E4151" w:rsidRPr="00CD2E4B" w:rsidRDefault="008E4151" w:rsidP="00484323">
      <w:pPr>
        <w:spacing w:before="0"/>
        <w:contextualSpacing/>
        <w:mirrorIndents/>
        <w:rPr>
          <w:sz w:val="18"/>
          <w:szCs w:val="18"/>
        </w:rPr>
      </w:pPr>
    </w:p>
    <w:p w14:paraId="4381410D" w14:textId="145F4880" w:rsidR="002E4D4F" w:rsidRDefault="002E4D4F" w:rsidP="00484323">
      <w:pPr>
        <w:spacing w:before="0"/>
        <w:contextualSpacing/>
        <w:mirrorIndents/>
        <w:rPr>
          <w:sz w:val="18"/>
          <w:szCs w:val="18"/>
        </w:rPr>
      </w:pPr>
      <w:r w:rsidRPr="00CD2E4B">
        <w:rPr>
          <w:sz w:val="18"/>
          <w:szCs w:val="18"/>
        </w:rPr>
        <w:t>Die Risiken aus möglichen Rechts- oder Gesetzesverletzungen begrenzen wir durch Compliance-Programme, rechtliche Schulungsmaßnahmen und ein zentrales Vertragsmanagement.</w:t>
      </w:r>
    </w:p>
    <w:p w14:paraId="266D0BED" w14:textId="77777777" w:rsidR="008E4151" w:rsidRPr="00CD2E4B" w:rsidRDefault="008E4151" w:rsidP="00484323">
      <w:pPr>
        <w:spacing w:before="0"/>
        <w:contextualSpacing/>
        <w:mirrorIndents/>
        <w:rPr>
          <w:sz w:val="18"/>
          <w:szCs w:val="18"/>
        </w:rPr>
      </w:pPr>
    </w:p>
    <w:p w14:paraId="50A9728D" w14:textId="406F4A21" w:rsidR="002E4D4F" w:rsidRPr="00770901" w:rsidRDefault="002E4D4F" w:rsidP="00484323">
      <w:pPr>
        <w:spacing w:before="0"/>
        <w:contextualSpacing/>
        <w:mirrorIndents/>
        <w:rPr>
          <w:spacing w:val="-2"/>
          <w:sz w:val="18"/>
          <w:szCs w:val="18"/>
        </w:rPr>
      </w:pPr>
      <w:r w:rsidRPr="00770901">
        <w:rPr>
          <w:spacing w:val="-2"/>
          <w:sz w:val="18"/>
          <w:szCs w:val="18"/>
        </w:rPr>
        <w:t>Gegenwärtig sind über die oben genannten und unter anderem durch Rückstellungen abgesicherten Risiken hinaus keine Risiken mit besonderem Einfluss auf die Vermögens-, Finanz- und Ertragslage bekannt.</w:t>
      </w:r>
    </w:p>
    <w:p w14:paraId="087BB553" w14:textId="77777777" w:rsidR="008E4151" w:rsidRPr="00CD2E4B" w:rsidRDefault="008E4151" w:rsidP="00484323">
      <w:pPr>
        <w:spacing w:before="0"/>
        <w:contextualSpacing/>
        <w:mirrorIndents/>
        <w:rPr>
          <w:sz w:val="18"/>
          <w:szCs w:val="18"/>
        </w:rPr>
      </w:pPr>
    </w:p>
    <w:p w14:paraId="0F9C7B78" w14:textId="0CE7E2C2" w:rsidR="002E4D4F" w:rsidRDefault="002E4D4F" w:rsidP="00484323">
      <w:pPr>
        <w:spacing w:before="0"/>
        <w:contextualSpacing/>
        <w:mirrorIndents/>
        <w:rPr>
          <w:sz w:val="18"/>
          <w:szCs w:val="18"/>
        </w:rPr>
      </w:pPr>
      <w:r w:rsidRPr="00CD2E4B">
        <w:rPr>
          <w:sz w:val="18"/>
          <w:szCs w:val="18"/>
        </w:rPr>
        <w:t>Auf Grundlage der Risikoeinschätzung ist für die EUROVIA Verkehrsbau im Vergleich zum Vorjahr keine Änderung in der Risikolandschaft eingetreten. Wir gehen davon aus, dass die identifizierten Risiken den Fortbestand des Unternehmens nicht gefährden werden. Wir sind der festen Überzeugung, dass auch zukünftig die bestehenden Risiken bzw. ggf. neue Risiken keine existentielle Gefahr für die Gesellschaft darstellen, sofern diese Risiken nicht durch eine Ausweitung des bestehenden Krieges in der Ukraine auch auf weitere Länder nicht mehr einschätzbar werden.</w:t>
      </w:r>
    </w:p>
    <w:p w14:paraId="36F2E965" w14:textId="77777777" w:rsidR="008E4151" w:rsidRPr="00CD2E4B" w:rsidRDefault="008E4151" w:rsidP="00484323">
      <w:pPr>
        <w:spacing w:before="0"/>
        <w:contextualSpacing/>
        <w:mirrorIndents/>
        <w:rPr>
          <w:sz w:val="18"/>
          <w:szCs w:val="18"/>
        </w:rPr>
      </w:pPr>
    </w:p>
    <w:p w14:paraId="013961D2" w14:textId="1FF09505" w:rsidR="002E4D4F" w:rsidRDefault="002E4D4F" w:rsidP="00484323">
      <w:pPr>
        <w:spacing w:before="0"/>
        <w:contextualSpacing/>
        <w:mirrorIndents/>
        <w:rPr>
          <w:sz w:val="18"/>
          <w:szCs w:val="18"/>
        </w:rPr>
      </w:pPr>
      <w:r w:rsidRPr="00CD2E4B">
        <w:rPr>
          <w:sz w:val="18"/>
          <w:szCs w:val="18"/>
        </w:rPr>
        <w:t>Ein Potential sieht die Gesellschaft in der Akquirierung von Groß-Projekten. Insbesondere der Ausbau von bestehenden Autobahnabschnitten sowie die Erhaltung von Straßennetzen anderer Straßenbauträger im Rahmen langfristiger Verträge können dazu beitragen, dass sich die Auftragslage weiter verbessert und die Auslastung der vorhandenen Kapazitäten gesichert wird.</w:t>
      </w:r>
    </w:p>
    <w:p w14:paraId="6B91A5AC" w14:textId="77777777" w:rsidR="008E4151" w:rsidRPr="00CD2E4B" w:rsidRDefault="008E4151" w:rsidP="00484323">
      <w:pPr>
        <w:spacing w:before="0"/>
        <w:contextualSpacing/>
        <w:mirrorIndents/>
        <w:rPr>
          <w:sz w:val="18"/>
          <w:szCs w:val="18"/>
        </w:rPr>
      </w:pPr>
    </w:p>
    <w:p w14:paraId="116A63BF" w14:textId="77B6CB4B" w:rsidR="002E4D4F" w:rsidRPr="00CD2E4B" w:rsidRDefault="002E4D4F" w:rsidP="00484323">
      <w:pPr>
        <w:spacing w:before="0"/>
        <w:contextualSpacing/>
        <w:mirrorIndents/>
        <w:rPr>
          <w:sz w:val="18"/>
          <w:szCs w:val="18"/>
        </w:rPr>
      </w:pPr>
      <w:r w:rsidRPr="00CD2E4B">
        <w:rPr>
          <w:sz w:val="18"/>
          <w:szCs w:val="18"/>
        </w:rPr>
        <w:t>Chancen bieten sich der Gesellschaft im Rahmen der regelmäßigen Segmentierung der Geschäftsfelder. Durch die Vermeidung der Bearbeitung von margenschwachen Projekten sowie die Ausweitung der Verantwortlichkeiten der Regionalleiter auf die industriellen Standorte sowie Beteiligungen erwarten wir eine verbesserte Ertragssituation. Weitere Chancen werden in neuen Technologien gesehen wie z.B. „Power Road“ oder auch „</w:t>
      </w:r>
      <w:proofErr w:type="spellStart"/>
      <w:r w:rsidRPr="00CD2E4B">
        <w:rPr>
          <w:sz w:val="18"/>
          <w:szCs w:val="18"/>
        </w:rPr>
        <w:t>echarge</w:t>
      </w:r>
      <w:proofErr w:type="spellEnd"/>
      <w:r w:rsidRPr="00CD2E4B">
        <w:rPr>
          <w:sz w:val="18"/>
          <w:szCs w:val="18"/>
        </w:rPr>
        <w:t>“.</w:t>
      </w:r>
    </w:p>
    <w:p w14:paraId="3AA1E3DF" w14:textId="77777777" w:rsidR="00484323" w:rsidRPr="00CD2E4B" w:rsidRDefault="00484323" w:rsidP="00484323">
      <w:pPr>
        <w:spacing w:before="0"/>
        <w:contextualSpacing/>
        <w:mirrorIndents/>
        <w:rPr>
          <w:sz w:val="18"/>
          <w:szCs w:val="18"/>
        </w:rPr>
      </w:pPr>
    </w:p>
    <w:p w14:paraId="3981618B" w14:textId="25F14703" w:rsidR="002E4D4F" w:rsidRPr="00CD2E4B" w:rsidRDefault="002E4D4F" w:rsidP="00484323">
      <w:pPr>
        <w:spacing w:before="0"/>
        <w:contextualSpacing/>
        <w:mirrorIndents/>
        <w:jc w:val="center"/>
        <w:outlineLvl w:val="3"/>
        <w:rPr>
          <w:b/>
          <w:bCs/>
          <w:sz w:val="18"/>
          <w:szCs w:val="18"/>
        </w:rPr>
      </w:pPr>
      <w:r w:rsidRPr="00CD2E4B">
        <w:rPr>
          <w:b/>
          <w:bCs/>
          <w:sz w:val="18"/>
          <w:szCs w:val="18"/>
        </w:rPr>
        <w:lastRenderedPageBreak/>
        <w:t>IX. Ausblick</w:t>
      </w:r>
    </w:p>
    <w:p w14:paraId="343E044C" w14:textId="77777777" w:rsidR="00A26274" w:rsidRPr="00CD2E4B" w:rsidRDefault="00A26274" w:rsidP="00484323">
      <w:pPr>
        <w:spacing w:before="0"/>
        <w:contextualSpacing/>
        <w:mirrorIndents/>
        <w:jc w:val="center"/>
        <w:outlineLvl w:val="3"/>
        <w:rPr>
          <w:b/>
          <w:bCs/>
          <w:sz w:val="18"/>
          <w:szCs w:val="18"/>
        </w:rPr>
      </w:pPr>
    </w:p>
    <w:p w14:paraId="3387D798" w14:textId="4D8DB4EA" w:rsidR="002E4D4F" w:rsidRDefault="002E4D4F" w:rsidP="00484323">
      <w:pPr>
        <w:spacing w:before="0"/>
        <w:contextualSpacing/>
        <w:mirrorIndents/>
        <w:rPr>
          <w:sz w:val="18"/>
          <w:szCs w:val="18"/>
          <w:u w:val="single"/>
          <w:vertAlign w:val="superscript"/>
        </w:rPr>
      </w:pPr>
      <w:r w:rsidRPr="00CD2E4B">
        <w:rPr>
          <w:sz w:val="18"/>
          <w:szCs w:val="18"/>
        </w:rPr>
        <w:t>Für das Geschäftsjahr 2023 wird ein weiterhin hoher, jedoch wesentlich geringerer Einfluss der Inflation auf das Wirtschaftsgeschehen erwartet. Der Sachverständigenrat zur Begutachtung der gesamtwirtschaftlichen Entwicklung geht von einer leicht zurückgehenden Inflationsrate von 6,6 % aus. Vor diesem Hintergrund wird für Deutschland ein reales Wirtschaftswachstum von 0,2 % gegenüber dem Vorjahr erwartet. Für das Jahr 2024 wird ein stärkeres Wirtschaftswachstum von 1,3 % prognostiziert.</w:t>
      </w:r>
      <w:r w:rsidRPr="00CD2E4B">
        <w:rPr>
          <w:sz w:val="18"/>
          <w:szCs w:val="18"/>
          <w:u w:val="single"/>
          <w:vertAlign w:val="superscript"/>
        </w:rPr>
        <w:t>11</w:t>
      </w:r>
    </w:p>
    <w:p w14:paraId="5062518B" w14:textId="77777777" w:rsidR="008E4151" w:rsidRPr="00CD2E4B" w:rsidRDefault="008E4151" w:rsidP="00484323">
      <w:pPr>
        <w:spacing w:before="0"/>
        <w:contextualSpacing/>
        <w:mirrorIndents/>
        <w:rPr>
          <w:sz w:val="18"/>
          <w:szCs w:val="18"/>
          <w:u w:val="single"/>
          <w:vertAlign w:val="superscript"/>
        </w:rPr>
      </w:pPr>
    </w:p>
    <w:p w14:paraId="7609F988" w14:textId="58BE1605" w:rsidR="00484323" w:rsidRPr="00CD2E4B" w:rsidRDefault="002E4D4F" w:rsidP="00484323">
      <w:pPr>
        <w:spacing w:before="0"/>
        <w:contextualSpacing/>
        <w:mirrorIndents/>
        <w:rPr>
          <w:sz w:val="18"/>
          <w:szCs w:val="18"/>
          <w:u w:val="single"/>
          <w:vertAlign w:val="superscript"/>
        </w:rPr>
      </w:pPr>
      <w:r w:rsidRPr="00CD2E4B">
        <w:rPr>
          <w:sz w:val="18"/>
          <w:szCs w:val="18"/>
        </w:rPr>
        <w:t>Für die Bauwirtschaft fällt dieser Effekt nochmals deutlicher aus. Der Zentralverband der Bauwirtschaft rechnet über alle Sparten hinweg mit einem Rückgang des Bauumsatzes von 7,0 %. Für den Bereich des öffentlichen Baues wird ein Rückgang von 4,5 % erwartet.</w:t>
      </w:r>
      <w:r w:rsidRPr="00CD2E4B">
        <w:rPr>
          <w:sz w:val="18"/>
          <w:szCs w:val="18"/>
          <w:u w:val="single"/>
          <w:vertAlign w:val="superscript"/>
        </w:rPr>
        <w:t>12</w:t>
      </w:r>
    </w:p>
    <w:p w14:paraId="65F96345" w14:textId="66DF27D9" w:rsidR="002E4D4F" w:rsidRDefault="002E4D4F" w:rsidP="00484323">
      <w:pPr>
        <w:spacing w:before="0"/>
        <w:contextualSpacing/>
        <w:mirrorIndents/>
        <w:rPr>
          <w:sz w:val="18"/>
          <w:szCs w:val="18"/>
          <w:u w:val="single"/>
          <w:vertAlign w:val="superscript"/>
        </w:rPr>
      </w:pPr>
      <w:r w:rsidRPr="00CD2E4B">
        <w:rPr>
          <w:sz w:val="18"/>
          <w:szCs w:val="18"/>
        </w:rPr>
        <w:t>Im Bundeshaushalt ist gem. Einzelplan 12 dem Bundesministerium für Digitales und Verkehr für das Haushaltjahr 2023 ein Etat von Mrd. EUR 35,6 zugewiesen worden. Dieser fällt dabei um rund Mrd. EUR 0,5 kleiner aus als im Vorjahr. Gemäß dem Regierungsentwurf entfallen dabei ca. Mrd. EUR 12,7 auf Bundesfernstraßen. Für Investitionen der „Die Autobahn GmbH des Bundes“ sieht der Haushalt ca. Mrd. EUR 5,5 vor sowie weitere Mrd. EUR 1,3 für die Erhaltung der Bundestraßen. Insgesamt sollen die Ausgaben für Bundesfernstraßen damit um knapp Mio. EUR 175 steigen.</w:t>
      </w:r>
      <w:r w:rsidRPr="00CD2E4B">
        <w:rPr>
          <w:sz w:val="18"/>
          <w:szCs w:val="18"/>
          <w:u w:val="single"/>
          <w:vertAlign w:val="superscript"/>
        </w:rPr>
        <w:t>13</w:t>
      </w:r>
    </w:p>
    <w:p w14:paraId="1A088E52" w14:textId="77777777" w:rsidR="008E4151" w:rsidRPr="00CD2E4B" w:rsidRDefault="008E4151" w:rsidP="00484323">
      <w:pPr>
        <w:spacing w:before="0"/>
        <w:contextualSpacing/>
        <w:mirrorIndents/>
        <w:rPr>
          <w:sz w:val="18"/>
          <w:szCs w:val="18"/>
        </w:rPr>
      </w:pPr>
    </w:p>
    <w:p w14:paraId="2B6241FB" w14:textId="55489523" w:rsidR="002E4D4F" w:rsidRDefault="002E4D4F" w:rsidP="00484323">
      <w:pPr>
        <w:spacing w:before="0"/>
        <w:contextualSpacing/>
        <w:mirrorIndents/>
        <w:rPr>
          <w:sz w:val="18"/>
          <w:szCs w:val="18"/>
        </w:rPr>
      </w:pPr>
      <w:r w:rsidRPr="00CD2E4B">
        <w:rPr>
          <w:sz w:val="18"/>
          <w:szCs w:val="18"/>
        </w:rPr>
        <w:t>Es bleibt abzuwarten, inwieweit sich die Investitionstätigkeit der Länder und Kommunen im öffentlichen Straßenbau weiterentwickelt. Der ZDB prognostiziert allerdings das angesichts steigender Allgemeinkosten die Investitionstätigkeit der Kommunen nicht wie geplant ausgebaut werden würden, sondern im besten Fall auf Vorjahresniveau gehalten würden.</w:t>
      </w:r>
      <w:r w:rsidRPr="00CD2E4B">
        <w:rPr>
          <w:sz w:val="18"/>
          <w:szCs w:val="18"/>
          <w:u w:val="single"/>
          <w:vertAlign w:val="superscript"/>
        </w:rPr>
        <w:t>14</w:t>
      </w:r>
      <w:r w:rsidRPr="00CD2E4B">
        <w:rPr>
          <w:sz w:val="18"/>
          <w:szCs w:val="18"/>
        </w:rPr>
        <w:t xml:space="preserve"> Im Angesicht dieser Herausforderungen ist es wichtig, dass die öffentliche Hand ihr geplantes Budget am Markt platziert und so die Mittel zum Erhalt und Ausbau der Infrastruktur bereitstellt.</w:t>
      </w:r>
    </w:p>
    <w:p w14:paraId="5C8E4624" w14:textId="77777777" w:rsidR="008E4151" w:rsidRPr="00CD2E4B" w:rsidRDefault="008E4151" w:rsidP="00484323">
      <w:pPr>
        <w:spacing w:before="0"/>
        <w:contextualSpacing/>
        <w:mirrorIndents/>
        <w:rPr>
          <w:sz w:val="18"/>
          <w:szCs w:val="18"/>
        </w:rPr>
      </w:pPr>
    </w:p>
    <w:p w14:paraId="738A13F2" w14:textId="5925B888" w:rsidR="002E4D4F" w:rsidRDefault="002E4D4F" w:rsidP="00484323">
      <w:pPr>
        <w:spacing w:before="0"/>
        <w:contextualSpacing/>
        <w:mirrorIndents/>
        <w:rPr>
          <w:sz w:val="18"/>
          <w:szCs w:val="18"/>
        </w:rPr>
      </w:pPr>
      <w:r w:rsidRPr="00CD2E4B">
        <w:rPr>
          <w:sz w:val="18"/>
          <w:szCs w:val="18"/>
        </w:rPr>
        <w:t>Trotz Neuorganisation des Bereichs Arbeitssicherheit, indem die Arbeitssicherheitsfachkräfte direkt in die Regionen eingebunden sind, konnten die im Kalenderjahr 2022 anvisierten Ziele, aufgrund des gleich bleibend hohen Niveaus an Unfallzahlen im Jahr 2022 nicht erreicht werden. Die verstärkte Kommunikation mit Bauleitungs- und Baustellenpersonal und die Einbindung der Führungskräfte soll im Jahr 2023 wieder zu einer wesentlichen Reduktion der Arbeitsunfälle beigetragen. Mit Überarbeitung des Maßnahmenkatalogs zur Umsetzung der Null-Unfälle-Politik „Wir arbeiten sicher oder gar nicht!“ und der Weiterführung des Schulungsprogramms „Wir achten auf uns“ sollen die Standards in den Bereichen Arbeits-, Gesundheits- und Umweltschutz weiter optimiert werden. Maßnahmen zum Umweltschutz werden mit Umsetzung der e-Mobilität, Ausbau der Ladeinfrastruktur sowie Aufbau von Photovoltaikanlagen intensiv geprüft.</w:t>
      </w:r>
    </w:p>
    <w:p w14:paraId="17251100" w14:textId="77777777" w:rsidR="008E4151" w:rsidRPr="00CD2E4B" w:rsidRDefault="008E4151" w:rsidP="00484323">
      <w:pPr>
        <w:spacing w:before="0"/>
        <w:contextualSpacing/>
        <w:mirrorIndents/>
        <w:rPr>
          <w:sz w:val="18"/>
          <w:szCs w:val="18"/>
        </w:rPr>
      </w:pPr>
    </w:p>
    <w:p w14:paraId="132C1BFC" w14:textId="0409ED71" w:rsidR="002E4D4F" w:rsidRDefault="002E4D4F" w:rsidP="00484323">
      <w:pPr>
        <w:spacing w:before="0"/>
        <w:contextualSpacing/>
        <w:mirrorIndents/>
        <w:rPr>
          <w:sz w:val="18"/>
          <w:szCs w:val="18"/>
        </w:rPr>
      </w:pPr>
      <w:r w:rsidRPr="00CD2E4B">
        <w:rPr>
          <w:sz w:val="18"/>
          <w:szCs w:val="18"/>
        </w:rPr>
        <w:t>Mit Unterstützung durch die EUROVIA Akademie sind für 2023 wieder umfangreichere Weiterbildungs- und Schulungsmaßnahmen geplant. Nach Umstellung auf ein digitales Schulungsportal sollen, basierend auf den Ergebnissen der durchgeführten Mitarbeitergespräche, die Schulungsinhalte auch weiterhin als Präsenz- oder als Distanzveranstaltung vermittelt werden. Hierbei handelt es sich zum einen um Instrumente für eine effizientere Baustellenvorbereitung, Projektabwicklung und Controlling, sowie zum anderen um Instrumente zur Sicherung der Unternehmenswerte.</w:t>
      </w:r>
    </w:p>
    <w:p w14:paraId="0BE6C39F" w14:textId="77777777" w:rsidR="008E4151" w:rsidRPr="00CD2E4B" w:rsidRDefault="008E4151" w:rsidP="00484323">
      <w:pPr>
        <w:spacing w:before="0"/>
        <w:contextualSpacing/>
        <w:mirrorIndents/>
        <w:rPr>
          <w:sz w:val="18"/>
          <w:szCs w:val="18"/>
        </w:rPr>
      </w:pPr>
    </w:p>
    <w:p w14:paraId="1E3A49C5" w14:textId="2EEB6DC0" w:rsidR="002E4D4F" w:rsidRDefault="002E4D4F" w:rsidP="00484323">
      <w:pPr>
        <w:spacing w:before="0"/>
        <w:contextualSpacing/>
        <w:mirrorIndents/>
        <w:rPr>
          <w:sz w:val="18"/>
          <w:szCs w:val="18"/>
        </w:rPr>
      </w:pPr>
      <w:r w:rsidRPr="00CD2E4B">
        <w:rPr>
          <w:sz w:val="18"/>
          <w:szCs w:val="18"/>
        </w:rPr>
        <w:t>Um sich der Herausforderung der zunehmenden Digitalisierung zu stellen, hat sich die EUROVIA-Gruppe mit Umsetzung des Unternehmensprogramms E-Cube entschieden, ein neues ERP-System zu entwickeln, das ab 01.01.2023 das bisher erfolgreich genutzte KHEOPS-System abgelöst hat. Umfangreiche Tests und Schulungsmaßnahmen haben bereits ab Jahresmitte 2022 begonnen und werden auch im ersten Quartal 2023 weiter fortgesetzt.</w:t>
      </w:r>
    </w:p>
    <w:p w14:paraId="18DE2110" w14:textId="77777777" w:rsidR="008E4151" w:rsidRPr="00CD2E4B" w:rsidRDefault="008E4151" w:rsidP="00484323">
      <w:pPr>
        <w:spacing w:before="0"/>
        <w:contextualSpacing/>
        <w:mirrorIndents/>
        <w:rPr>
          <w:sz w:val="18"/>
          <w:szCs w:val="18"/>
        </w:rPr>
      </w:pPr>
    </w:p>
    <w:p w14:paraId="3D2CDF63" w14:textId="1CA73323" w:rsidR="002E4D4F" w:rsidRDefault="002E4D4F" w:rsidP="00484323">
      <w:pPr>
        <w:spacing w:before="0"/>
        <w:contextualSpacing/>
        <w:mirrorIndents/>
        <w:rPr>
          <w:sz w:val="18"/>
          <w:szCs w:val="18"/>
        </w:rPr>
      </w:pPr>
      <w:r w:rsidRPr="00CD2E4B">
        <w:rPr>
          <w:sz w:val="18"/>
          <w:szCs w:val="18"/>
        </w:rPr>
        <w:t>Zur effizienteren Bearbeitung von Eingangsrechnungen wurde im Jahr 2021 die Software DEMAT in allen Niederlassungen eingesetzt, die eine digitale Rechnungsprüfung ermöglicht. Zudem werden weitere Schritte im Bereich des Building-Information-Modelling (BIM), dem Einsatz digitaler Gerätesteuerungen sowie in der Markt- und Wettbewerbsanalyse unter Einbezug künstlicher Intelligenz unternommen, um in der Baubranche weiterhin konkurrenz- und wettbewerbsfähig zu sein.</w:t>
      </w:r>
    </w:p>
    <w:p w14:paraId="556194C3" w14:textId="77777777" w:rsidR="008E4151" w:rsidRPr="00CD2E4B" w:rsidRDefault="008E4151" w:rsidP="00484323">
      <w:pPr>
        <w:spacing w:before="0"/>
        <w:contextualSpacing/>
        <w:mirrorIndents/>
        <w:rPr>
          <w:sz w:val="18"/>
          <w:szCs w:val="18"/>
        </w:rPr>
      </w:pPr>
    </w:p>
    <w:p w14:paraId="7D82A41D" w14:textId="1B94EEE2" w:rsidR="002E4D4F" w:rsidRDefault="002E4D4F" w:rsidP="00484323">
      <w:pPr>
        <w:spacing w:before="0"/>
        <w:contextualSpacing/>
        <w:mirrorIndents/>
        <w:rPr>
          <w:sz w:val="18"/>
          <w:szCs w:val="18"/>
        </w:rPr>
      </w:pPr>
      <w:r w:rsidRPr="00CD2E4B">
        <w:rPr>
          <w:sz w:val="18"/>
          <w:szCs w:val="18"/>
        </w:rPr>
        <w:t>Die Prognose für das Geschäftsjahr 2023 erfolgt ohne Berücksichtigung einer weiteren Eskalation des Ukraine-Krieges, jedoch auch ohne erhebliche Erleichterungen mit zusätzlichen Marktbelebungen. Ebenso wird mit keiner Rückkehr gravierender Einschränkungen im Zusammenhang mit der Corona-Krise gerechnet.</w:t>
      </w:r>
    </w:p>
    <w:p w14:paraId="3B9D191C" w14:textId="77777777" w:rsidR="008E4151" w:rsidRPr="00CD2E4B" w:rsidRDefault="008E4151" w:rsidP="00484323">
      <w:pPr>
        <w:spacing w:before="0"/>
        <w:contextualSpacing/>
        <w:mirrorIndents/>
        <w:rPr>
          <w:sz w:val="18"/>
          <w:szCs w:val="18"/>
        </w:rPr>
      </w:pPr>
    </w:p>
    <w:p w14:paraId="17DEF3DC" w14:textId="55EBF1E6" w:rsidR="002E4D4F" w:rsidRDefault="002E4D4F" w:rsidP="00484323">
      <w:pPr>
        <w:spacing w:before="0"/>
        <w:contextualSpacing/>
        <w:mirrorIndents/>
        <w:rPr>
          <w:sz w:val="18"/>
          <w:szCs w:val="18"/>
        </w:rPr>
      </w:pPr>
      <w:r w:rsidRPr="00CD2E4B">
        <w:rPr>
          <w:sz w:val="18"/>
          <w:szCs w:val="18"/>
        </w:rPr>
        <w:lastRenderedPageBreak/>
        <w:t xml:space="preserve">Innerhalb der </w:t>
      </w:r>
      <w:r w:rsidRPr="00CD2E4B">
        <w:rPr>
          <w:b/>
          <w:bCs/>
          <w:sz w:val="18"/>
          <w:szCs w:val="18"/>
        </w:rPr>
        <w:t>Region Nord</w:t>
      </w:r>
      <w:r w:rsidRPr="00CD2E4B">
        <w:rPr>
          <w:sz w:val="18"/>
          <w:szCs w:val="18"/>
        </w:rPr>
        <w:t xml:space="preserve"> erwartet die Niederlassung Magdeburg eine Leistung über dem Vorjahresniveau, bei einem Auftragsbestand auf Vorjahresniveau. Dies wird allein schon unter der Annahme der Kostenweitergabe gestiegener Rohstoff- und Beschaffungspreise an die Auftraggeber erreicht. Die Ergebniserwartung bewegt sich auf Höhe des guten Vorjahresniveaus.</w:t>
      </w:r>
    </w:p>
    <w:p w14:paraId="57ABD613" w14:textId="77777777" w:rsidR="00E82B21" w:rsidRPr="00CD2E4B" w:rsidRDefault="00E82B21" w:rsidP="00484323">
      <w:pPr>
        <w:spacing w:before="0"/>
        <w:contextualSpacing/>
        <w:mirrorIndents/>
        <w:rPr>
          <w:sz w:val="18"/>
          <w:szCs w:val="18"/>
        </w:rPr>
      </w:pPr>
    </w:p>
    <w:p w14:paraId="5F3DF432" w14:textId="764088B7" w:rsidR="002E4D4F" w:rsidRDefault="002E4D4F" w:rsidP="00484323">
      <w:pPr>
        <w:spacing w:before="0"/>
        <w:contextualSpacing/>
        <w:mirrorIndents/>
        <w:rPr>
          <w:sz w:val="18"/>
          <w:szCs w:val="18"/>
        </w:rPr>
      </w:pPr>
      <w:r w:rsidRPr="00CD2E4B">
        <w:rPr>
          <w:sz w:val="18"/>
          <w:szCs w:val="18"/>
        </w:rPr>
        <w:t xml:space="preserve">Die in der </w:t>
      </w:r>
      <w:r w:rsidRPr="00CD2E4B">
        <w:rPr>
          <w:b/>
          <w:bCs/>
          <w:sz w:val="18"/>
          <w:szCs w:val="18"/>
        </w:rPr>
        <w:t>Region Nord-Ost</w:t>
      </w:r>
      <w:r w:rsidRPr="00CD2E4B">
        <w:rPr>
          <w:sz w:val="18"/>
          <w:szCs w:val="18"/>
        </w:rPr>
        <w:t xml:space="preserve"> agierenden Niederlassungen Neubrandenburg, Lindow, Berlin-Potsdam und Cottbus starten insgesamt mit einem etwas geringeren Auftragsbestand in das Geschäftsjahr 2023. Die Leistungserwartung innerhalb der Region liegt dennoch oberhalb dem Vorjahresniveau, bei einer stabilen Rendite auf Vorjahresniveau.</w:t>
      </w:r>
    </w:p>
    <w:p w14:paraId="24C9D150" w14:textId="77777777" w:rsidR="00E82B21" w:rsidRPr="00CD2E4B" w:rsidRDefault="00E82B21" w:rsidP="00484323">
      <w:pPr>
        <w:spacing w:before="0"/>
        <w:contextualSpacing/>
        <w:mirrorIndents/>
        <w:rPr>
          <w:sz w:val="18"/>
          <w:szCs w:val="18"/>
        </w:rPr>
      </w:pPr>
    </w:p>
    <w:p w14:paraId="66CE019F" w14:textId="6D6FB537" w:rsidR="002E4D4F" w:rsidRDefault="002E4D4F" w:rsidP="00484323">
      <w:pPr>
        <w:spacing w:before="0"/>
        <w:contextualSpacing/>
        <w:mirrorIndents/>
        <w:rPr>
          <w:sz w:val="18"/>
          <w:szCs w:val="18"/>
        </w:rPr>
      </w:pPr>
      <w:r w:rsidRPr="00CD2E4B">
        <w:rPr>
          <w:sz w:val="18"/>
          <w:szCs w:val="18"/>
        </w:rPr>
        <w:t xml:space="preserve">Der Auftragsbestand der </w:t>
      </w:r>
      <w:r w:rsidRPr="00CD2E4B">
        <w:rPr>
          <w:b/>
          <w:bCs/>
          <w:sz w:val="18"/>
          <w:szCs w:val="18"/>
        </w:rPr>
        <w:t>Region Mitte</w:t>
      </w:r>
      <w:r w:rsidRPr="00CD2E4B">
        <w:rPr>
          <w:sz w:val="18"/>
          <w:szCs w:val="18"/>
        </w:rPr>
        <w:t>, bestehend aus den Niederlassungen Leipzig, Weimar und Dresden, ist im Vergleich zum Vorjahr etwas geringer. Dabei partizipieren die Niederlassungen Leipzig und Weimar aus der Beteiligung an dem PPP-Projekt B 247, bei dem nun die ersten Leistungsanteile im Geschäftsjahr 2023 bearbeitet werden. Die Bauleistung und Rendite der Niederlassungen im Marktgebiet Mitte werden im Geschäftsjahr 2023 ein ähnliches Vorjahresniveau erreichen.</w:t>
      </w:r>
    </w:p>
    <w:p w14:paraId="7187DFEF" w14:textId="77777777" w:rsidR="00E82B21" w:rsidRPr="00CD2E4B" w:rsidRDefault="00E82B21" w:rsidP="00484323">
      <w:pPr>
        <w:spacing w:before="0"/>
        <w:contextualSpacing/>
        <w:mirrorIndents/>
        <w:rPr>
          <w:sz w:val="18"/>
          <w:szCs w:val="18"/>
        </w:rPr>
      </w:pPr>
    </w:p>
    <w:p w14:paraId="78FC2C75" w14:textId="272CAA16" w:rsidR="002E4D4F" w:rsidRDefault="002E4D4F" w:rsidP="00484323">
      <w:pPr>
        <w:spacing w:before="0"/>
        <w:contextualSpacing/>
        <w:mirrorIndents/>
        <w:rPr>
          <w:sz w:val="18"/>
          <w:szCs w:val="18"/>
        </w:rPr>
      </w:pPr>
      <w:r w:rsidRPr="00CD2E4B">
        <w:rPr>
          <w:sz w:val="18"/>
          <w:szCs w:val="18"/>
        </w:rPr>
        <w:t>Die EUROVIA Verkehrsbau GmbH plant für das Geschäftsjahr 2023 insgesamt mit einem leichten Anstieg der Bauleistung gegenüber der realisierten Vorjahresleistung. Die Ergebnisprognose für das Geschäftsjahr 2023 liegt weiter auf einem hohen Niveau und wird in Höhe der im Geschäftsjahr 2022 realisierten Rendite geplant. Unter Beibehaltung der intelligenten Marktbearbeitung, der verantwortungsbewussten Kalkulation sowie einer effizienten Projektplanung und -abwicklung rechnen wir im Jahr 2023 insgesamt mit einer Auftragsakquise und Projektabwicklung auf Vorjahresniveau. Dabei wird davon ausgegangen, dass keine weitere Eskalation des Ukraine-Krieges erfolgt und sich ähnlich wie 2021 und 2022 kein wesentlicher Effekt aus der Corona-Pandemie auf die Geschäftstätigkeit der EUROVIA Verkehrsbau GmbH ergibt. Es besteht jedoch das Risiko, dass die wirtschaftliche Aktivität der Gesellschaft kurzfristig oder auch mittelfristig dadurch stark beeinträchtigt werden kann</w:t>
      </w:r>
      <w:r w:rsidR="00E82B21">
        <w:rPr>
          <w:sz w:val="18"/>
          <w:szCs w:val="18"/>
        </w:rPr>
        <w:t>.</w:t>
      </w:r>
    </w:p>
    <w:p w14:paraId="7785CF7A" w14:textId="77777777" w:rsidR="00E41BA7" w:rsidRPr="00CD2E4B" w:rsidRDefault="00E41BA7" w:rsidP="00484323">
      <w:pPr>
        <w:spacing w:before="0"/>
        <w:contextualSpacing/>
        <w:mirrorIndents/>
        <w:rPr>
          <w:sz w:val="18"/>
          <w:szCs w:val="18"/>
        </w:rPr>
      </w:pPr>
    </w:p>
    <w:p w14:paraId="5E1AB14A" w14:textId="56270B54" w:rsidR="00E82B21" w:rsidRPr="00E82B21" w:rsidRDefault="002E4D4F" w:rsidP="00E82B21">
      <w:pPr>
        <w:spacing w:before="0"/>
        <w:contextualSpacing/>
        <w:mirrorIndents/>
        <w:jc w:val="left"/>
        <w:rPr>
          <w:bCs/>
          <w:sz w:val="18"/>
          <w:szCs w:val="18"/>
        </w:rPr>
      </w:pPr>
      <w:r w:rsidRPr="00E82B21">
        <w:rPr>
          <w:bCs/>
          <w:sz w:val="18"/>
          <w:szCs w:val="18"/>
        </w:rPr>
        <w:t>Berlin, den 12. Mai 2023</w:t>
      </w:r>
    </w:p>
    <w:p w14:paraId="43A3DA15" w14:textId="77777777" w:rsidR="00770901" w:rsidRDefault="00770901" w:rsidP="00E82B21">
      <w:pPr>
        <w:spacing w:before="0"/>
        <w:contextualSpacing/>
        <w:mirrorIndents/>
        <w:jc w:val="center"/>
        <w:rPr>
          <w:b/>
          <w:bCs/>
          <w:sz w:val="18"/>
          <w:szCs w:val="18"/>
        </w:rPr>
      </w:pPr>
    </w:p>
    <w:p w14:paraId="78A28B43" w14:textId="46624953" w:rsidR="002E4D4F" w:rsidRPr="00CD2E4B" w:rsidRDefault="002E4D4F" w:rsidP="00E82B21">
      <w:pPr>
        <w:spacing w:before="0"/>
        <w:contextualSpacing/>
        <w:mirrorIndents/>
        <w:jc w:val="center"/>
        <w:rPr>
          <w:b/>
          <w:bCs/>
          <w:sz w:val="18"/>
          <w:szCs w:val="18"/>
        </w:rPr>
      </w:pPr>
      <w:r w:rsidRPr="00CD2E4B">
        <w:rPr>
          <w:b/>
          <w:bCs/>
          <w:sz w:val="18"/>
          <w:szCs w:val="18"/>
        </w:rPr>
        <w:t>EUROVIA Verkehrsbau GmbH</w:t>
      </w:r>
    </w:p>
    <w:p w14:paraId="0EC577DD" w14:textId="77777777" w:rsidR="002E4D4F" w:rsidRPr="00770901" w:rsidRDefault="002E4D4F" w:rsidP="00E82B21">
      <w:pPr>
        <w:spacing w:before="0"/>
        <w:contextualSpacing/>
        <w:mirrorIndents/>
        <w:jc w:val="center"/>
        <w:rPr>
          <w:bCs/>
          <w:sz w:val="18"/>
          <w:szCs w:val="18"/>
        </w:rPr>
      </w:pPr>
      <w:r w:rsidRPr="00770901">
        <w:rPr>
          <w:bCs/>
          <w:i/>
          <w:iCs/>
          <w:sz w:val="18"/>
          <w:szCs w:val="18"/>
        </w:rPr>
        <w:t>Die Geschäftsführung</w:t>
      </w:r>
    </w:p>
    <w:p w14:paraId="489409C3" w14:textId="77777777" w:rsidR="002E4D4F" w:rsidRPr="00770901" w:rsidRDefault="002E4D4F" w:rsidP="00E82B21">
      <w:pPr>
        <w:spacing w:before="0"/>
        <w:contextualSpacing/>
        <w:mirrorIndents/>
        <w:jc w:val="center"/>
        <w:rPr>
          <w:bCs/>
          <w:sz w:val="18"/>
          <w:szCs w:val="18"/>
        </w:rPr>
      </w:pPr>
      <w:r w:rsidRPr="00770901">
        <w:rPr>
          <w:bCs/>
          <w:i/>
          <w:iCs/>
          <w:sz w:val="18"/>
          <w:szCs w:val="18"/>
        </w:rPr>
        <w:t>Karsten Vollmer</w:t>
      </w:r>
    </w:p>
    <w:p w14:paraId="72476BAF" w14:textId="1C09FAC1" w:rsidR="002E4D4F" w:rsidRPr="00770901" w:rsidRDefault="002E4D4F" w:rsidP="00E82B21">
      <w:pPr>
        <w:spacing w:before="0"/>
        <w:contextualSpacing/>
        <w:mirrorIndents/>
        <w:jc w:val="center"/>
        <w:rPr>
          <w:bCs/>
          <w:i/>
          <w:iCs/>
          <w:sz w:val="18"/>
          <w:szCs w:val="18"/>
        </w:rPr>
      </w:pPr>
      <w:r w:rsidRPr="00770901">
        <w:rPr>
          <w:bCs/>
          <w:i/>
          <w:iCs/>
          <w:sz w:val="18"/>
          <w:szCs w:val="18"/>
        </w:rPr>
        <w:t>Tilo Bräunig</w:t>
      </w:r>
    </w:p>
    <w:p w14:paraId="45E577BC" w14:textId="77777777" w:rsidR="00B06A1B" w:rsidRPr="00CD2E4B" w:rsidRDefault="00B06A1B" w:rsidP="00484323">
      <w:pPr>
        <w:spacing w:before="0"/>
        <w:contextualSpacing/>
        <w:mirrorIndents/>
        <w:jc w:val="center"/>
        <w:rPr>
          <w:b/>
          <w:bCs/>
          <w:sz w:val="18"/>
          <w:szCs w:val="18"/>
        </w:rPr>
      </w:pPr>
    </w:p>
    <w:p w14:paraId="38FAFD5B" w14:textId="0F5F9C28" w:rsidR="002E4D4F" w:rsidRPr="00E82B21" w:rsidRDefault="002E4D4F" w:rsidP="00E82B21">
      <w:pPr>
        <w:spacing w:before="0"/>
        <w:contextualSpacing/>
        <w:mirrorIndents/>
        <w:jc w:val="left"/>
        <w:rPr>
          <w:sz w:val="14"/>
          <w:szCs w:val="14"/>
        </w:rPr>
      </w:pPr>
      <w:bookmarkStart w:id="9" w:name="11"/>
      <w:r w:rsidRPr="00E82B21">
        <w:rPr>
          <w:sz w:val="14"/>
          <w:szCs w:val="14"/>
          <w:vertAlign w:val="superscript"/>
        </w:rPr>
        <w:t>11</w:t>
      </w:r>
      <w:r w:rsidRPr="00E82B21">
        <w:rPr>
          <w:sz w:val="14"/>
          <w:szCs w:val="14"/>
        </w:rPr>
        <w:t xml:space="preserve"> Sachverständigenrat zur Begutachtung der gesamtwirtschaftlichen Enzwicklung - https://www.sachverstaendigenratwirtschaft.de/fileadmin/dateiablage/Konjunkturprognosen/2023/KJ2023_Gesamtausgabe.pdf (Konjunkturprognose vom 22.03.2023).</w:t>
      </w:r>
      <w:r w:rsidRPr="00E82B21">
        <w:rPr>
          <w:sz w:val="14"/>
          <w:szCs w:val="14"/>
        </w:rPr>
        <w:br/>
      </w:r>
      <w:bookmarkStart w:id="10" w:name="12"/>
      <w:bookmarkEnd w:id="9"/>
      <w:r w:rsidRPr="00E82B21">
        <w:rPr>
          <w:sz w:val="14"/>
          <w:szCs w:val="14"/>
          <w:vertAlign w:val="superscript"/>
        </w:rPr>
        <w:t>12</w:t>
      </w:r>
      <w:r w:rsidRPr="00E82B21">
        <w:rPr>
          <w:sz w:val="14"/>
          <w:szCs w:val="14"/>
        </w:rPr>
        <w:t xml:space="preserve"> Zentralverband des Deutschen Baugewerbes e.V. - https://www.zdb.de/fileadmin/user_upload/101-2022_Konjunktur_22-23.pdf (Pressemeldung vom 06.12.2022).</w:t>
      </w:r>
      <w:r w:rsidRPr="00E82B21">
        <w:rPr>
          <w:sz w:val="14"/>
          <w:szCs w:val="14"/>
        </w:rPr>
        <w:br/>
      </w:r>
      <w:bookmarkStart w:id="11" w:name="13"/>
      <w:bookmarkEnd w:id="10"/>
      <w:r w:rsidRPr="00770901">
        <w:rPr>
          <w:spacing w:val="-2"/>
          <w:sz w:val="14"/>
          <w:szCs w:val="14"/>
          <w:vertAlign w:val="superscript"/>
        </w:rPr>
        <w:t>13</w:t>
      </w:r>
      <w:r w:rsidRPr="00770901">
        <w:rPr>
          <w:spacing w:val="-2"/>
          <w:sz w:val="14"/>
          <w:szCs w:val="14"/>
        </w:rPr>
        <w:t xml:space="preserve"> Bundesministerium der Finanzen - https://www.bundeshaushalt.de/static/daten/2023/soll/Bundeshaushaltsplan_HH_2023.pdf, S. 1611ff..</w:t>
      </w:r>
      <w:r w:rsidRPr="00E82B21">
        <w:rPr>
          <w:sz w:val="14"/>
          <w:szCs w:val="14"/>
        </w:rPr>
        <w:br/>
      </w:r>
      <w:bookmarkStart w:id="12" w:name="14"/>
      <w:bookmarkEnd w:id="11"/>
      <w:r w:rsidRPr="00E82B21">
        <w:rPr>
          <w:sz w:val="14"/>
          <w:szCs w:val="14"/>
          <w:vertAlign w:val="superscript"/>
        </w:rPr>
        <w:t>14</w:t>
      </w:r>
      <w:r w:rsidRPr="00E82B21">
        <w:rPr>
          <w:sz w:val="14"/>
          <w:szCs w:val="14"/>
        </w:rPr>
        <w:t xml:space="preserve"> Zentralverband des Deutschen Baugewerbes e.V. - https://www.zdb.de/fileadmin/user_upload/101-2022_Konjunktur_22-23.pdf (Pressemeldung vom 06.12.2022).</w:t>
      </w:r>
      <w:bookmarkEnd w:id="12"/>
    </w:p>
    <w:p w14:paraId="61F651F1" w14:textId="5E3A22B0" w:rsidR="00A26274" w:rsidRDefault="00A26274" w:rsidP="00B06A1B">
      <w:pPr>
        <w:spacing w:before="0"/>
        <w:contextualSpacing/>
        <w:mirrorIndents/>
        <w:jc w:val="left"/>
        <w:rPr>
          <w:sz w:val="18"/>
          <w:szCs w:val="18"/>
        </w:rPr>
      </w:pPr>
    </w:p>
    <w:p w14:paraId="7751A6A8" w14:textId="77777777" w:rsidR="00770901" w:rsidRPr="00CD2E4B" w:rsidRDefault="00770901" w:rsidP="00B06A1B">
      <w:pPr>
        <w:spacing w:before="0"/>
        <w:contextualSpacing/>
        <w:mirrorIndents/>
        <w:jc w:val="left"/>
        <w:rPr>
          <w:sz w:val="18"/>
          <w:szCs w:val="18"/>
        </w:rPr>
      </w:pPr>
    </w:p>
    <w:p w14:paraId="0FD64B60" w14:textId="77777777" w:rsidR="002E4D4F" w:rsidRPr="0087068F" w:rsidRDefault="002E4D4F" w:rsidP="00484323">
      <w:pPr>
        <w:spacing w:before="0"/>
        <w:contextualSpacing/>
        <w:mirrorIndents/>
        <w:jc w:val="center"/>
        <w:outlineLvl w:val="2"/>
        <w:rPr>
          <w:bCs/>
          <w:sz w:val="20"/>
          <w:szCs w:val="18"/>
        </w:rPr>
      </w:pPr>
      <w:r w:rsidRPr="0087068F">
        <w:rPr>
          <w:bCs/>
          <w:sz w:val="20"/>
          <w:szCs w:val="18"/>
        </w:rPr>
        <w:t>Bilanz zum 31. Dezember 2022</w:t>
      </w:r>
    </w:p>
    <w:p w14:paraId="2B166802" w14:textId="77777777" w:rsidR="002E4D4F" w:rsidRPr="00CD2E4B" w:rsidRDefault="002E4D4F" w:rsidP="00484323">
      <w:pPr>
        <w:spacing w:before="0"/>
        <w:contextualSpacing/>
        <w:mirrorIndents/>
        <w:rPr>
          <w:sz w:val="18"/>
          <w:szCs w:val="18"/>
        </w:rPr>
      </w:pPr>
      <w:r w:rsidRPr="00CD2E4B">
        <w:rPr>
          <w:b/>
          <w:bCs/>
          <w:sz w:val="18"/>
          <w:szCs w:val="18"/>
        </w:rPr>
        <w:t>AKTIVA</w:t>
      </w:r>
    </w:p>
    <w:tbl>
      <w:tblPr>
        <w:tblW w:w="9102" w:type="dxa"/>
        <w:tblCellSpacing w:w="0" w:type="dxa"/>
        <w:tblCellMar>
          <w:top w:w="30" w:type="dxa"/>
          <w:left w:w="30" w:type="dxa"/>
          <w:bottom w:w="30" w:type="dxa"/>
          <w:right w:w="30" w:type="dxa"/>
        </w:tblCellMar>
        <w:tblLook w:val="04A0" w:firstRow="1" w:lastRow="0" w:firstColumn="1" w:lastColumn="0" w:noHBand="0" w:noVBand="1"/>
      </w:tblPr>
      <w:tblGrid>
        <w:gridCol w:w="5842"/>
        <w:gridCol w:w="1701"/>
        <w:gridCol w:w="1559"/>
      </w:tblGrid>
      <w:tr w:rsidR="002E4D4F" w:rsidRPr="00CD2E4B" w14:paraId="0498AE0F" w14:textId="77777777" w:rsidTr="00E82B21">
        <w:trPr>
          <w:tblHeader/>
          <w:tblCellSpacing w:w="0" w:type="dxa"/>
        </w:trPr>
        <w:tc>
          <w:tcPr>
            <w:tcW w:w="5842" w:type="dxa"/>
            <w:shd w:val="clear" w:color="auto" w:fill="CDCDCE"/>
            <w:vAlign w:val="bottom"/>
            <w:hideMark/>
          </w:tcPr>
          <w:p w14:paraId="15A0EF2B" w14:textId="77777777" w:rsidR="002E4D4F" w:rsidRPr="00CD2E4B" w:rsidRDefault="002E4D4F" w:rsidP="00484323">
            <w:pPr>
              <w:spacing w:before="0"/>
              <w:contextualSpacing/>
              <w:mirrorIndents/>
              <w:rPr>
                <w:sz w:val="18"/>
                <w:szCs w:val="18"/>
              </w:rPr>
            </w:pPr>
          </w:p>
        </w:tc>
        <w:tc>
          <w:tcPr>
            <w:tcW w:w="1701" w:type="dxa"/>
            <w:shd w:val="clear" w:color="auto" w:fill="CDCDCE"/>
            <w:vAlign w:val="bottom"/>
            <w:hideMark/>
          </w:tcPr>
          <w:p w14:paraId="5A040150" w14:textId="77777777" w:rsidR="002E4D4F" w:rsidRPr="00CD2E4B" w:rsidRDefault="002E4D4F" w:rsidP="00E82B21">
            <w:pPr>
              <w:spacing w:before="0"/>
              <w:contextualSpacing/>
              <w:mirrorIndents/>
              <w:jc w:val="right"/>
              <w:rPr>
                <w:sz w:val="18"/>
                <w:szCs w:val="18"/>
              </w:rPr>
            </w:pPr>
            <w:r w:rsidRPr="00CD2E4B">
              <w:rPr>
                <w:sz w:val="18"/>
                <w:szCs w:val="18"/>
              </w:rPr>
              <w:t>31.12.2022</w:t>
            </w:r>
            <w:r w:rsidRPr="00CD2E4B">
              <w:rPr>
                <w:sz w:val="18"/>
                <w:szCs w:val="18"/>
              </w:rPr>
              <w:br/>
              <w:t>EUR</w:t>
            </w:r>
          </w:p>
        </w:tc>
        <w:tc>
          <w:tcPr>
            <w:tcW w:w="1559" w:type="dxa"/>
            <w:shd w:val="clear" w:color="auto" w:fill="CDCDCE"/>
            <w:vAlign w:val="bottom"/>
            <w:hideMark/>
          </w:tcPr>
          <w:p w14:paraId="66B338D8" w14:textId="77777777" w:rsidR="002E4D4F" w:rsidRPr="00CD2E4B" w:rsidRDefault="002E4D4F" w:rsidP="00E82B21">
            <w:pPr>
              <w:spacing w:before="0"/>
              <w:contextualSpacing/>
              <w:mirrorIndents/>
              <w:jc w:val="right"/>
              <w:rPr>
                <w:sz w:val="18"/>
                <w:szCs w:val="18"/>
              </w:rPr>
            </w:pPr>
            <w:r w:rsidRPr="00CD2E4B">
              <w:rPr>
                <w:sz w:val="18"/>
                <w:szCs w:val="18"/>
              </w:rPr>
              <w:t>Vorjahr</w:t>
            </w:r>
            <w:r w:rsidRPr="00CD2E4B">
              <w:rPr>
                <w:sz w:val="18"/>
                <w:szCs w:val="18"/>
              </w:rPr>
              <w:br/>
              <w:t>EUR</w:t>
            </w:r>
          </w:p>
        </w:tc>
      </w:tr>
      <w:tr w:rsidR="002E4D4F" w:rsidRPr="00CD2E4B" w14:paraId="23C5A56E" w14:textId="77777777" w:rsidTr="00E82B21">
        <w:trPr>
          <w:tblCellSpacing w:w="0" w:type="dxa"/>
        </w:trPr>
        <w:tc>
          <w:tcPr>
            <w:tcW w:w="5842" w:type="dxa"/>
            <w:vAlign w:val="center"/>
            <w:hideMark/>
          </w:tcPr>
          <w:p w14:paraId="705A2507" w14:textId="77777777" w:rsidR="002E4D4F" w:rsidRPr="00CD2E4B" w:rsidRDefault="002E4D4F" w:rsidP="00484323">
            <w:pPr>
              <w:spacing w:before="0"/>
              <w:contextualSpacing/>
              <w:mirrorIndents/>
              <w:rPr>
                <w:sz w:val="18"/>
                <w:szCs w:val="18"/>
              </w:rPr>
            </w:pPr>
            <w:r w:rsidRPr="00CD2E4B">
              <w:rPr>
                <w:sz w:val="18"/>
                <w:szCs w:val="18"/>
              </w:rPr>
              <w:t>A. Anlagevermögen</w:t>
            </w:r>
          </w:p>
        </w:tc>
        <w:tc>
          <w:tcPr>
            <w:tcW w:w="1701" w:type="dxa"/>
            <w:vAlign w:val="center"/>
            <w:hideMark/>
          </w:tcPr>
          <w:p w14:paraId="4D4B647E" w14:textId="77777777" w:rsidR="002E4D4F" w:rsidRPr="00CD2E4B" w:rsidRDefault="002E4D4F" w:rsidP="00E82B21">
            <w:pPr>
              <w:spacing w:before="0"/>
              <w:contextualSpacing/>
              <w:mirrorIndents/>
              <w:jc w:val="right"/>
              <w:rPr>
                <w:sz w:val="18"/>
                <w:szCs w:val="18"/>
              </w:rPr>
            </w:pPr>
          </w:p>
        </w:tc>
        <w:tc>
          <w:tcPr>
            <w:tcW w:w="1559" w:type="dxa"/>
            <w:vAlign w:val="center"/>
            <w:hideMark/>
          </w:tcPr>
          <w:p w14:paraId="605B25CA" w14:textId="77777777" w:rsidR="002E4D4F" w:rsidRPr="00CD2E4B" w:rsidRDefault="002E4D4F" w:rsidP="00E82B21">
            <w:pPr>
              <w:spacing w:before="0"/>
              <w:contextualSpacing/>
              <w:mirrorIndents/>
              <w:jc w:val="right"/>
              <w:rPr>
                <w:sz w:val="18"/>
                <w:szCs w:val="18"/>
              </w:rPr>
            </w:pPr>
          </w:p>
        </w:tc>
      </w:tr>
      <w:tr w:rsidR="002E4D4F" w:rsidRPr="00CD2E4B" w14:paraId="211411A9" w14:textId="77777777" w:rsidTr="00E82B21">
        <w:trPr>
          <w:tblCellSpacing w:w="0" w:type="dxa"/>
        </w:trPr>
        <w:tc>
          <w:tcPr>
            <w:tcW w:w="5842" w:type="dxa"/>
            <w:shd w:val="clear" w:color="auto" w:fill="F0F0F0"/>
            <w:vAlign w:val="center"/>
            <w:hideMark/>
          </w:tcPr>
          <w:p w14:paraId="706827C7" w14:textId="77777777" w:rsidR="002E4D4F" w:rsidRPr="00CD2E4B" w:rsidRDefault="002E4D4F" w:rsidP="00484323">
            <w:pPr>
              <w:spacing w:before="0"/>
              <w:contextualSpacing/>
              <w:mirrorIndents/>
              <w:rPr>
                <w:sz w:val="18"/>
                <w:szCs w:val="18"/>
              </w:rPr>
            </w:pPr>
            <w:r w:rsidRPr="00CD2E4B">
              <w:rPr>
                <w:sz w:val="18"/>
                <w:szCs w:val="18"/>
              </w:rPr>
              <w:t>I. Immaterielle Vermögensgegenstände</w:t>
            </w:r>
          </w:p>
        </w:tc>
        <w:tc>
          <w:tcPr>
            <w:tcW w:w="1701" w:type="dxa"/>
            <w:shd w:val="clear" w:color="auto" w:fill="F0F0F0"/>
            <w:vAlign w:val="center"/>
            <w:hideMark/>
          </w:tcPr>
          <w:p w14:paraId="66CAEDAF" w14:textId="77777777" w:rsidR="002E4D4F" w:rsidRPr="00CD2E4B" w:rsidRDefault="002E4D4F" w:rsidP="00E82B21">
            <w:pPr>
              <w:spacing w:before="0"/>
              <w:contextualSpacing/>
              <w:mirrorIndents/>
              <w:jc w:val="right"/>
              <w:rPr>
                <w:sz w:val="18"/>
                <w:szCs w:val="18"/>
              </w:rPr>
            </w:pPr>
          </w:p>
        </w:tc>
        <w:tc>
          <w:tcPr>
            <w:tcW w:w="1559" w:type="dxa"/>
            <w:shd w:val="clear" w:color="auto" w:fill="F0F0F0"/>
            <w:vAlign w:val="center"/>
            <w:hideMark/>
          </w:tcPr>
          <w:p w14:paraId="120D3E19" w14:textId="77777777" w:rsidR="002E4D4F" w:rsidRPr="00CD2E4B" w:rsidRDefault="002E4D4F" w:rsidP="00E82B21">
            <w:pPr>
              <w:spacing w:before="0"/>
              <w:contextualSpacing/>
              <w:mirrorIndents/>
              <w:jc w:val="right"/>
              <w:rPr>
                <w:sz w:val="18"/>
                <w:szCs w:val="18"/>
              </w:rPr>
            </w:pPr>
          </w:p>
        </w:tc>
      </w:tr>
      <w:tr w:rsidR="002E4D4F" w:rsidRPr="00CD2E4B" w14:paraId="187D990F" w14:textId="77777777" w:rsidTr="00E82B21">
        <w:trPr>
          <w:tblCellSpacing w:w="0" w:type="dxa"/>
        </w:trPr>
        <w:tc>
          <w:tcPr>
            <w:tcW w:w="5842" w:type="dxa"/>
            <w:vAlign w:val="center"/>
            <w:hideMark/>
          </w:tcPr>
          <w:p w14:paraId="19F64C4D" w14:textId="77777777" w:rsidR="002E4D4F" w:rsidRPr="00CD2E4B" w:rsidRDefault="002E4D4F" w:rsidP="00484323">
            <w:pPr>
              <w:spacing w:before="0"/>
              <w:contextualSpacing/>
              <w:mirrorIndents/>
              <w:rPr>
                <w:sz w:val="18"/>
                <w:szCs w:val="18"/>
              </w:rPr>
            </w:pPr>
            <w:r w:rsidRPr="00CD2E4B">
              <w:rPr>
                <w:sz w:val="18"/>
                <w:szCs w:val="18"/>
              </w:rPr>
              <w:t>Entgeltlich erworbene gewerbliche Schutzrechte und ähnliche Rechte und Werte</w:t>
            </w:r>
          </w:p>
        </w:tc>
        <w:tc>
          <w:tcPr>
            <w:tcW w:w="1701" w:type="dxa"/>
            <w:vAlign w:val="center"/>
            <w:hideMark/>
          </w:tcPr>
          <w:p w14:paraId="18D9D987" w14:textId="77777777" w:rsidR="002E4D4F" w:rsidRPr="00CD2E4B" w:rsidRDefault="002E4D4F" w:rsidP="00E82B21">
            <w:pPr>
              <w:spacing w:before="0"/>
              <w:contextualSpacing/>
              <w:mirrorIndents/>
              <w:jc w:val="right"/>
              <w:rPr>
                <w:sz w:val="18"/>
                <w:szCs w:val="18"/>
              </w:rPr>
            </w:pPr>
            <w:r w:rsidRPr="00CD2E4B">
              <w:rPr>
                <w:sz w:val="18"/>
                <w:szCs w:val="18"/>
              </w:rPr>
              <w:t>79.802,00</w:t>
            </w:r>
          </w:p>
        </w:tc>
        <w:tc>
          <w:tcPr>
            <w:tcW w:w="1559" w:type="dxa"/>
            <w:vAlign w:val="center"/>
            <w:hideMark/>
          </w:tcPr>
          <w:p w14:paraId="787AC251" w14:textId="77777777" w:rsidR="002E4D4F" w:rsidRPr="00CD2E4B" w:rsidRDefault="002E4D4F" w:rsidP="00E82B21">
            <w:pPr>
              <w:spacing w:before="0"/>
              <w:contextualSpacing/>
              <w:mirrorIndents/>
              <w:jc w:val="right"/>
              <w:rPr>
                <w:sz w:val="18"/>
                <w:szCs w:val="18"/>
              </w:rPr>
            </w:pPr>
            <w:r w:rsidRPr="00CD2E4B">
              <w:rPr>
                <w:sz w:val="18"/>
                <w:szCs w:val="18"/>
              </w:rPr>
              <w:t>44.133,00</w:t>
            </w:r>
          </w:p>
        </w:tc>
      </w:tr>
      <w:tr w:rsidR="002E4D4F" w:rsidRPr="00CD2E4B" w14:paraId="38331509" w14:textId="77777777" w:rsidTr="00E82B21">
        <w:trPr>
          <w:tblCellSpacing w:w="0" w:type="dxa"/>
        </w:trPr>
        <w:tc>
          <w:tcPr>
            <w:tcW w:w="5842" w:type="dxa"/>
            <w:shd w:val="clear" w:color="auto" w:fill="F0F0F0"/>
            <w:vAlign w:val="center"/>
            <w:hideMark/>
          </w:tcPr>
          <w:p w14:paraId="2565A333" w14:textId="77777777" w:rsidR="002E4D4F" w:rsidRPr="00CD2E4B" w:rsidRDefault="002E4D4F" w:rsidP="00484323">
            <w:pPr>
              <w:spacing w:before="0"/>
              <w:contextualSpacing/>
              <w:mirrorIndents/>
              <w:rPr>
                <w:sz w:val="18"/>
                <w:szCs w:val="18"/>
              </w:rPr>
            </w:pPr>
            <w:r w:rsidRPr="00CD2E4B">
              <w:rPr>
                <w:sz w:val="18"/>
                <w:szCs w:val="18"/>
              </w:rPr>
              <w:t>II. Sachanlagen</w:t>
            </w:r>
          </w:p>
        </w:tc>
        <w:tc>
          <w:tcPr>
            <w:tcW w:w="1701" w:type="dxa"/>
            <w:shd w:val="clear" w:color="auto" w:fill="F0F0F0"/>
            <w:vAlign w:val="center"/>
            <w:hideMark/>
          </w:tcPr>
          <w:p w14:paraId="4732B1B2" w14:textId="77777777" w:rsidR="002E4D4F" w:rsidRPr="00CD2E4B" w:rsidRDefault="002E4D4F" w:rsidP="00E82B21">
            <w:pPr>
              <w:spacing w:before="0"/>
              <w:contextualSpacing/>
              <w:mirrorIndents/>
              <w:jc w:val="right"/>
              <w:rPr>
                <w:sz w:val="18"/>
                <w:szCs w:val="18"/>
              </w:rPr>
            </w:pPr>
          </w:p>
        </w:tc>
        <w:tc>
          <w:tcPr>
            <w:tcW w:w="1559" w:type="dxa"/>
            <w:shd w:val="clear" w:color="auto" w:fill="F0F0F0"/>
            <w:vAlign w:val="center"/>
            <w:hideMark/>
          </w:tcPr>
          <w:p w14:paraId="7ED7CF27" w14:textId="77777777" w:rsidR="002E4D4F" w:rsidRPr="00CD2E4B" w:rsidRDefault="002E4D4F" w:rsidP="00E82B21">
            <w:pPr>
              <w:spacing w:before="0"/>
              <w:contextualSpacing/>
              <w:mirrorIndents/>
              <w:jc w:val="right"/>
              <w:rPr>
                <w:sz w:val="18"/>
                <w:szCs w:val="18"/>
              </w:rPr>
            </w:pPr>
          </w:p>
        </w:tc>
      </w:tr>
      <w:tr w:rsidR="002E4D4F" w:rsidRPr="00CD2E4B" w14:paraId="660056DB" w14:textId="77777777" w:rsidTr="00E82B21">
        <w:trPr>
          <w:tblCellSpacing w:w="0" w:type="dxa"/>
        </w:trPr>
        <w:tc>
          <w:tcPr>
            <w:tcW w:w="5842" w:type="dxa"/>
            <w:vAlign w:val="center"/>
            <w:hideMark/>
          </w:tcPr>
          <w:p w14:paraId="1ABADC81" w14:textId="77777777" w:rsidR="002E4D4F" w:rsidRPr="00CD2E4B" w:rsidRDefault="002E4D4F" w:rsidP="00484323">
            <w:pPr>
              <w:spacing w:before="0"/>
              <w:contextualSpacing/>
              <w:mirrorIndents/>
              <w:rPr>
                <w:sz w:val="18"/>
                <w:szCs w:val="18"/>
              </w:rPr>
            </w:pPr>
            <w:r w:rsidRPr="00CD2E4B">
              <w:rPr>
                <w:sz w:val="18"/>
                <w:szCs w:val="18"/>
              </w:rPr>
              <w:t>1. Grundstücke, grundstücksgleiche Rechte und Bauten einschließlich der Bauten auf fremden Grundstücken</w:t>
            </w:r>
          </w:p>
        </w:tc>
        <w:tc>
          <w:tcPr>
            <w:tcW w:w="1701" w:type="dxa"/>
            <w:vAlign w:val="center"/>
            <w:hideMark/>
          </w:tcPr>
          <w:p w14:paraId="0DA9F95D" w14:textId="77777777" w:rsidR="002E4D4F" w:rsidRPr="00CD2E4B" w:rsidRDefault="002E4D4F" w:rsidP="00E82B21">
            <w:pPr>
              <w:spacing w:before="0"/>
              <w:contextualSpacing/>
              <w:mirrorIndents/>
              <w:jc w:val="right"/>
              <w:rPr>
                <w:sz w:val="18"/>
                <w:szCs w:val="18"/>
              </w:rPr>
            </w:pPr>
            <w:r w:rsidRPr="00CD2E4B">
              <w:rPr>
                <w:sz w:val="18"/>
                <w:szCs w:val="18"/>
              </w:rPr>
              <w:t>36.660,00</w:t>
            </w:r>
          </w:p>
        </w:tc>
        <w:tc>
          <w:tcPr>
            <w:tcW w:w="1559" w:type="dxa"/>
            <w:vAlign w:val="center"/>
            <w:hideMark/>
          </w:tcPr>
          <w:p w14:paraId="4CD0169D" w14:textId="77777777" w:rsidR="002E4D4F" w:rsidRPr="00CD2E4B" w:rsidRDefault="002E4D4F" w:rsidP="00E82B21">
            <w:pPr>
              <w:spacing w:before="0"/>
              <w:contextualSpacing/>
              <w:mirrorIndents/>
              <w:jc w:val="right"/>
              <w:rPr>
                <w:sz w:val="18"/>
                <w:szCs w:val="18"/>
              </w:rPr>
            </w:pPr>
            <w:r w:rsidRPr="00CD2E4B">
              <w:rPr>
                <w:sz w:val="18"/>
                <w:szCs w:val="18"/>
              </w:rPr>
              <w:t>41.053,00</w:t>
            </w:r>
          </w:p>
        </w:tc>
      </w:tr>
      <w:tr w:rsidR="002E4D4F" w:rsidRPr="00CD2E4B" w14:paraId="1393DF18" w14:textId="77777777" w:rsidTr="00E82B21">
        <w:trPr>
          <w:tblCellSpacing w:w="0" w:type="dxa"/>
        </w:trPr>
        <w:tc>
          <w:tcPr>
            <w:tcW w:w="5842" w:type="dxa"/>
            <w:shd w:val="clear" w:color="auto" w:fill="F0F0F0"/>
            <w:vAlign w:val="center"/>
            <w:hideMark/>
          </w:tcPr>
          <w:p w14:paraId="3610F6E3" w14:textId="77777777" w:rsidR="002E4D4F" w:rsidRPr="00CD2E4B" w:rsidRDefault="002E4D4F" w:rsidP="00484323">
            <w:pPr>
              <w:spacing w:before="0"/>
              <w:contextualSpacing/>
              <w:mirrorIndents/>
              <w:rPr>
                <w:sz w:val="18"/>
                <w:szCs w:val="18"/>
              </w:rPr>
            </w:pPr>
            <w:r w:rsidRPr="00CD2E4B">
              <w:rPr>
                <w:sz w:val="18"/>
                <w:szCs w:val="18"/>
              </w:rPr>
              <w:t>2. technische Anlagen und Maschinen</w:t>
            </w:r>
          </w:p>
        </w:tc>
        <w:tc>
          <w:tcPr>
            <w:tcW w:w="1701" w:type="dxa"/>
            <w:shd w:val="clear" w:color="auto" w:fill="F0F0F0"/>
            <w:vAlign w:val="center"/>
            <w:hideMark/>
          </w:tcPr>
          <w:p w14:paraId="43DC2873" w14:textId="77777777" w:rsidR="002E4D4F" w:rsidRPr="00CD2E4B" w:rsidRDefault="002E4D4F" w:rsidP="00E82B21">
            <w:pPr>
              <w:spacing w:before="0"/>
              <w:contextualSpacing/>
              <w:mirrorIndents/>
              <w:jc w:val="right"/>
              <w:rPr>
                <w:sz w:val="18"/>
                <w:szCs w:val="18"/>
              </w:rPr>
            </w:pPr>
            <w:r w:rsidRPr="00CD2E4B">
              <w:rPr>
                <w:sz w:val="18"/>
                <w:szCs w:val="18"/>
              </w:rPr>
              <w:t>11.570.460,00</w:t>
            </w:r>
          </w:p>
        </w:tc>
        <w:tc>
          <w:tcPr>
            <w:tcW w:w="1559" w:type="dxa"/>
            <w:shd w:val="clear" w:color="auto" w:fill="F0F0F0"/>
            <w:vAlign w:val="center"/>
            <w:hideMark/>
          </w:tcPr>
          <w:p w14:paraId="70089047" w14:textId="77777777" w:rsidR="002E4D4F" w:rsidRPr="00CD2E4B" w:rsidRDefault="002E4D4F" w:rsidP="00E82B21">
            <w:pPr>
              <w:spacing w:before="0"/>
              <w:contextualSpacing/>
              <w:mirrorIndents/>
              <w:jc w:val="right"/>
              <w:rPr>
                <w:sz w:val="18"/>
                <w:szCs w:val="18"/>
              </w:rPr>
            </w:pPr>
            <w:r w:rsidRPr="00CD2E4B">
              <w:rPr>
                <w:sz w:val="18"/>
                <w:szCs w:val="18"/>
              </w:rPr>
              <w:t>9.910.384,00</w:t>
            </w:r>
          </w:p>
        </w:tc>
      </w:tr>
      <w:tr w:rsidR="002E4D4F" w:rsidRPr="00CD2E4B" w14:paraId="515F62EE" w14:textId="77777777" w:rsidTr="00E82B21">
        <w:trPr>
          <w:tblCellSpacing w:w="0" w:type="dxa"/>
        </w:trPr>
        <w:tc>
          <w:tcPr>
            <w:tcW w:w="5842" w:type="dxa"/>
            <w:vAlign w:val="center"/>
            <w:hideMark/>
          </w:tcPr>
          <w:p w14:paraId="2AE25364" w14:textId="77777777" w:rsidR="002E4D4F" w:rsidRPr="00CD2E4B" w:rsidRDefault="002E4D4F" w:rsidP="00484323">
            <w:pPr>
              <w:spacing w:before="0"/>
              <w:contextualSpacing/>
              <w:mirrorIndents/>
              <w:rPr>
                <w:sz w:val="18"/>
                <w:szCs w:val="18"/>
              </w:rPr>
            </w:pPr>
            <w:r w:rsidRPr="00CD2E4B">
              <w:rPr>
                <w:sz w:val="18"/>
                <w:szCs w:val="18"/>
              </w:rPr>
              <w:t>3. andere Anlagen, Betriebs- und Geschäftsausstattung</w:t>
            </w:r>
          </w:p>
        </w:tc>
        <w:tc>
          <w:tcPr>
            <w:tcW w:w="1701" w:type="dxa"/>
            <w:vAlign w:val="center"/>
            <w:hideMark/>
          </w:tcPr>
          <w:p w14:paraId="47A5FB98" w14:textId="77777777" w:rsidR="002E4D4F" w:rsidRPr="00CD2E4B" w:rsidRDefault="002E4D4F" w:rsidP="00E82B21">
            <w:pPr>
              <w:spacing w:before="0"/>
              <w:contextualSpacing/>
              <w:mirrorIndents/>
              <w:jc w:val="right"/>
              <w:rPr>
                <w:sz w:val="18"/>
                <w:szCs w:val="18"/>
              </w:rPr>
            </w:pPr>
            <w:r w:rsidRPr="00CD2E4B">
              <w:rPr>
                <w:sz w:val="18"/>
                <w:szCs w:val="18"/>
              </w:rPr>
              <w:t>2.174.989,00</w:t>
            </w:r>
          </w:p>
        </w:tc>
        <w:tc>
          <w:tcPr>
            <w:tcW w:w="1559" w:type="dxa"/>
            <w:vAlign w:val="center"/>
            <w:hideMark/>
          </w:tcPr>
          <w:p w14:paraId="45B1CF02" w14:textId="77777777" w:rsidR="002E4D4F" w:rsidRPr="00CD2E4B" w:rsidRDefault="002E4D4F" w:rsidP="00E82B21">
            <w:pPr>
              <w:spacing w:before="0"/>
              <w:contextualSpacing/>
              <w:mirrorIndents/>
              <w:jc w:val="right"/>
              <w:rPr>
                <w:sz w:val="18"/>
                <w:szCs w:val="18"/>
              </w:rPr>
            </w:pPr>
            <w:r w:rsidRPr="00CD2E4B">
              <w:rPr>
                <w:sz w:val="18"/>
                <w:szCs w:val="18"/>
              </w:rPr>
              <w:t>2.359.711,00</w:t>
            </w:r>
          </w:p>
        </w:tc>
      </w:tr>
      <w:tr w:rsidR="002E4D4F" w:rsidRPr="00CD2E4B" w14:paraId="3B5EEE34" w14:textId="77777777" w:rsidTr="00E82B21">
        <w:trPr>
          <w:tblCellSpacing w:w="0" w:type="dxa"/>
        </w:trPr>
        <w:tc>
          <w:tcPr>
            <w:tcW w:w="5842" w:type="dxa"/>
            <w:shd w:val="clear" w:color="auto" w:fill="F0F0F0"/>
            <w:vAlign w:val="center"/>
            <w:hideMark/>
          </w:tcPr>
          <w:p w14:paraId="5363312E" w14:textId="77777777" w:rsidR="002E4D4F" w:rsidRPr="00CD2E4B" w:rsidRDefault="002E4D4F" w:rsidP="00484323">
            <w:pPr>
              <w:spacing w:before="0"/>
              <w:contextualSpacing/>
              <w:mirrorIndents/>
              <w:rPr>
                <w:sz w:val="18"/>
                <w:szCs w:val="18"/>
              </w:rPr>
            </w:pPr>
            <w:r w:rsidRPr="00CD2E4B">
              <w:rPr>
                <w:sz w:val="18"/>
                <w:szCs w:val="18"/>
              </w:rPr>
              <w:t>4. geleistete Anzahlungen und Anlagen im Bau</w:t>
            </w:r>
          </w:p>
        </w:tc>
        <w:tc>
          <w:tcPr>
            <w:tcW w:w="1701" w:type="dxa"/>
            <w:shd w:val="clear" w:color="auto" w:fill="F0F0F0"/>
            <w:vAlign w:val="center"/>
            <w:hideMark/>
          </w:tcPr>
          <w:p w14:paraId="1F62A10F" w14:textId="77777777" w:rsidR="002E4D4F" w:rsidRPr="00CD2E4B" w:rsidRDefault="002E4D4F" w:rsidP="00E82B21">
            <w:pPr>
              <w:spacing w:before="0"/>
              <w:contextualSpacing/>
              <w:mirrorIndents/>
              <w:jc w:val="right"/>
              <w:rPr>
                <w:sz w:val="18"/>
                <w:szCs w:val="18"/>
              </w:rPr>
            </w:pPr>
            <w:r w:rsidRPr="00CD2E4B">
              <w:rPr>
                <w:sz w:val="18"/>
                <w:szCs w:val="18"/>
              </w:rPr>
              <w:t>1.432.316,82</w:t>
            </w:r>
          </w:p>
        </w:tc>
        <w:tc>
          <w:tcPr>
            <w:tcW w:w="1559" w:type="dxa"/>
            <w:shd w:val="clear" w:color="auto" w:fill="F0F0F0"/>
            <w:vAlign w:val="center"/>
            <w:hideMark/>
          </w:tcPr>
          <w:p w14:paraId="25C96CC8" w14:textId="77777777" w:rsidR="002E4D4F" w:rsidRPr="00CD2E4B" w:rsidRDefault="002E4D4F" w:rsidP="00E82B21">
            <w:pPr>
              <w:spacing w:before="0"/>
              <w:contextualSpacing/>
              <w:mirrorIndents/>
              <w:jc w:val="right"/>
              <w:rPr>
                <w:sz w:val="18"/>
                <w:szCs w:val="18"/>
              </w:rPr>
            </w:pPr>
            <w:r w:rsidRPr="00CD2E4B">
              <w:rPr>
                <w:sz w:val="18"/>
                <w:szCs w:val="18"/>
              </w:rPr>
              <w:t>279.442,94</w:t>
            </w:r>
          </w:p>
        </w:tc>
      </w:tr>
      <w:tr w:rsidR="002E4D4F" w:rsidRPr="00CD2E4B" w14:paraId="2659A559" w14:textId="77777777" w:rsidTr="00E82B21">
        <w:trPr>
          <w:tblCellSpacing w:w="0" w:type="dxa"/>
        </w:trPr>
        <w:tc>
          <w:tcPr>
            <w:tcW w:w="5842" w:type="dxa"/>
            <w:vAlign w:val="center"/>
            <w:hideMark/>
          </w:tcPr>
          <w:p w14:paraId="43E5078C" w14:textId="77777777" w:rsidR="002E4D4F" w:rsidRPr="00CD2E4B" w:rsidRDefault="002E4D4F" w:rsidP="00484323">
            <w:pPr>
              <w:spacing w:before="0"/>
              <w:contextualSpacing/>
              <w:mirrorIndents/>
              <w:rPr>
                <w:sz w:val="18"/>
                <w:szCs w:val="18"/>
              </w:rPr>
            </w:pPr>
          </w:p>
        </w:tc>
        <w:tc>
          <w:tcPr>
            <w:tcW w:w="1701" w:type="dxa"/>
            <w:vAlign w:val="center"/>
            <w:hideMark/>
          </w:tcPr>
          <w:p w14:paraId="445F6AB7" w14:textId="77777777" w:rsidR="002E4D4F" w:rsidRPr="00CD2E4B" w:rsidRDefault="002E4D4F" w:rsidP="00E82B21">
            <w:pPr>
              <w:spacing w:before="0"/>
              <w:contextualSpacing/>
              <w:mirrorIndents/>
              <w:jc w:val="right"/>
              <w:rPr>
                <w:sz w:val="18"/>
                <w:szCs w:val="18"/>
              </w:rPr>
            </w:pPr>
            <w:r w:rsidRPr="00CD2E4B">
              <w:rPr>
                <w:sz w:val="18"/>
                <w:szCs w:val="18"/>
              </w:rPr>
              <w:t>15.214.425,82</w:t>
            </w:r>
          </w:p>
        </w:tc>
        <w:tc>
          <w:tcPr>
            <w:tcW w:w="1559" w:type="dxa"/>
            <w:vAlign w:val="center"/>
            <w:hideMark/>
          </w:tcPr>
          <w:p w14:paraId="1B8DB4B1" w14:textId="77777777" w:rsidR="002E4D4F" w:rsidRPr="00CD2E4B" w:rsidRDefault="002E4D4F" w:rsidP="00E82B21">
            <w:pPr>
              <w:spacing w:before="0"/>
              <w:contextualSpacing/>
              <w:mirrorIndents/>
              <w:jc w:val="right"/>
              <w:rPr>
                <w:sz w:val="18"/>
                <w:szCs w:val="18"/>
              </w:rPr>
            </w:pPr>
            <w:r w:rsidRPr="00CD2E4B">
              <w:rPr>
                <w:sz w:val="18"/>
                <w:szCs w:val="18"/>
              </w:rPr>
              <w:t>12.590.590,94</w:t>
            </w:r>
          </w:p>
        </w:tc>
      </w:tr>
      <w:tr w:rsidR="002E4D4F" w:rsidRPr="00CD2E4B" w14:paraId="5FCE276E" w14:textId="77777777" w:rsidTr="00E82B21">
        <w:trPr>
          <w:tblCellSpacing w:w="0" w:type="dxa"/>
        </w:trPr>
        <w:tc>
          <w:tcPr>
            <w:tcW w:w="5842" w:type="dxa"/>
            <w:shd w:val="clear" w:color="auto" w:fill="F0F0F0"/>
            <w:vAlign w:val="center"/>
            <w:hideMark/>
          </w:tcPr>
          <w:p w14:paraId="5828FFE7" w14:textId="77777777" w:rsidR="002E4D4F" w:rsidRPr="00CD2E4B" w:rsidRDefault="002E4D4F" w:rsidP="00484323">
            <w:pPr>
              <w:spacing w:before="0"/>
              <w:contextualSpacing/>
              <w:mirrorIndents/>
              <w:rPr>
                <w:sz w:val="18"/>
                <w:szCs w:val="18"/>
              </w:rPr>
            </w:pPr>
            <w:r w:rsidRPr="00CD2E4B">
              <w:rPr>
                <w:sz w:val="18"/>
                <w:szCs w:val="18"/>
              </w:rPr>
              <w:lastRenderedPageBreak/>
              <w:t>III. Finanzanlagen</w:t>
            </w:r>
          </w:p>
        </w:tc>
        <w:tc>
          <w:tcPr>
            <w:tcW w:w="1701" w:type="dxa"/>
            <w:shd w:val="clear" w:color="auto" w:fill="F0F0F0"/>
            <w:vAlign w:val="center"/>
            <w:hideMark/>
          </w:tcPr>
          <w:p w14:paraId="37EE2014" w14:textId="77777777" w:rsidR="002E4D4F" w:rsidRPr="00CD2E4B" w:rsidRDefault="002E4D4F" w:rsidP="00E82B21">
            <w:pPr>
              <w:spacing w:before="0"/>
              <w:contextualSpacing/>
              <w:mirrorIndents/>
              <w:jc w:val="right"/>
              <w:rPr>
                <w:sz w:val="18"/>
                <w:szCs w:val="18"/>
              </w:rPr>
            </w:pPr>
          </w:p>
        </w:tc>
        <w:tc>
          <w:tcPr>
            <w:tcW w:w="1559" w:type="dxa"/>
            <w:shd w:val="clear" w:color="auto" w:fill="F0F0F0"/>
            <w:vAlign w:val="center"/>
            <w:hideMark/>
          </w:tcPr>
          <w:p w14:paraId="45516CF7" w14:textId="77777777" w:rsidR="002E4D4F" w:rsidRPr="00CD2E4B" w:rsidRDefault="002E4D4F" w:rsidP="00E82B21">
            <w:pPr>
              <w:spacing w:before="0"/>
              <w:contextualSpacing/>
              <w:mirrorIndents/>
              <w:jc w:val="right"/>
              <w:rPr>
                <w:sz w:val="18"/>
                <w:szCs w:val="18"/>
              </w:rPr>
            </w:pPr>
          </w:p>
        </w:tc>
      </w:tr>
      <w:tr w:rsidR="002E4D4F" w:rsidRPr="00CD2E4B" w14:paraId="395CA729" w14:textId="77777777" w:rsidTr="00E82B21">
        <w:trPr>
          <w:tblCellSpacing w:w="0" w:type="dxa"/>
        </w:trPr>
        <w:tc>
          <w:tcPr>
            <w:tcW w:w="5842" w:type="dxa"/>
            <w:vAlign w:val="center"/>
            <w:hideMark/>
          </w:tcPr>
          <w:p w14:paraId="02CB8FCA" w14:textId="77777777" w:rsidR="002E4D4F" w:rsidRPr="00CD2E4B" w:rsidRDefault="002E4D4F" w:rsidP="00484323">
            <w:pPr>
              <w:spacing w:before="0"/>
              <w:contextualSpacing/>
              <w:mirrorIndents/>
              <w:rPr>
                <w:sz w:val="18"/>
                <w:szCs w:val="18"/>
              </w:rPr>
            </w:pPr>
            <w:r w:rsidRPr="00CD2E4B">
              <w:rPr>
                <w:sz w:val="18"/>
                <w:szCs w:val="18"/>
              </w:rPr>
              <w:t>Anteile an verbundenen Unternehmen</w:t>
            </w:r>
          </w:p>
        </w:tc>
        <w:tc>
          <w:tcPr>
            <w:tcW w:w="1701" w:type="dxa"/>
            <w:vAlign w:val="center"/>
            <w:hideMark/>
          </w:tcPr>
          <w:p w14:paraId="5657F047" w14:textId="77777777" w:rsidR="002E4D4F" w:rsidRPr="00CD2E4B" w:rsidRDefault="002E4D4F" w:rsidP="00E82B21">
            <w:pPr>
              <w:spacing w:before="0"/>
              <w:contextualSpacing/>
              <w:mirrorIndents/>
              <w:jc w:val="right"/>
              <w:rPr>
                <w:sz w:val="18"/>
                <w:szCs w:val="18"/>
              </w:rPr>
            </w:pPr>
            <w:r w:rsidRPr="00CD2E4B">
              <w:rPr>
                <w:sz w:val="18"/>
                <w:szCs w:val="18"/>
              </w:rPr>
              <w:t>11.911.416,85</w:t>
            </w:r>
          </w:p>
        </w:tc>
        <w:tc>
          <w:tcPr>
            <w:tcW w:w="1559" w:type="dxa"/>
            <w:vAlign w:val="center"/>
            <w:hideMark/>
          </w:tcPr>
          <w:p w14:paraId="06A9C0F8" w14:textId="77777777" w:rsidR="002E4D4F" w:rsidRPr="00CD2E4B" w:rsidRDefault="002E4D4F" w:rsidP="00E82B21">
            <w:pPr>
              <w:spacing w:before="0"/>
              <w:contextualSpacing/>
              <w:mirrorIndents/>
              <w:jc w:val="right"/>
              <w:rPr>
                <w:sz w:val="18"/>
                <w:szCs w:val="18"/>
              </w:rPr>
            </w:pPr>
            <w:r w:rsidRPr="00CD2E4B">
              <w:rPr>
                <w:sz w:val="18"/>
                <w:szCs w:val="18"/>
              </w:rPr>
              <w:t>11.911.416,85</w:t>
            </w:r>
          </w:p>
        </w:tc>
      </w:tr>
      <w:tr w:rsidR="002E4D4F" w:rsidRPr="00CD2E4B" w14:paraId="34026020" w14:textId="77777777" w:rsidTr="00E82B21">
        <w:trPr>
          <w:tblCellSpacing w:w="0" w:type="dxa"/>
        </w:trPr>
        <w:tc>
          <w:tcPr>
            <w:tcW w:w="5842" w:type="dxa"/>
            <w:shd w:val="clear" w:color="auto" w:fill="F0F0F0"/>
            <w:vAlign w:val="center"/>
            <w:hideMark/>
          </w:tcPr>
          <w:p w14:paraId="3285AB29" w14:textId="77777777" w:rsidR="002E4D4F" w:rsidRPr="00CD2E4B" w:rsidRDefault="002E4D4F" w:rsidP="00484323">
            <w:pPr>
              <w:spacing w:before="0"/>
              <w:contextualSpacing/>
              <w:mirrorIndents/>
              <w:rPr>
                <w:sz w:val="18"/>
                <w:szCs w:val="18"/>
              </w:rPr>
            </w:pPr>
          </w:p>
        </w:tc>
        <w:tc>
          <w:tcPr>
            <w:tcW w:w="1701" w:type="dxa"/>
            <w:shd w:val="clear" w:color="auto" w:fill="F0F0F0"/>
            <w:vAlign w:val="center"/>
            <w:hideMark/>
          </w:tcPr>
          <w:p w14:paraId="4D040083" w14:textId="77777777" w:rsidR="002E4D4F" w:rsidRPr="00CD2E4B" w:rsidRDefault="002E4D4F" w:rsidP="00E82B21">
            <w:pPr>
              <w:spacing w:before="0"/>
              <w:contextualSpacing/>
              <w:mirrorIndents/>
              <w:jc w:val="right"/>
              <w:rPr>
                <w:sz w:val="18"/>
                <w:szCs w:val="18"/>
              </w:rPr>
            </w:pPr>
            <w:r w:rsidRPr="00CD2E4B">
              <w:rPr>
                <w:sz w:val="18"/>
                <w:szCs w:val="18"/>
              </w:rPr>
              <w:t>27.205.644,67</w:t>
            </w:r>
          </w:p>
        </w:tc>
        <w:tc>
          <w:tcPr>
            <w:tcW w:w="1559" w:type="dxa"/>
            <w:shd w:val="clear" w:color="auto" w:fill="F0F0F0"/>
            <w:vAlign w:val="center"/>
            <w:hideMark/>
          </w:tcPr>
          <w:p w14:paraId="2D947968" w14:textId="77777777" w:rsidR="002E4D4F" w:rsidRPr="00CD2E4B" w:rsidRDefault="002E4D4F" w:rsidP="00E82B21">
            <w:pPr>
              <w:spacing w:before="0"/>
              <w:contextualSpacing/>
              <w:mirrorIndents/>
              <w:jc w:val="right"/>
              <w:rPr>
                <w:sz w:val="18"/>
                <w:szCs w:val="18"/>
              </w:rPr>
            </w:pPr>
            <w:r w:rsidRPr="00CD2E4B">
              <w:rPr>
                <w:sz w:val="18"/>
                <w:szCs w:val="18"/>
              </w:rPr>
              <w:t>24.546.140,79</w:t>
            </w:r>
          </w:p>
        </w:tc>
      </w:tr>
      <w:tr w:rsidR="002E4D4F" w:rsidRPr="00CD2E4B" w14:paraId="4A71F35E" w14:textId="77777777" w:rsidTr="00E82B21">
        <w:trPr>
          <w:tblCellSpacing w:w="0" w:type="dxa"/>
        </w:trPr>
        <w:tc>
          <w:tcPr>
            <w:tcW w:w="5842" w:type="dxa"/>
            <w:vAlign w:val="center"/>
            <w:hideMark/>
          </w:tcPr>
          <w:p w14:paraId="5A2E8131" w14:textId="77777777" w:rsidR="002E4D4F" w:rsidRPr="00CD2E4B" w:rsidRDefault="002E4D4F" w:rsidP="00484323">
            <w:pPr>
              <w:spacing w:before="0"/>
              <w:contextualSpacing/>
              <w:mirrorIndents/>
              <w:rPr>
                <w:sz w:val="18"/>
                <w:szCs w:val="18"/>
              </w:rPr>
            </w:pPr>
            <w:r w:rsidRPr="00CD2E4B">
              <w:rPr>
                <w:sz w:val="18"/>
                <w:szCs w:val="18"/>
              </w:rPr>
              <w:t>B. Umlaufvermögen</w:t>
            </w:r>
          </w:p>
        </w:tc>
        <w:tc>
          <w:tcPr>
            <w:tcW w:w="1701" w:type="dxa"/>
            <w:vAlign w:val="center"/>
            <w:hideMark/>
          </w:tcPr>
          <w:p w14:paraId="451F1F46" w14:textId="77777777" w:rsidR="002E4D4F" w:rsidRPr="00CD2E4B" w:rsidRDefault="002E4D4F" w:rsidP="00E82B21">
            <w:pPr>
              <w:spacing w:before="0"/>
              <w:contextualSpacing/>
              <w:mirrorIndents/>
              <w:jc w:val="right"/>
              <w:rPr>
                <w:sz w:val="18"/>
                <w:szCs w:val="18"/>
              </w:rPr>
            </w:pPr>
          </w:p>
        </w:tc>
        <w:tc>
          <w:tcPr>
            <w:tcW w:w="1559" w:type="dxa"/>
            <w:vAlign w:val="center"/>
            <w:hideMark/>
          </w:tcPr>
          <w:p w14:paraId="55FF9E8A" w14:textId="77777777" w:rsidR="002E4D4F" w:rsidRPr="00CD2E4B" w:rsidRDefault="002E4D4F" w:rsidP="00E82B21">
            <w:pPr>
              <w:spacing w:before="0"/>
              <w:contextualSpacing/>
              <w:mirrorIndents/>
              <w:jc w:val="right"/>
              <w:rPr>
                <w:sz w:val="18"/>
                <w:szCs w:val="18"/>
              </w:rPr>
            </w:pPr>
          </w:p>
        </w:tc>
      </w:tr>
      <w:tr w:rsidR="002E4D4F" w:rsidRPr="00CD2E4B" w14:paraId="2EF3588D" w14:textId="77777777" w:rsidTr="00E82B21">
        <w:trPr>
          <w:tblCellSpacing w:w="0" w:type="dxa"/>
        </w:trPr>
        <w:tc>
          <w:tcPr>
            <w:tcW w:w="5842" w:type="dxa"/>
            <w:shd w:val="clear" w:color="auto" w:fill="F0F0F0"/>
            <w:vAlign w:val="center"/>
            <w:hideMark/>
          </w:tcPr>
          <w:p w14:paraId="109231D2" w14:textId="77777777" w:rsidR="002E4D4F" w:rsidRPr="00CD2E4B" w:rsidRDefault="002E4D4F" w:rsidP="00484323">
            <w:pPr>
              <w:spacing w:before="0"/>
              <w:contextualSpacing/>
              <w:mirrorIndents/>
              <w:rPr>
                <w:sz w:val="18"/>
                <w:szCs w:val="18"/>
              </w:rPr>
            </w:pPr>
            <w:r w:rsidRPr="00CD2E4B">
              <w:rPr>
                <w:sz w:val="18"/>
                <w:szCs w:val="18"/>
              </w:rPr>
              <w:t>I. Vorräte</w:t>
            </w:r>
          </w:p>
        </w:tc>
        <w:tc>
          <w:tcPr>
            <w:tcW w:w="1701" w:type="dxa"/>
            <w:shd w:val="clear" w:color="auto" w:fill="F0F0F0"/>
            <w:vAlign w:val="center"/>
            <w:hideMark/>
          </w:tcPr>
          <w:p w14:paraId="538E0281" w14:textId="77777777" w:rsidR="002E4D4F" w:rsidRPr="00CD2E4B" w:rsidRDefault="002E4D4F" w:rsidP="00E82B21">
            <w:pPr>
              <w:spacing w:before="0"/>
              <w:contextualSpacing/>
              <w:mirrorIndents/>
              <w:jc w:val="right"/>
              <w:rPr>
                <w:sz w:val="18"/>
                <w:szCs w:val="18"/>
              </w:rPr>
            </w:pPr>
          </w:p>
        </w:tc>
        <w:tc>
          <w:tcPr>
            <w:tcW w:w="1559" w:type="dxa"/>
            <w:shd w:val="clear" w:color="auto" w:fill="F0F0F0"/>
            <w:vAlign w:val="center"/>
            <w:hideMark/>
          </w:tcPr>
          <w:p w14:paraId="0A02F811" w14:textId="77777777" w:rsidR="002E4D4F" w:rsidRPr="00CD2E4B" w:rsidRDefault="002E4D4F" w:rsidP="00E82B21">
            <w:pPr>
              <w:spacing w:before="0"/>
              <w:contextualSpacing/>
              <w:mirrorIndents/>
              <w:jc w:val="right"/>
              <w:rPr>
                <w:sz w:val="18"/>
                <w:szCs w:val="18"/>
              </w:rPr>
            </w:pPr>
          </w:p>
        </w:tc>
      </w:tr>
      <w:tr w:rsidR="002E4D4F" w:rsidRPr="00CD2E4B" w14:paraId="1D2D2778" w14:textId="77777777" w:rsidTr="00E82B21">
        <w:trPr>
          <w:tblCellSpacing w:w="0" w:type="dxa"/>
        </w:trPr>
        <w:tc>
          <w:tcPr>
            <w:tcW w:w="5842" w:type="dxa"/>
            <w:vAlign w:val="center"/>
            <w:hideMark/>
          </w:tcPr>
          <w:p w14:paraId="4898F1CA" w14:textId="77777777" w:rsidR="002E4D4F" w:rsidRPr="00CD2E4B" w:rsidRDefault="002E4D4F" w:rsidP="00484323">
            <w:pPr>
              <w:spacing w:before="0"/>
              <w:contextualSpacing/>
              <w:mirrorIndents/>
              <w:rPr>
                <w:sz w:val="18"/>
                <w:szCs w:val="18"/>
              </w:rPr>
            </w:pPr>
            <w:r w:rsidRPr="00CD2E4B">
              <w:rPr>
                <w:sz w:val="18"/>
                <w:szCs w:val="18"/>
              </w:rPr>
              <w:t>1. Roh-, Hilfs- und Betriebsstoffe</w:t>
            </w:r>
          </w:p>
        </w:tc>
        <w:tc>
          <w:tcPr>
            <w:tcW w:w="1701" w:type="dxa"/>
            <w:vAlign w:val="center"/>
            <w:hideMark/>
          </w:tcPr>
          <w:p w14:paraId="2E80A0AF" w14:textId="77777777" w:rsidR="002E4D4F" w:rsidRPr="00CD2E4B" w:rsidRDefault="002E4D4F" w:rsidP="00E82B21">
            <w:pPr>
              <w:spacing w:before="0"/>
              <w:contextualSpacing/>
              <w:mirrorIndents/>
              <w:jc w:val="right"/>
              <w:rPr>
                <w:sz w:val="18"/>
                <w:szCs w:val="18"/>
              </w:rPr>
            </w:pPr>
            <w:r w:rsidRPr="00CD2E4B">
              <w:rPr>
                <w:sz w:val="18"/>
                <w:szCs w:val="18"/>
              </w:rPr>
              <w:t>654.919,27</w:t>
            </w:r>
          </w:p>
        </w:tc>
        <w:tc>
          <w:tcPr>
            <w:tcW w:w="1559" w:type="dxa"/>
            <w:vAlign w:val="center"/>
            <w:hideMark/>
          </w:tcPr>
          <w:p w14:paraId="17A12C4C" w14:textId="77777777" w:rsidR="002E4D4F" w:rsidRPr="00CD2E4B" w:rsidRDefault="002E4D4F" w:rsidP="00E82B21">
            <w:pPr>
              <w:spacing w:before="0"/>
              <w:contextualSpacing/>
              <w:mirrorIndents/>
              <w:jc w:val="right"/>
              <w:rPr>
                <w:sz w:val="18"/>
                <w:szCs w:val="18"/>
              </w:rPr>
            </w:pPr>
            <w:r w:rsidRPr="00CD2E4B">
              <w:rPr>
                <w:sz w:val="18"/>
                <w:szCs w:val="18"/>
              </w:rPr>
              <w:t>702.018,33</w:t>
            </w:r>
          </w:p>
        </w:tc>
      </w:tr>
      <w:tr w:rsidR="002E4D4F" w:rsidRPr="00CD2E4B" w14:paraId="1D739207" w14:textId="77777777" w:rsidTr="00E82B21">
        <w:trPr>
          <w:tblCellSpacing w:w="0" w:type="dxa"/>
        </w:trPr>
        <w:tc>
          <w:tcPr>
            <w:tcW w:w="5842" w:type="dxa"/>
            <w:shd w:val="clear" w:color="auto" w:fill="F0F0F0"/>
            <w:vAlign w:val="center"/>
            <w:hideMark/>
          </w:tcPr>
          <w:p w14:paraId="684FE17C" w14:textId="77777777" w:rsidR="002E4D4F" w:rsidRPr="00CD2E4B" w:rsidRDefault="002E4D4F" w:rsidP="00484323">
            <w:pPr>
              <w:spacing w:before="0"/>
              <w:contextualSpacing/>
              <w:mirrorIndents/>
              <w:rPr>
                <w:sz w:val="18"/>
                <w:szCs w:val="18"/>
              </w:rPr>
            </w:pPr>
            <w:r w:rsidRPr="00CD2E4B">
              <w:rPr>
                <w:sz w:val="18"/>
                <w:szCs w:val="18"/>
              </w:rPr>
              <w:t>2. nicht abgerechnete Bauleistungen</w:t>
            </w:r>
          </w:p>
        </w:tc>
        <w:tc>
          <w:tcPr>
            <w:tcW w:w="1701" w:type="dxa"/>
            <w:shd w:val="clear" w:color="auto" w:fill="F0F0F0"/>
            <w:vAlign w:val="center"/>
            <w:hideMark/>
          </w:tcPr>
          <w:p w14:paraId="5B8A4968" w14:textId="77777777" w:rsidR="002E4D4F" w:rsidRPr="00CD2E4B" w:rsidRDefault="002E4D4F" w:rsidP="00E82B21">
            <w:pPr>
              <w:spacing w:before="0"/>
              <w:contextualSpacing/>
              <w:mirrorIndents/>
              <w:jc w:val="right"/>
              <w:rPr>
                <w:sz w:val="18"/>
                <w:szCs w:val="18"/>
              </w:rPr>
            </w:pPr>
            <w:r w:rsidRPr="00CD2E4B">
              <w:rPr>
                <w:sz w:val="18"/>
                <w:szCs w:val="18"/>
              </w:rPr>
              <w:t>161.738.696,40</w:t>
            </w:r>
          </w:p>
        </w:tc>
        <w:tc>
          <w:tcPr>
            <w:tcW w:w="1559" w:type="dxa"/>
            <w:shd w:val="clear" w:color="auto" w:fill="F0F0F0"/>
            <w:vAlign w:val="center"/>
            <w:hideMark/>
          </w:tcPr>
          <w:p w14:paraId="632F022E" w14:textId="77777777" w:rsidR="002E4D4F" w:rsidRPr="00CD2E4B" w:rsidRDefault="002E4D4F" w:rsidP="00E82B21">
            <w:pPr>
              <w:spacing w:before="0"/>
              <w:contextualSpacing/>
              <w:mirrorIndents/>
              <w:jc w:val="right"/>
              <w:rPr>
                <w:sz w:val="18"/>
                <w:szCs w:val="18"/>
              </w:rPr>
            </w:pPr>
            <w:r w:rsidRPr="00CD2E4B">
              <w:rPr>
                <w:sz w:val="18"/>
                <w:szCs w:val="18"/>
              </w:rPr>
              <w:t>128.011.933,26</w:t>
            </w:r>
          </w:p>
        </w:tc>
      </w:tr>
      <w:tr w:rsidR="002E4D4F" w:rsidRPr="00CD2E4B" w14:paraId="7EDB5E23" w14:textId="77777777" w:rsidTr="00E82B21">
        <w:trPr>
          <w:tblCellSpacing w:w="0" w:type="dxa"/>
        </w:trPr>
        <w:tc>
          <w:tcPr>
            <w:tcW w:w="5842" w:type="dxa"/>
            <w:vAlign w:val="center"/>
            <w:hideMark/>
          </w:tcPr>
          <w:p w14:paraId="75B5DEEC" w14:textId="77777777" w:rsidR="002E4D4F" w:rsidRPr="00CD2E4B" w:rsidRDefault="002E4D4F" w:rsidP="00484323">
            <w:pPr>
              <w:spacing w:before="0"/>
              <w:contextualSpacing/>
              <w:mirrorIndents/>
              <w:rPr>
                <w:sz w:val="18"/>
                <w:szCs w:val="18"/>
              </w:rPr>
            </w:pPr>
            <w:r w:rsidRPr="00CD2E4B">
              <w:rPr>
                <w:sz w:val="18"/>
                <w:szCs w:val="18"/>
              </w:rPr>
              <w:t>./. erhaltene Abschlagszahlungen</w:t>
            </w:r>
          </w:p>
        </w:tc>
        <w:tc>
          <w:tcPr>
            <w:tcW w:w="1701" w:type="dxa"/>
            <w:vAlign w:val="center"/>
            <w:hideMark/>
          </w:tcPr>
          <w:p w14:paraId="5D35EF68" w14:textId="77777777" w:rsidR="002E4D4F" w:rsidRPr="00CD2E4B" w:rsidRDefault="002E4D4F" w:rsidP="00E82B21">
            <w:pPr>
              <w:spacing w:before="0"/>
              <w:contextualSpacing/>
              <w:mirrorIndents/>
              <w:jc w:val="right"/>
              <w:rPr>
                <w:sz w:val="18"/>
                <w:szCs w:val="18"/>
              </w:rPr>
            </w:pPr>
            <w:r w:rsidRPr="00CD2E4B">
              <w:rPr>
                <w:sz w:val="18"/>
                <w:szCs w:val="18"/>
              </w:rPr>
              <w:t>-150.988.499,75</w:t>
            </w:r>
          </w:p>
        </w:tc>
        <w:tc>
          <w:tcPr>
            <w:tcW w:w="1559" w:type="dxa"/>
            <w:vAlign w:val="center"/>
            <w:hideMark/>
          </w:tcPr>
          <w:p w14:paraId="792E435E" w14:textId="77777777" w:rsidR="002E4D4F" w:rsidRPr="00CD2E4B" w:rsidRDefault="002E4D4F" w:rsidP="00E82B21">
            <w:pPr>
              <w:spacing w:before="0"/>
              <w:contextualSpacing/>
              <w:mirrorIndents/>
              <w:jc w:val="right"/>
              <w:rPr>
                <w:sz w:val="18"/>
                <w:szCs w:val="18"/>
              </w:rPr>
            </w:pPr>
            <w:r w:rsidRPr="00CD2E4B">
              <w:rPr>
                <w:sz w:val="18"/>
                <w:szCs w:val="18"/>
              </w:rPr>
              <w:t>-119.667.333,32</w:t>
            </w:r>
          </w:p>
        </w:tc>
      </w:tr>
      <w:tr w:rsidR="002E4D4F" w:rsidRPr="00CD2E4B" w14:paraId="6F736D28" w14:textId="77777777" w:rsidTr="00E82B21">
        <w:trPr>
          <w:tblCellSpacing w:w="0" w:type="dxa"/>
        </w:trPr>
        <w:tc>
          <w:tcPr>
            <w:tcW w:w="5842" w:type="dxa"/>
            <w:shd w:val="clear" w:color="auto" w:fill="F0F0F0"/>
            <w:vAlign w:val="center"/>
            <w:hideMark/>
          </w:tcPr>
          <w:p w14:paraId="40B7619F" w14:textId="77777777" w:rsidR="002E4D4F" w:rsidRPr="00CD2E4B" w:rsidRDefault="002E4D4F" w:rsidP="00484323">
            <w:pPr>
              <w:spacing w:before="0"/>
              <w:contextualSpacing/>
              <w:mirrorIndents/>
              <w:rPr>
                <w:sz w:val="18"/>
                <w:szCs w:val="18"/>
              </w:rPr>
            </w:pPr>
          </w:p>
        </w:tc>
        <w:tc>
          <w:tcPr>
            <w:tcW w:w="1701" w:type="dxa"/>
            <w:shd w:val="clear" w:color="auto" w:fill="F0F0F0"/>
            <w:vAlign w:val="center"/>
            <w:hideMark/>
          </w:tcPr>
          <w:p w14:paraId="5628E2CF" w14:textId="77777777" w:rsidR="002E4D4F" w:rsidRPr="00CD2E4B" w:rsidRDefault="002E4D4F" w:rsidP="00E82B21">
            <w:pPr>
              <w:spacing w:before="0"/>
              <w:contextualSpacing/>
              <w:mirrorIndents/>
              <w:jc w:val="right"/>
              <w:rPr>
                <w:sz w:val="18"/>
                <w:szCs w:val="18"/>
              </w:rPr>
            </w:pPr>
            <w:r w:rsidRPr="00CD2E4B">
              <w:rPr>
                <w:sz w:val="18"/>
                <w:szCs w:val="18"/>
              </w:rPr>
              <w:t>11.405.115,92</w:t>
            </w:r>
          </w:p>
        </w:tc>
        <w:tc>
          <w:tcPr>
            <w:tcW w:w="1559" w:type="dxa"/>
            <w:shd w:val="clear" w:color="auto" w:fill="F0F0F0"/>
            <w:vAlign w:val="center"/>
            <w:hideMark/>
          </w:tcPr>
          <w:p w14:paraId="7991F510" w14:textId="77777777" w:rsidR="002E4D4F" w:rsidRPr="00CD2E4B" w:rsidRDefault="002E4D4F" w:rsidP="00E82B21">
            <w:pPr>
              <w:spacing w:before="0"/>
              <w:contextualSpacing/>
              <w:mirrorIndents/>
              <w:jc w:val="right"/>
              <w:rPr>
                <w:sz w:val="18"/>
                <w:szCs w:val="18"/>
              </w:rPr>
            </w:pPr>
            <w:r w:rsidRPr="00CD2E4B">
              <w:rPr>
                <w:sz w:val="18"/>
                <w:szCs w:val="18"/>
              </w:rPr>
              <w:t>9.046.618,27</w:t>
            </w:r>
          </w:p>
        </w:tc>
      </w:tr>
      <w:tr w:rsidR="002E4D4F" w:rsidRPr="00CD2E4B" w14:paraId="5F95BB50" w14:textId="77777777" w:rsidTr="00E82B21">
        <w:trPr>
          <w:tblCellSpacing w:w="0" w:type="dxa"/>
        </w:trPr>
        <w:tc>
          <w:tcPr>
            <w:tcW w:w="5842" w:type="dxa"/>
            <w:vAlign w:val="center"/>
            <w:hideMark/>
          </w:tcPr>
          <w:p w14:paraId="3A2F8B99" w14:textId="77777777" w:rsidR="002E4D4F" w:rsidRPr="00CD2E4B" w:rsidRDefault="002E4D4F" w:rsidP="00484323">
            <w:pPr>
              <w:spacing w:before="0"/>
              <w:contextualSpacing/>
              <w:mirrorIndents/>
              <w:rPr>
                <w:sz w:val="18"/>
                <w:szCs w:val="18"/>
              </w:rPr>
            </w:pPr>
            <w:r w:rsidRPr="00CD2E4B">
              <w:rPr>
                <w:sz w:val="18"/>
                <w:szCs w:val="18"/>
              </w:rPr>
              <w:t>II. Forderungen und sonstige Vermögensgegenstände</w:t>
            </w:r>
          </w:p>
        </w:tc>
        <w:tc>
          <w:tcPr>
            <w:tcW w:w="1701" w:type="dxa"/>
            <w:vAlign w:val="center"/>
            <w:hideMark/>
          </w:tcPr>
          <w:p w14:paraId="4D0B2DFE" w14:textId="77777777" w:rsidR="002E4D4F" w:rsidRPr="00CD2E4B" w:rsidRDefault="002E4D4F" w:rsidP="00E82B21">
            <w:pPr>
              <w:spacing w:before="0"/>
              <w:contextualSpacing/>
              <w:mirrorIndents/>
              <w:jc w:val="right"/>
              <w:rPr>
                <w:sz w:val="18"/>
                <w:szCs w:val="18"/>
              </w:rPr>
            </w:pPr>
          </w:p>
        </w:tc>
        <w:tc>
          <w:tcPr>
            <w:tcW w:w="1559" w:type="dxa"/>
            <w:vAlign w:val="center"/>
            <w:hideMark/>
          </w:tcPr>
          <w:p w14:paraId="40F05911" w14:textId="77777777" w:rsidR="002E4D4F" w:rsidRPr="00CD2E4B" w:rsidRDefault="002E4D4F" w:rsidP="00E82B21">
            <w:pPr>
              <w:spacing w:before="0"/>
              <w:contextualSpacing/>
              <w:mirrorIndents/>
              <w:jc w:val="right"/>
              <w:rPr>
                <w:sz w:val="18"/>
                <w:szCs w:val="18"/>
              </w:rPr>
            </w:pPr>
          </w:p>
        </w:tc>
      </w:tr>
      <w:tr w:rsidR="002E4D4F" w:rsidRPr="00CD2E4B" w14:paraId="44D3F671" w14:textId="77777777" w:rsidTr="00E82B21">
        <w:trPr>
          <w:tblCellSpacing w:w="0" w:type="dxa"/>
        </w:trPr>
        <w:tc>
          <w:tcPr>
            <w:tcW w:w="5842" w:type="dxa"/>
            <w:shd w:val="clear" w:color="auto" w:fill="F0F0F0"/>
            <w:vAlign w:val="center"/>
            <w:hideMark/>
          </w:tcPr>
          <w:p w14:paraId="0E3FD99C" w14:textId="77777777" w:rsidR="002E4D4F" w:rsidRPr="00CD2E4B" w:rsidRDefault="002E4D4F" w:rsidP="00484323">
            <w:pPr>
              <w:spacing w:before="0"/>
              <w:contextualSpacing/>
              <w:mirrorIndents/>
              <w:rPr>
                <w:sz w:val="18"/>
                <w:szCs w:val="18"/>
              </w:rPr>
            </w:pPr>
            <w:r w:rsidRPr="00CD2E4B">
              <w:rPr>
                <w:sz w:val="18"/>
                <w:szCs w:val="18"/>
              </w:rPr>
              <w:t>1. Forderungen aus Lieferungen und Leistungen</w:t>
            </w:r>
          </w:p>
        </w:tc>
        <w:tc>
          <w:tcPr>
            <w:tcW w:w="1701" w:type="dxa"/>
            <w:shd w:val="clear" w:color="auto" w:fill="F0F0F0"/>
            <w:vAlign w:val="center"/>
            <w:hideMark/>
          </w:tcPr>
          <w:p w14:paraId="428BFE94" w14:textId="77777777" w:rsidR="002E4D4F" w:rsidRPr="00CD2E4B" w:rsidRDefault="002E4D4F" w:rsidP="00E82B21">
            <w:pPr>
              <w:spacing w:before="0"/>
              <w:contextualSpacing/>
              <w:mirrorIndents/>
              <w:jc w:val="right"/>
              <w:rPr>
                <w:sz w:val="18"/>
                <w:szCs w:val="18"/>
              </w:rPr>
            </w:pPr>
            <w:r w:rsidRPr="00CD2E4B">
              <w:rPr>
                <w:sz w:val="18"/>
                <w:szCs w:val="18"/>
              </w:rPr>
              <w:t>16.653.717,01</w:t>
            </w:r>
          </w:p>
        </w:tc>
        <w:tc>
          <w:tcPr>
            <w:tcW w:w="1559" w:type="dxa"/>
            <w:shd w:val="clear" w:color="auto" w:fill="F0F0F0"/>
            <w:vAlign w:val="center"/>
            <w:hideMark/>
          </w:tcPr>
          <w:p w14:paraId="0FB2437E" w14:textId="77777777" w:rsidR="002E4D4F" w:rsidRPr="00CD2E4B" w:rsidRDefault="002E4D4F" w:rsidP="00E82B21">
            <w:pPr>
              <w:spacing w:before="0"/>
              <w:contextualSpacing/>
              <w:mirrorIndents/>
              <w:jc w:val="right"/>
              <w:rPr>
                <w:sz w:val="18"/>
                <w:szCs w:val="18"/>
              </w:rPr>
            </w:pPr>
            <w:r w:rsidRPr="00CD2E4B">
              <w:rPr>
                <w:sz w:val="18"/>
                <w:szCs w:val="18"/>
              </w:rPr>
              <w:t>13.464.509,17</w:t>
            </w:r>
          </w:p>
        </w:tc>
      </w:tr>
      <w:tr w:rsidR="002E4D4F" w:rsidRPr="00CD2E4B" w14:paraId="42D85922" w14:textId="77777777" w:rsidTr="00E82B21">
        <w:trPr>
          <w:tblCellSpacing w:w="0" w:type="dxa"/>
        </w:trPr>
        <w:tc>
          <w:tcPr>
            <w:tcW w:w="5842" w:type="dxa"/>
            <w:vAlign w:val="center"/>
            <w:hideMark/>
          </w:tcPr>
          <w:p w14:paraId="12A21356" w14:textId="77777777" w:rsidR="002E4D4F" w:rsidRPr="00CD2E4B" w:rsidRDefault="002E4D4F" w:rsidP="00484323">
            <w:pPr>
              <w:spacing w:before="0"/>
              <w:contextualSpacing/>
              <w:mirrorIndents/>
              <w:rPr>
                <w:sz w:val="18"/>
                <w:szCs w:val="18"/>
              </w:rPr>
            </w:pPr>
            <w:r w:rsidRPr="00CD2E4B">
              <w:rPr>
                <w:sz w:val="18"/>
                <w:szCs w:val="18"/>
              </w:rPr>
              <w:t>2. Forderungen gegen Arbeitsgemeinschaften</w:t>
            </w:r>
          </w:p>
        </w:tc>
        <w:tc>
          <w:tcPr>
            <w:tcW w:w="1701" w:type="dxa"/>
            <w:vAlign w:val="center"/>
            <w:hideMark/>
          </w:tcPr>
          <w:p w14:paraId="6ECC8C40" w14:textId="77777777" w:rsidR="002E4D4F" w:rsidRPr="00CD2E4B" w:rsidRDefault="002E4D4F" w:rsidP="00E82B21">
            <w:pPr>
              <w:spacing w:before="0"/>
              <w:contextualSpacing/>
              <w:mirrorIndents/>
              <w:jc w:val="right"/>
              <w:rPr>
                <w:sz w:val="18"/>
                <w:szCs w:val="18"/>
              </w:rPr>
            </w:pPr>
            <w:r w:rsidRPr="00CD2E4B">
              <w:rPr>
                <w:sz w:val="18"/>
                <w:szCs w:val="18"/>
              </w:rPr>
              <w:t>5.366.741,93</w:t>
            </w:r>
          </w:p>
        </w:tc>
        <w:tc>
          <w:tcPr>
            <w:tcW w:w="1559" w:type="dxa"/>
            <w:vAlign w:val="center"/>
            <w:hideMark/>
          </w:tcPr>
          <w:p w14:paraId="382D746D" w14:textId="77777777" w:rsidR="002E4D4F" w:rsidRPr="00CD2E4B" w:rsidRDefault="002E4D4F" w:rsidP="00E82B21">
            <w:pPr>
              <w:spacing w:before="0"/>
              <w:contextualSpacing/>
              <w:mirrorIndents/>
              <w:jc w:val="right"/>
              <w:rPr>
                <w:sz w:val="18"/>
                <w:szCs w:val="18"/>
              </w:rPr>
            </w:pPr>
            <w:r w:rsidRPr="00CD2E4B">
              <w:rPr>
                <w:sz w:val="18"/>
                <w:szCs w:val="18"/>
              </w:rPr>
              <w:t>1.784.070,95</w:t>
            </w:r>
          </w:p>
        </w:tc>
      </w:tr>
      <w:tr w:rsidR="002E4D4F" w:rsidRPr="00CD2E4B" w14:paraId="5A4278AE" w14:textId="77777777" w:rsidTr="00E82B21">
        <w:trPr>
          <w:tblCellSpacing w:w="0" w:type="dxa"/>
        </w:trPr>
        <w:tc>
          <w:tcPr>
            <w:tcW w:w="5842" w:type="dxa"/>
            <w:shd w:val="clear" w:color="auto" w:fill="F0F0F0"/>
            <w:vAlign w:val="center"/>
            <w:hideMark/>
          </w:tcPr>
          <w:p w14:paraId="00E03789" w14:textId="77777777" w:rsidR="002E4D4F" w:rsidRPr="00CD2E4B" w:rsidRDefault="002E4D4F" w:rsidP="00484323">
            <w:pPr>
              <w:spacing w:before="0"/>
              <w:contextualSpacing/>
              <w:mirrorIndents/>
              <w:rPr>
                <w:sz w:val="18"/>
                <w:szCs w:val="18"/>
              </w:rPr>
            </w:pPr>
            <w:r w:rsidRPr="00CD2E4B">
              <w:rPr>
                <w:sz w:val="18"/>
                <w:szCs w:val="18"/>
              </w:rPr>
              <w:t>3. Forderungen gegen verbundene Unternehmen</w:t>
            </w:r>
          </w:p>
        </w:tc>
        <w:tc>
          <w:tcPr>
            <w:tcW w:w="1701" w:type="dxa"/>
            <w:shd w:val="clear" w:color="auto" w:fill="F0F0F0"/>
            <w:vAlign w:val="center"/>
            <w:hideMark/>
          </w:tcPr>
          <w:p w14:paraId="34BF2F81" w14:textId="77777777" w:rsidR="002E4D4F" w:rsidRPr="00CD2E4B" w:rsidRDefault="002E4D4F" w:rsidP="00E82B21">
            <w:pPr>
              <w:spacing w:before="0"/>
              <w:contextualSpacing/>
              <w:mirrorIndents/>
              <w:jc w:val="right"/>
              <w:rPr>
                <w:sz w:val="18"/>
                <w:szCs w:val="18"/>
              </w:rPr>
            </w:pPr>
            <w:r w:rsidRPr="00CD2E4B">
              <w:rPr>
                <w:sz w:val="18"/>
                <w:szCs w:val="18"/>
              </w:rPr>
              <w:t>610.571,18</w:t>
            </w:r>
          </w:p>
        </w:tc>
        <w:tc>
          <w:tcPr>
            <w:tcW w:w="1559" w:type="dxa"/>
            <w:shd w:val="clear" w:color="auto" w:fill="F0F0F0"/>
            <w:vAlign w:val="center"/>
            <w:hideMark/>
          </w:tcPr>
          <w:p w14:paraId="258E2C33" w14:textId="77777777" w:rsidR="002E4D4F" w:rsidRPr="00CD2E4B" w:rsidRDefault="002E4D4F" w:rsidP="00E82B21">
            <w:pPr>
              <w:spacing w:before="0"/>
              <w:contextualSpacing/>
              <w:mirrorIndents/>
              <w:jc w:val="right"/>
              <w:rPr>
                <w:sz w:val="18"/>
                <w:szCs w:val="18"/>
              </w:rPr>
            </w:pPr>
            <w:r w:rsidRPr="00CD2E4B">
              <w:rPr>
                <w:sz w:val="18"/>
                <w:szCs w:val="18"/>
              </w:rPr>
              <w:t>600.310,76</w:t>
            </w:r>
          </w:p>
        </w:tc>
      </w:tr>
      <w:tr w:rsidR="002E4D4F" w:rsidRPr="00CD2E4B" w14:paraId="0E4FE4B2" w14:textId="77777777" w:rsidTr="00E82B21">
        <w:trPr>
          <w:tblCellSpacing w:w="0" w:type="dxa"/>
        </w:trPr>
        <w:tc>
          <w:tcPr>
            <w:tcW w:w="5842" w:type="dxa"/>
            <w:vAlign w:val="center"/>
            <w:hideMark/>
          </w:tcPr>
          <w:p w14:paraId="431C8CBB" w14:textId="77777777" w:rsidR="002E4D4F" w:rsidRPr="00CD2E4B" w:rsidRDefault="002E4D4F" w:rsidP="00484323">
            <w:pPr>
              <w:spacing w:before="0"/>
              <w:contextualSpacing/>
              <w:mirrorIndents/>
              <w:rPr>
                <w:sz w:val="18"/>
                <w:szCs w:val="18"/>
              </w:rPr>
            </w:pPr>
            <w:r w:rsidRPr="00CD2E4B">
              <w:rPr>
                <w:sz w:val="18"/>
                <w:szCs w:val="18"/>
              </w:rPr>
              <w:t>4. Forderungen gegen Gesellschafter</w:t>
            </w:r>
          </w:p>
        </w:tc>
        <w:tc>
          <w:tcPr>
            <w:tcW w:w="1701" w:type="dxa"/>
            <w:vAlign w:val="center"/>
            <w:hideMark/>
          </w:tcPr>
          <w:p w14:paraId="394FB81A" w14:textId="77777777" w:rsidR="002E4D4F" w:rsidRPr="00CD2E4B" w:rsidRDefault="002E4D4F" w:rsidP="00E82B21">
            <w:pPr>
              <w:spacing w:before="0"/>
              <w:contextualSpacing/>
              <w:mirrorIndents/>
              <w:jc w:val="right"/>
              <w:rPr>
                <w:sz w:val="18"/>
                <w:szCs w:val="18"/>
              </w:rPr>
            </w:pPr>
            <w:r w:rsidRPr="00CD2E4B">
              <w:rPr>
                <w:sz w:val="18"/>
                <w:szCs w:val="18"/>
              </w:rPr>
              <w:t>119.506.553,68</w:t>
            </w:r>
          </w:p>
        </w:tc>
        <w:tc>
          <w:tcPr>
            <w:tcW w:w="1559" w:type="dxa"/>
            <w:vAlign w:val="center"/>
            <w:hideMark/>
          </w:tcPr>
          <w:p w14:paraId="425692F0" w14:textId="77777777" w:rsidR="002E4D4F" w:rsidRPr="00CD2E4B" w:rsidRDefault="002E4D4F" w:rsidP="00E82B21">
            <w:pPr>
              <w:spacing w:before="0"/>
              <w:contextualSpacing/>
              <w:mirrorIndents/>
              <w:jc w:val="right"/>
              <w:rPr>
                <w:sz w:val="18"/>
                <w:szCs w:val="18"/>
              </w:rPr>
            </w:pPr>
            <w:r w:rsidRPr="00CD2E4B">
              <w:rPr>
                <w:sz w:val="18"/>
                <w:szCs w:val="18"/>
              </w:rPr>
              <w:t>140.184.979,19</w:t>
            </w:r>
          </w:p>
        </w:tc>
      </w:tr>
      <w:tr w:rsidR="002E4D4F" w:rsidRPr="00CD2E4B" w14:paraId="54127703" w14:textId="77777777" w:rsidTr="00E82B21">
        <w:trPr>
          <w:tblCellSpacing w:w="0" w:type="dxa"/>
        </w:trPr>
        <w:tc>
          <w:tcPr>
            <w:tcW w:w="5842" w:type="dxa"/>
            <w:shd w:val="clear" w:color="auto" w:fill="F0F0F0"/>
            <w:vAlign w:val="center"/>
            <w:hideMark/>
          </w:tcPr>
          <w:p w14:paraId="2A053C89" w14:textId="77777777" w:rsidR="002E4D4F" w:rsidRPr="00CD2E4B" w:rsidRDefault="002E4D4F" w:rsidP="00484323">
            <w:pPr>
              <w:spacing w:before="0"/>
              <w:contextualSpacing/>
              <w:mirrorIndents/>
              <w:rPr>
                <w:sz w:val="18"/>
                <w:szCs w:val="18"/>
              </w:rPr>
            </w:pPr>
            <w:r w:rsidRPr="00CD2E4B">
              <w:rPr>
                <w:sz w:val="18"/>
                <w:szCs w:val="18"/>
              </w:rPr>
              <w:t>5. sonstige Vermögensgegenstände</w:t>
            </w:r>
          </w:p>
        </w:tc>
        <w:tc>
          <w:tcPr>
            <w:tcW w:w="1701" w:type="dxa"/>
            <w:shd w:val="clear" w:color="auto" w:fill="F0F0F0"/>
            <w:vAlign w:val="center"/>
            <w:hideMark/>
          </w:tcPr>
          <w:p w14:paraId="25F00C44" w14:textId="77777777" w:rsidR="002E4D4F" w:rsidRPr="00CD2E4B" w:rsidRDefault="002E4D4F" w:rsidP="00E82B21">
            <w:pPr>
              <w:spacing w:before="0"/>
              <w:contextualSpacing/>
              <w:mirrorIndents/>
              <w:jc w:val="right"/>
              <w:rPr>
                <w:sz w:val="18"/>
                <w:szCs w:val="18"/>
              </w:rPr>
            </w:pPr>
            <w:r w:rsidRPr="00CD2E4B">
              <w:rPr>
                <w:sz w:val="18"/>
                <w:szCs w:val="18"/>
              </w:rPr>
              <w:t>5.756.957,84</w:t>
            </w:r>
          </w:p>
        </w:tc>
        <w:tc>
          <w:tcPr>
            <w:tcW w:w="1559" w:type="dxa"/>
            <w:shd w:val="clear" w:color="auto" w:fill="F0F0F0"/>
            <w:vAlign w:val="center"/>
            <w:hideMark/>
          </w:tcPr>
          <w:p w14:paraId="051364E6" w14:textId="77777777" w:rsidR="002E4D4F" w:rsidRPr="00CD2E4B" w:rsidRDefault="002E4D4F" w:rsidP="00E82B21">
            <w:pPr>
              <w:spacing w:before="0"/>
              <w:contextualSpacing/>
              <w:mirrorIndents/>
              <w:jc w:val="right"/>
              <w:rPr>
                <w:sz w:val="18"/>
                <w:szCs w:val="18"/>
              </w:rPr>
            </w:pPr>
            <w:r w:rsidRPr="00CD2E4B">
              <w:rPr>
                <w:sz w:val="18"/>
                <w:szCs w:val="18"/>
              </w:rPr>
              <w:t>4.920.722,28</w:t>
            </w:r>
          </w:p>
        </w:tc>
      </w:tr>
      <w:tr w:rsidR="002E4D4F" w:rsidRPr="00CD2E4B" w14:paraId="145037C0" w14:textId="77777777" w:rsidTr="00E82B21">
        <w:trPr>
          <w:tblCellSpacing w:w="0" w:type="dxa"/>
        </w:trPr>
        <w:tc>
          <w:tcPr>
            <w:tcW w:w="5842" w:type="dxa"/>
            <w:vAlign w:val="center"/>
            <w:hideMark/>
          </w:tcPr>
          <w:p w14:paraId="636C956A" w14:textId="77777777" w:rsidR="002E4D4F" w:rsidRPr="00CD2E4B" w:rsidRDefault="002E4D4F" w:rsidP="00484323">
            <w:pPr>
              <w:spacing w:before="0"/>
              <w:contextualSpacing/>
              <w:mirrorIndents/>
              <w:rPr>
                <w:sz w:val="18"/>
                <w:szCs w:val="18"/>
              </w:rPr>
            </w:pPr>
          </w:p>
        </w:tc>
        <w:tc>
          <w:tcPr>
            <w:tcW w:w="1701" w:type="dxa"/>
            <w:vAlign w:val="center"/>
            <w:hideMark/>
          </w:tcPr>
          <w:p w14:paraId="57ACEFDA" w14:textId="77777777" w:rsidR="002E4D4F" w:rsidRPr="00CD2E4B" w:rsidRDefault="002E4D4F" w:rsidP="00E82B21">
            <w:pPr>
              <w:spacing w:before="0"/>
              <w:contextualSpacing/>
              <w:mirrorIndents/>
              <w:jc w:val="right"/>
              <w:rPr>
                <w:sz w:val="18"/>
                <w:szCs w:val="18"/>
              </w:rPr>
            </w:pPr>
            <w:r w:rsidRPr="00CD2E4B">
              <w:rPr>
                <w:sz w:val="18"/>
                <w:szCs w:val="18"/>
              </w:rPr>
              <w:t>147.894.541,64</w:t>
            </w:r>
          </w:p>
        </w:tc>
        <w:tc>
          <w:tcPr>
            <w:tcW w:w="1559" w:type="dxa"/>
            <w:vAlign w:val="center"/>
            <w:hideMark/>
          </w:tcPr>
          <w:p w14:paraId="207A7110" w14:textId="77777777" w:rsidR="002E4D4F" w:rsidRPr="00CD2E4B" w:rsidRDefault="002E4D4F" w:rsidP="00E82B21">
            <w:pPr>
              <w:spacing w:before="0"/>
              <w:contextualSpacing/>
              <w:mirrorIndents/>
              <w:jc w:val="right"/>
              <w:rPr>
                <w:sz w:val="18"/>
                <w:szCs w:val="18"/>
              </w:rPr>
            </w:pPr>
            <w:r w:rsidRPr="00CD2E4B">
              <w:rPr>
                <w:sz w:val="18"/>
                <w:szCs w:val="18"/>
              </w:rPr>
              <w:t>160.954.592,35</w:t>
            </w:r>
          </w:p>
        </w:tc>
      </w:tr>
      <w:tr w:rsidR="002E4D4F" w:rsidRPr="00CD2E4B" w14:paraId="5BCF5C16" w14:textId="77777777" w:rsidTr="00E82B21">
        <w:trPr>
          <w:tblCellSpacing w:w="0" w:type="dxa"/>
        </w:trPr>
        <w:tc>
          <w:tcPr>
            <w:tcW w:w="5842" w:type="dxa"/>
            <w:shd w:val="clear" w:color="auto" w:fill="F0F0F0"/>
            <w:vAlign w:val="center"/>
            <w:hideMark/>
          </w:tcPr>
          <w:p w14:paraId="6477786B" w14:textId="77777777" w:rsidR="002E4D4F" w:rsidRPr="00CD2E4B" w:rsidRDefault="002E4D4F" w:rsidP="00484323">
            <w:pPr>
              <w:spacing w:before="0"/>
              <w:contextualSpacing/>
              <w:mirrorIndents/>
              <w:rPr>
                <w:sz w:val="18"/>
                <w:szCs w:val="18"/>
              </w:rPr>
            </w:pPr>
            <w:r w:rsidRPr="00CD2E4B">
              <w:rPr>
                <w:sz w:val="18"/>
                <w:szCs w:val="18"/>
              </w:rPr>
              <w:t>III. Kassenbestand, Guthaben bei Kreditinstituten</w:t>
            </w:r>
          </w:p>
        </w:tc>
        <w:tc>
          <w:tcPr>
            <w:tcW w:w="1701" w:type="dxa"/>
            <w:shd w:val="clear" w:color="auto" w:fill="F0F0F0"/>
            <w:vAlign w:val="center"/>
            <w:hideMark/>
          </w:tcPr>
          <w:p w14:paraId="56539F80" w14:textId="77777777" w:rsidR="002E4D4F" w:rsidRPr="00CD2E4B" w:rsidRDefault="002E4D4F" w:rsidP="00E82B21">
            <w:pPr>
              <w:spacing w:before="0"/>
              <w:contextualSpacing/>
              <w:mirrorIndents/>
              <w:jc w:val="right"/>
              <w:rPr>
                <w:sz w:val="18"/>
                <w:szCs w:val="18"/>
              </w:rPr>
            </w:pPr>
            <w:r w:rsidRPr="00CD2E4B">
              <w:rPr>
                <w:sz w:val="18"/>
                <w:szCs w:val="18"/>
              </w:rPr>
              <w:t>18.391,66</w:t>
            </w:r>
          </w:p>
        </w:tc>
        <w:tc>
          <w:tcPr>
            <w:tcW w:w="1559" w:type="dxa"/>
            <w:shd w:val="clear" w:color="auto" w:fill="F0F0F0"/>
            <w:vAlign w:val="center"/>
            <w:hideMark/>
          </w:tcPr>
          <w:p w14:paraId="611ACA4A" w14:textId="77777777" w:rsidR="002E4D4F" w:rsidRPr="00CD2E4B" w:rsidRDefault="002E4D4F" w:rsidP="00E82B21">
            <w:pPr>
              <w:spacing w:before="0"/>
              <w:contextualSpacing/>
              <w:mirrorIndents/>
              <w:jc w:val="right"/>
              <w:rPr>
                <w:sz w:val="18"/>
                <w:szCs w:val="18"/>
              </w:rPr>
            </w:pPr>
            <w:r w:rsidRPr="00CD2E4B">
              <w:rPr>
                <w:sz w:val="18"/>
                <w:szCs w:val="18"/>
              </w:rPr>
              <w:t>26.485,20</w:t>
            </w:r>
          </w:p>
        </w:tc>
      </w:tr>
      <w:tr w:rsidR="002E4D4F" w:rsidRPr="00CD2E4B" w14:paraId="47086FDB" w14:textId="77777777" w:rsidTr="00E82B21">
        <w:trPr>
          <w:tblCellSpacing w:w="0" w:type="dxa"/>
        </w:trPr>
        <w:tc>
          <w:tcPr>
            <w:tcW w:w="5842" w:type="dxa"/>
            <w:vAlign w:val="center"/>
            <w:hideMark/>
          </w:tcPr>
          <w:p w14:paraId="3D0CA4B7" w14:textId="77777777" w:rsidR="002E4D4F" w:rsidRPr="00CD2E4B" w:rsidRDefault="002E4D4F" w:rsidP="00484323">
            <w:pPr>
              <w:spacing w:before="0"/>
              <w:contextualSpacing/>
              <w:mirrorIndents/>
              <w:rPr>
                <w:sz w:val="18"/>
                <w:szCs w:val="18"/>
              </w:rPr>
            </w:pPr>
          </w:p>
        </w:tc>
        <w:tc>
          <w:tcPr>
            <w:tcW w:w="1701" w:type="dxa"/>
            <w:vAlign w:val="center"/>
            <w:hideMark/>
          </w:tcPr>
          <w:p w14:paraId="2917C976" w14:textId="77777777" w:rsidR="002E4D4F" w:rsidRPr="00CD2E4B" w:rsidRDefault="002E4D4F" w:rsidP="00E82B21">
            <w:pPr>
              <w:spacing w:before="0"/>
              <w:contextualSpacing/>
              <w:mirrorIndents/>
              <w:jc w:val="right"/>
              <w:rPr>
                <w:sz w:val="18"/>
                <w:szCs w:val="18"/>
              </w:rPr>
            </w:pPr>
            <w:r w:rsidRPr="00CD2E4B">
              <w:rPr>
                <w:sz w:val="18"/>
                <w:szCs w:val="18"/>
              </w:rPr>
              <w:t>159.318.049,22</w:t>
            </w:r>
          </w:p>
        </w:tc>
        <w:tc>
          <w:tcPr>
            <w:tcW w:w="1559" w:type="dxa"/>
            <w:vAlign w:val="center"/>
            <w:hideMark/>
          </w:tcPr>
          <w:p w14:paraId="10988A90" w14:textId="77777777" w:rsidR="002E4D4F" w:rsidRPr="00CD2E4B" w:rsidRDefault="002E4D4F" w:rsidP="00E82B21">
            <w:pPr>
              <w:spacing w:before="0"/>
              <w:contextualSpacing/>
              <w:mirrorIndents/>
              <w:jc w:val="right"/>
              <w:rPr>
                <w:sz w:val="18"/>
                <w:szCs w:val="18"/>
              </w:rPr>
            </w:pPr>
            <w:r w:rsidRPr="00CD2E4B">
              <w:rPr>
                <w:sz w:val="18"/>
                <w:szCs w:val="18"/>
              </w:rPr>
              <w:t>170.027.695,82</w:t>
            </w:r>
          </w:p>
        </w:tc>
      </w:tr>
      <w:tr w:rsidR="002E4D4F" w:rsidRPr="00CD2E4B" w14:paraId="27E71781" w14:textId="77777777" w:rsidTr="00E82B21">
        <w:trPr>
          <w:tblCellSpacing w:w="0" w:type="dxa"/>
        </w:trPr>
        <w:tc>
          <w:tcPr>
            <w:tcW w:w="5842" w:type="dxa"/>
            <w:shd w:val="clear" w:color="auto" w:fill="F0F0F0"/>
            <w:vAlign w:val="center"/>
            <w:hideMark/>
          </w:tcPr>
          <w:p w14:paraId="29B81195" w14:textId="77777777" w:rsidR="002E4D4F" w:rsidRPr="00CD2E4B" w:rsidRDefault="002E4D4F" w:rsidP="00484323">
            <w:pPr>
              <w:spacing w:before="0"/>
              <w:contextualSpacing/>
              <w:mirrorIndents/>
              <w:rPr>
                <w:sz w:val="18"/>
                <w:szCs w:val="18"/>
              </w:rPr>
            </w:pPr>
            <w:r w:rsidRPr="00CD2E4B">
              <w:rPr>
                <w:sz w:val="18"/>
                <w:szCs w:val="18"/>
              </w:rPr>
              <w:t>C. Rechnungsabgrenzungsposten</w:t>
            </w:r>
          </w:p>
        </w:tc>
        <w:tc>
          <w:tcPr>
            <w:tcW w:w="1701" w:type="dxa"/>
            <w:shd w:val="clear" w:color="auto" w:fill="F0F0F0"/>
            <w:vAlign w:val="center"/>
            <w:hideMark/>
          </w:tcPr>
          <w:p w14:paraId="15873F9F" w14:textId="77777777" w:rsidR="002E4D4F" w:rsidRPr="00CD2E4B" w:rsidRDefault="002E4D4F" w:rsidP="00E82B21">
            <w:pPr>
              <w:spacing w:before="0"/>
              <w:contextualSpacing/>
              <w:mirrorIndents/>
              <w:jc w:val="right"/>
              <w:rPr>
                <w:sz w:val="18"/>
                <w:szCs w:val="18"/>
              </w:rPr>
            </w:pPr>
            <w:r w:rsidRPr="00CD2E4B">
              <w:rPr>
                <w:sz w:val="18"/>
                <w:szCs w:val="18"/>
              </w:rPr>
              <w:t>310.327,96</w:t>
            </w:r>
          </w:p>
        </w:tc>
        <w:tc>
          <w:tcPr>
            <w:tcW w:w="1559" w:type="dxa"/>
            <w:shd w:val="clear" w:color="auto" w:fill="F0F0F0"/>
            <w:vAlign w:val="center"/>
            <w:hideMark/>
          </w:tcPr>
          <w:p w14:paraId="00A07CF9" w14:textId="77777777" w:rsidR="002E4D4F" w:rsidRPr="00CD2E4B" w:rsidRDefault="002E4D4F" w:rsidP="00E82B21">
            <w:pPr>
              <w:spacing w:before="0"/>
              <w:contextualSpacing/>
              <w:mirrorIndents/>
              <w:jc w:val="right"/>
              <w:rPr>
                <w:sz w:val="18"/>
                <w:szCs w:val="18"/>
              </w:rPr>
            </w:pPr>
            <w:r w:rsidRPr="00CD2E4B">
              <w:rPr>
                <w:sz w:val="18"/>
                <w:szCs w:val="18"/>
              </w:rPr>
              <w:t>0,00</w:t>
            </w:r>
          </w:p>
        </w:tc>
      </w:tr>
      <w:tr w:rsidR="002E4D4F" w:rsidRPr="00CD2E4B" w14:paraId="456D805E" w14:textId="77777777" w:rsidTr="00E82B21">
        <w:trPr>
          <w:tblCellSpacing w:w="0" w:type="dxa"/>
        </w:trPr>
        <w:tc>
          <w:tcPr>
            <w:tcW w:w="5842" w:type="dxa"/>
            <w:vAlign w:val="center"/>
            <w:hideMark/>
          </w:tcPr>
          <w:p w14:paraId="677D686F" w14:textId="77777777" w:rsidR="002E4D4F" w:rsidRPr="00CD2E4B" w:rsidRDefault="002E4D4F" w:rsidP="00484323">
            <w:pPr>
              <w:spacing w:before="0"/>
              <w:contextualSpacing/>
              <w:mirrorIndents/>
              <w:rPr>
                <w:sz w:val="18"/>
                <w:szCs w:val="18"/>
              </w:rPr>
            </w:pPr>
          </w:p>
        </w:tc>
        <w:tc>
          <w:tcPr>
            <w:tcW w:w="1701" w:type="dxa"/>
            <w:vAlign w:val="center"/>
            <w:hideMark/>
          </w:tcPr>
          <w:p w14:paraId="511C54FC" w14:textId="77777777" w:rsidR="002E4D4F" w:rsidRPr="00CD2E4B" w:rsidRDefault="002E4D4F" w:rsidP="00E82B21">
            <w:pPr>
              <w:spacing w:before="0"/>
              <w:contextualSpacing/>
              <w:mirrorIndents/>
              <w:jc w:val="right"/>
              <w:rPr>
                <w:sz w:val="18"/>
                <w:szCs w:val="18"/>
              </w:rPr>
            </w:pPr>
            <w:r w:rsidRPr="00CD2E4B">
              <w:rPr>
                <w:sz w:val="18"/>
                <w:szCs w:val="18"/>
              </w:rPr>
              <w:t xml:space="preserve">186.834.021,85 </w:t>
            </w:r>
          </w:p>
        </w:tc>
        <w:tc>
          <w:tcPr>
            <w:tcW w:w="1559" w:type="dxa"/>
            <w:vAlign w:val="center"/>
            <w:hideMark/>
          </w:tcPr>
          <w:p w14:paraId="46F523DC" w14:textId="77777777" w:rsidR="002E4D4F" w:rsidRPr="00CD2E4B" w:rsidRDefault="002E4D4F" w:rsidP="00E82B21">
            <w:pPr>
              <w:spacing w:before="0"/>
              <w:contextualSpacing/>
              <w:mirrorIndents/>
              <w:jc w:val="right"/>
              <w:rPr>
                <w:sz w:val="18"/>
                <w:szCs w:val="18"/>
              </w:rPr>
            </w:pPr>
            <w:r w:rsidRPr="00CD2E4B">
              <w:rPr>
                <w:sz w:val="18"/>
                <w:szCs w:val="18"/>
              </w:rPr>
              <w:t>194.573.836,61</w:t>
            </w:r>
          </w:p>
        </w:tc>
      </w:tr>
      <w:tr w:rsidR="002E4D4F" w:rsidRPr="00CD2E4B" w14:paraId="3C493192" w14:textId="77777777" w:rsidTr="00E82B21">
        <w:trPr>
          <w:tblCellSpacing w:w="0" w:type="dxa"/>
        </w:trPr>
        <w:tc>
          <w:tcPr>
            <w:tcW w:w="5842" w:type="dxa"/>
            <w:shd w:val="clear" w:color="auto" w:fill="FFFFFF"/>
            <w:vAlign w:val="center"/>
            <w:hideMark/>
          </w:tcPr>
          <w:p w14:paraId="14E28100" w14:textId="77777777" w:rsidR="002E4D4F" w:rsidRPr="00CD2E4B" w:rsidRDefault="002E4D4F" w:rsidP="00484323">
            <w:pPr>
              <w:spacing w:before="0"/>
              <w:contextualSpacing/>
              <w:mirrorIndents/>
              <w:rPr>
                <w:sz w:val="18"/>
                <w:szCs w:val="18"/>
              </w:rPr>
            </w:pPr>
            <w:r w:rsidRPr="00CD2E4B">
              <w:rPr>
                <w:b/>
                <w:bCs/>
                <w:sz w:val="18"/>
                <w:szCs w:val="18"/>
              </w:rPr>
              <w:t>PASSIVA</w:t>
            </w:r>
          </w:p>
        </w:tc>
        <w:tc>
          <w:tcPr>
            <w:tcW w:w="1701" w:type="dxa"/>
            <w:shd w:val="clear" w:color="auto" w:fill="FFFFFF"/>
            <w:vAlign w:val="center"/>
            <w:hideMark/>
          </w:tcPr>
          <w:p w14:paraId="507B9139" w14:textId="77777777" w:rsidR="002E4D4F" w:rsidRPr="00CD2E4B" w:rsidRDefault="002E4D4F" w:rsidP="00E82B21">
            <w:pPr>
              <w:spacing w:before="0"/>
              <w:contextualSpacing/>
              <w:mirrorIndents/>
              <w:jc w:val="right"/>
              <w:rPr>
                <w:sz w:val="18"/>
                <w:szCs w:val="18"/>
              </w:rPr>
            </w:pPr>
          </w:p>
        </w:tc>
        <w:tc>
          <w:tcPr>
            <w:tcW w:w="1559" w:type="dxa"/>
            <w:shd w:val="clear" w:color="auto" w:fill="FFFFFF"/>
            <w:vAlign w:val="center"/>
            <w:hideMark/>
          </w:tcPr>
          <w:p w14:paraId="2F7F28B3" w14:textId="77777777" w:rsidR="002E4D4F" w:rsidRPr="00CD2E4B" w:rsidRDefault="002E4D4F" w:rsidP="00E82B21">
            <w:pPr>
              <w:spacing w:before="0"/>
              <w:contextualSpacing/>
              <w:mirrorIndents/>
              <w:jc w:val="right"/>
              <w:rPr>
                <w:sz w:val="18"/>
                <w:szCs w:val="18"/>
              </w:rPr>
            </w:pPr>
          </w:p>
        </w:tc>
      </w:tr>
      <w:tr w:rsidR="002E4D4F" w:rsidRPr="00CD2E4B" w14:paraId="0378C5B5" w14:textId="77777777" w:rsidTr="00E82B21">
        <w:trPr>
          <w:tblCellSpacing w:w="0" w:type="dxa"/>
        </w:trPr>
        <w:tc>
          <w:tcPr>
            <w:tcW w:w="5842" w:type="dxa"/>
            <w:shd w:val="clear" w:color="auto" w:fill="CDCDCE"/>
            <w:vAlign w:val="bottom"/>
            <w:hideMark/>
          </w:tcPr>
          <w:p w14:paraId="5EFF8002" w14:textId="77777777" w:rsidR="002E4D4F" w:rsidRPr="00CD2E4B" w:rsidRDefault="002E4D4F" w:rsidP="00484323">
            <w:pPr>
              <w:spacing w:before="0"/>
              <w:contextualSpacing/>
              <w:mirrorIndents/>
              <w:rPr>
                <w:sz w:val="18"/>
                <w:szCs w:val="18"/>
              </w:rPr>
            </w:pPr>
          </w:p>
        </w:tc>
        <w:tc>
          <w:tcPr>
            <w:tcW w:w="1701" w:type="dxa"/>
            <w:shd w:val="clear" w:color="auto" w:fill="CDCDCE"/>
            <w:vAlign w:val="bottom"/>
            <w:hideMark/>
          </w:tcPr>
          <w:p w14:paraId="0ADEC1FE" w14:textId="77777777" w:rsidR="002E4D4F" w:rsidRPr="00CD2E4B" w:rsidRDefault="002E4D4F" w:rsidP="00E82B21">
            <w:pPr>
              <w:spacing w:before="0"/>
              <w:contextualSpacing/>
              <w:mirrorIndents/>
              <w:jc w:val="right"/>
              <w:rPr>
                <w:sz w:val="18"/>
                <w:szCs w:val="18"/>
              </w:rPr>
            </w:pPr>
            <w:r w:rsidRPr="00CD2E4B">
              <w:rPr>
                <w:sz w:val="18"/>
                <w:szCs w:val="18"/>
              </w:rPr>
              <w:t>31.12.2022</w:t>
            </w:r>
            <w:r w:rsidRPr="00CD2E4B">
              <w:rPr>
                <w:sz w:val="18"/>
                <w:szCs w:val="18"/>
              </w:rPr>
              <w:br/>
              <w:t>EUR</w:t>
            </w:r>
          </w:p>
        </w:tc>
        <w:tc>
          <w:tcPr>
            <w:tcW w:w="1559" w:type="dxa"/>
            <w:shd w:val="clear" w:color="auto" w:fill="CDCDCE"/>
            <w:vAlign w:val="bottom"/>
            <w:hideMark/>
          </w:tcPr>
          <w:p w14:paraId="1EC4EB04" w14:textId="77777777" w:rsidR="002E4D4F" w:rsidRPr="00CD2E4B" w:rsidRDefault="002E4D4F" w:rsidP="00E82B21">
            <w:pPr>
              <w:spacing w:before="0"/>
              <w:contextualSpacing/>
              <w:mirrorIndents/>
              <w:jc w:val="right"/>
              <w:rPr>
                <w:sz w:val="18"/>
                <w:szCs w:val="18"/>
              </w:rPr>
            </w:pPr>
            <w:r w:rsidRPr="00CD2E4B">
              <w:rPr>
                <w:sz w:val="18"/>
                <w:szCs w:val="18"/>
              </w:rPr>
              <w:t>Vorjahr</w:t>
            </w:r>
            <w:r w:rsidRPr="00CD2E4B">
              <w:rPr>
                <w:sz w:val="18"/>
                <w:szCs w:val="18"/>
              </w:rPr>
              <w:br/>
              <w:t>EUR</w:t>
            </w:r>
          </w:p>
        </w:tc>
      </w:tr>
      <w:tr w:rsidR="002E4D4F" w:rsidRPr="00CD2E4B" w14:paraId="2FE6D4F0" w14:textId="77777777" w:rsidTr="00E82B21">
        <w:trPr>
          <w:tblCellSpacing w:w="0" w:type="dxa"/>
        </w:trPr>
        <w:tc>
          <w:tcPr>
            <w:tcW w:w="5842" w:type="dxa"/>
            <w:shd w:val="clear" w:color="auto" w:fill="F0F0F0"/>
            <w:vAlign w:val="center"/>
            <w:hideMark/>
          </w:tcPr>
          <w:p w14:paraId="4B456EA5" w14:textId="77777777" w:rsidR="002E4D4F" w:rsidRPr="00CD2E4B" w:rsidRDefault="002E4D4F" w:rsidP="00484323">
            <w:pPr>
              <w:spacing w:before="0"/>
              <w:contextualSpacing/>
              <w:mirrorIndents/>
              <w:rPr>
                <w:sz w:val="18"/>
                <w:szCs w:val="18"/>
              </w:rPr>
            </w:pPr>
            <w:r w:rsidRPr="00CD2E4B">
              <w:rPr>
                <w:sz w:val="18"/>
                <w:szCs w:val="18"/>
              </w:rPr>
              <w:t>A. Eigenkapital</w:t>
            </w:r>
          </w:p>
        </w:tc>
        <w:tc>
          <w:tcPr>
            <w:tcW w:w="1701" w:type="dxa"/>
            <w:shd w:val="clear" w:color="auto" w:fill="F0F0F0"/>
            <w:vAlign w:val="center"/>
            <w:hideMark/>
          </w:tcPr>
          <w:p w14:paraId="41B28B21" w14:textId="77777777" w:rsidR="002E4D4F" w:rsidRPr="00CD2E4B" w:rsidRDefault="002E4D4F" w:rsidP="00E82B21">
            <w:pPr>
              <w:spacing w:before="0"/>
              <w:contextualSpacing/>
              <w:mirrorIndents/>
              <w:jc w:val="right"/>
              <w:rPr>
                <w:sz w:val="18"/>
                <w:szCs w:val="18"/>
              </w:rPr>
            </w:pPr>
          </w:p>
        </w:tc>
        <w:tc>
          <w:tcPr>
            <w:tcW w:w="1559" w:type="dxa"/>
            <w:shd w:val="clear" w:color="auto" w:fill="F0F0F0"/>
            <w:vAlign w:val="center"/>
            <w:hideMark/>
          </w:tcPr>
          <w:p w14:paraId="79904CFF" w14:textId="77777777" w:rsidR="002E4D4F" w:rsidRPr="00CD2E4B" w:rsidRDefault="002E4D4F" w:rsidP="00E82B21">
            <w:pPr>
              <w:spacing w:before="0"/>
              <w:contextualSpacing/>
              <w:mirrorIndents/>
              <w:jc w:val="right"/>
              <w:rPr>
                <w:sz w:val="18"/>
                <w:szCs w:val="18"/>
              </w:rPr>
            </w:pPr>
          </w:p>
        </w:tc>
      </w:tr>
      <w:tr w:rsidR="002E4D4F" w:rsidRPr="00CD2E4B" w14:paraId="45DECFD6" w14:textId="77777777" w:rsidTr="00E82B21">
        <w:trPr>
          <w:tblCellSpacing w:w="0" w:type="dxa"/>
        </w:trPr>
        <w:tc>
          <w:tcPr>
            <w:tcW w:w="5842" w:type="dxa"/>
            <w:vAlign w:val="center"/>
            <w:hideMark/>
          </w:tcPr>
          <w:p w14:paraId="4583D03B" w14:textId="77777777" w:rsidR="002E4D4F" w:rsidRPr="00CD2E4B" w:rsidRDefault="002E4D4F" w:rsidP="00484323">
            <w:pPr>
              <w:spacing w:before="0"/>
              <w:contextualSpacing/>
              <w:mirrorIndents/>
              <w:rPr>
                <w:sz w:val="18"/>
                <w:szCs w:val="18"/>
              </w:rPr>
            </w:pPr>
            <w:r w:rsidRPr="00CD2E4B">
              <w:rPr>
                <w:sz w:val="18"/>
                <w:szCs w:val="18"/>
              </w:rPr>
              <w:t>I. Gezeichnetes Kapital</w:t>
            </w:r>
          </w:p>
        </w:tc>
        <w:tc>
          <w:tcPr>
            <w:tcW w:w="1701" w:type="dxa"/>
            <w:vAlign w:val="center"/>
            <w:hideMark/>
          </w:tcPr>
          <w:p w14:paraId="6CD8477D" w14:textId="77777777" w:rsidR="002E4D4F" w:rsidRPr="00CD2E4B" w:rsidRDefault="002E4D4F" w:rsidP="00E82B21">
            <w:pPr>
              <w:spacing w:before="0"/>
              <w:contextualSpacing/>
              <w:mirrorIndents/>
              <w:jc w:val="right"/>
              <w:rPr>
                <w:sz w:val="18"/>
                <w:szCs w:val="18"/>
              </w:rPr>
            </w:pPr>
            <w:r w:rsidRPr="00CD2E4B">
              <w:rPr>
                <w:sz w:val="18"/>
                <w:szCs w:val="18"/>
              </w:rPr>
              <w:t>15.350.000,00</w:t>
            </w:r>
          </w:p>
        </w:tc>
        <w:tc>
          <w:tcPr>
            <w:tcW w:w="1559" w:type="dxa"/>
            <w:vAlign w:val="center"/>
            <w:hideMark/>
          </w:tcPr>
          <w:p w14:paraId="403B815E" w14:textId="77777777" w:rsidR="002E4D4F" w:rsidRPr="00CD2E4B" w:rsidRDefault="002E4D4F" w:rsidP="00E82B21">
            <w:pPr>
              <w:spacing w:before="0"/>
              <w:contextualSpacing/>
              <w:mirrorIndents/>
              <w:jc w:val="right"/>
              <w:rPr>
                <w:sz w:val="18"/>
                <w:szCs w:val="18"/>
              </w:rPr>
            </w:pPr>
            <w:r w:rsidRPr="00CD2E4B">
              <w:rPr>
                <w:sz w:val="18"/>
                <w:szCs w:val="18"/>
              </w:rPr>
              <w:t>15.350.000,00</w:t>
            </w:r>
          </w:p>
        </w:tc>
      </w:tr>
      <w:tr w:rsidR="002E4D4F" w:rsidRPr="00CD2E4B" w14:paraId="21B36C6C" w14:textId="77777777" w:rsidTr="00E82B21">
        <w:trPr>
          <w:tblCellSpacing w:w="0" w:type="dxa"/>
        </w:trPr>
        <w:tc>
          <w:tcPr>
            <w:tcW w:w="5842" w:type="dxa"/>
            <w:shd w:val="clear" w:color="auto" w:fill="F0F0F0"/>
            <w:vAlign w:val="center"/>
            <w:hideMark/>
          </w:tcPr>
          <w:p w14:paraId="0FD812AC" w14:textId="77777777" w:rsidR="002E4D4F" w:rsidRPr="00CD2E4B" w:rsidRDefault="002E4D4F" w:rsidP="00484323">
            <w:pPr>
              <w:spacing w:before="0"/>
              <w:contextualSpacing/>
              <w:mirrorIndents/>
              <w:rPr>
                <w:sz w:val="18"/>
                <w:szCs w:val="18"/>
              </w:rPr>
            </w:pPr>
            <w:r w:rsidRPr="00CD2E4B">
              <w:rPr>
                <w:sz w:val="18"/>
                <w:szCs w:val="18"/>
              </w:rPr>
              <w:t>II. Kapitalrücklage</w:t>
            </w:r>
          </w:p>
        </w:tc>
        <w:tc>
          <w:tcPr>
            <w:tcW w:w="1701" w:type="dxa"/>
            <w:shd w:val="clear" w:color="auto" w:fill="F0F0F0"/>
            <w:vAlign w:val="center"/>
            <w:hideMark/>
          </w:tcPr>
          <w:p w14:paraId="6F51005C" w14:textId="77777777" w:rsidR="002E4D4F" w:rsidRPr="00CD2E4B" w:rsidRDefault="002E4D4F" w:rsidP="00E82B21">
            <w:pPr>
              <w:spacing w:before="0"/>
              <w:contextualSpacing/>
              <w:mirrorIndents/>
              <w:jc w:val="right"/>
              <w:rPr>
                <w:sz w:val="18"/>
                <w:szCs w:val="18"/>
              </w:rPr>
            </w:pPr>
            <w:r w:rsidRPr="00CD2E4B">
              <w:rPr>
                <w:sz w:val="18"/>
                <w:szCs w:val="18"/>
              </w:rPr>
              <w:t>5.014.889,90</w:t>
            </w:r>
          </w:p>
        </w:tc>
        <w:tc>
          <w:tcPr>
            <w:tcW w:w="1559" w:type="dxa"/>
            <w:shd w:val="clear" w:color="auto" w:fill="F0F0F0"/>
            <w:vAlign w:val="center"/>
            <w:hideMark/>
          </w:tcPr>
          <w:p w14:paraId="1187CC40" w14:textId="77777777" w:rsidR="002E4D4F" w:rsidRPr="00CD2E4B" w:rsidRDefault="002E4D4F" w:rsidP="00E82B21">
            <w:pPr>
              <w:spacing w:before="0"/>
              <w:contextualSpacing/>
              <w:mirrorIndents/>
              <w:jc w:val="right"/>
              <w:rPr>
                <w:sz w:val="18"/>
                <w:szCs w:val="18"/>
              </w:rPr>
            </w:pPr>
            <w:r w:rsidRPr="00CD2E4B">
              <w:rPr>
                <w:sz w:val="18"/>
                <w:szCs w:val="18"/>
              </w:rPr>
              <w:t>5.014.889,90</w:t>
            </w:r>
          </w:p>
        </w:tc>
      </w:tr>
      <w:tr w:rsidR="002E4D4F" w:rsidRPr="00CD2E4B" w14:paraId="6E22D276" w14:textId="77777777" w:rsidTr="00E82B21">
        <w:trPr>
          <w:tblCellSpacing w:w="0" w:type="dxa"/>
        </w:trPr>
        <w:tc>
          <w:tcPr>
            <w:tcW w:w="5842" w:type="dxa"/>
            <w:vAlign w:val="center"/>
            <w:hideMark/>
          </w:tcPr>
          <w:p w14:paraId="7B533569" w14:textId="77777777" w:rsidR="002E4D4F" w:rsidRPr="00CD2E4B" w:rsidRDefault="002E4D4F" w:rsidP="00484323">
            <w:pPr>
              <w:spacing w:before="0"/>
              <w:contextualSpacing/>
              <w:mirrorIndents/>
              <w:rPr>
                <w:sz w:val="18"/>
                <w:szCs w:val="18"/>
              </w:rPr>
            </w:pPr>
            <w:r w:rsidRPr="00CD2E4B">
              <w:rPr>
                <w:sz w:val="18"/>
                <w:szCs w:val="18"/>
              </w:rPr>
              <w:t>III. Gewinnrücklagen</w:t>
            </w:r>
          </w:p>
        </w:tc>
        <w:tc>
          <w:tcPr>
            <w:tcW w:w="1701" w:type="dxa"/>
            <w:vAlign w:val="center"/>
            <w:hideMark/>
          </w:tcPr>
          <w:p w14:paraId="4234F69A" w14:textId="77777777" w:rsidR="002E4D4F" w:rsidRPr="00CD2E4B" w:rsidRDefault="002E4D4F" w:rsidP="00E82B21">
            <w:pPr>
              <w:spacing w:before="0"/>
              <w:contextualSpacing/>
              <w:mirrorIndents/>
              <w:jc w:val="right"/>
              <w:rPr>
                <w:sz w:val="18"/>
                <w:szCs w:val="18"/>
              </w:rPr>
            </w:pPr>
          </w:p>
        </w:tc>
        <w:tc>
          <w:tcPr>
            <w:tcW w:w="1559" w:type="dxa"/>
            <w:vAlign w:val="center"/>
            <w:hideMark/>
          </w:tcPr>
          <w:p w14:paraId="04E55CB9" w14:textId="77777777" w:rsidR="002E4D4F" w:rsidRPr="00CD2E4B" w:rsidRDefault="002E4D4F" w:rsidP="00E82B21">
            <w:pPr>
              <w:spacing w:before="0"/>
              <w:contextualSpacing/>
              <w:mirrorIndents/>
              <w:jc w:val="right"/>
              <w:rPr>
                <w:sz w:val="18"/>
                <w:szCs w:val="18"/>
              </w:rPr>
            </w:pPr>
          </w:p>
        </w:tc>
      </w:tr>
      <w:tr w:rsidR="002E4D4F" w:rsidRPr="00CD2E4B" w14:paraId="2D7634D6" w14:textId="77777777" w:rsidTr="00E82B21">
        <w:trPr>
          <w:tblCellSpacing w:w="0" w:type="dxa"/>
        </w:trPr>
        <w:tc>
          <w:tcPr>
            <w:tcW w:w="5842" w:type="dxa"/>
            <w:shd w:val="clear" w:color="auto" w:fill="F0F0F0"/>
            <w:vAlign w:val="center"/>
            <w:hideMark/>
          </w:tcPr>
          <w:p w14:paraId="48F0EDFB" w14:textId="77777777" w:rsidR="002E4D4F" w:rsidRPr="00CD2E4B" w:rsidRDefault="002E4D4F" w:rsidP="00484323">
            <w:pPr>
              <w:spacing w:before="0"/>
              <w:contextualSpacing/>
              <w:mirrorIndents/>
              <w:rPr>
                <w:sz w:val="18"/>
                <w:szCs w:val="18"/>
              </w:rPr>
            </w:pPr>
            <w:r w:rsidRPr="00CD2E4B">
              <w:rPr>
                <w:sz w:val="18"/>
                <w:szCs w:val="18"/>
              </w:rPr>
              <w:t>Andere Gewinnrücklagen</w:t>
            </w:r>
          </w:p>
        </w:tc>
        <w:tc>
          <w:tcPr>
            <w:tcW w:w="1701" w:type="dxa"/>
            <w:shd w:val="clear" w:color="auto" w:fill="F0F0F0"/>
            <w:vAlign w:val="center"/>
            <w:hideMark/>
          </w:tcPr>
          <w:p w14:paraId="5DE68C6D" w14:textId="77777777" w:rsidR="002E4D4F" w:rsidRPr="00CD2E4B" w:rsidRDefault="002E4D4F" w:rsidP="00E82B21">
            <w:pPr>
              <w:spacing w:before="0"/>
              <w:contextualSpacing/>
              <w:mirrorIndents/>
              <w:jc w:val="right"/>
              <w:rPr>
                <w:sz w:val="18"/>
                <w:szCs w:val="18"/>
              </w:rPr>
            </w:pPr>
            <w:r w:rsidRPr="00CD2E4B">
              <w:rPr>
                <w:sz w:val="18"/>
                <w:szCs w:val="18"/>
              </w:rPr>
              <w:t>244.770,01</w:t>
            </w:r>
          </w:p>
        </w:tc>
        <w:tc>
          <w:tcPr>
            <w:tcW w:w="1559" w:type="dxa"/>
            <w:shd w:val="clear" w:color="auto" w:fill="F0F0F0"/>
            <w:vAlign w:val="center"/>
            <w:hideMark/>
          </w:tcPr>
          <w:p w14:paraId="70A60E0E" w14:textId="77777777" w:rsidR="002E4D4F" w:rsidRPr="00CD2E4B" w:rsidRDefault="002E4D4F" w:rsidP="00E82B21">
            <w:pPr>
              <w:spacing w:before="0"/>
              <w:contextualSpacing/>
              <w:mirrorIndents/>
              <w:jc w:val="right"/>
              <w:rPr>
                <w:sz w:val="18"/>
                <w:szCs w:val="18"/>
              </w:rPr>
            </w:pPr>
            <w:r w:rsidRPr="00CD2E4B">
              <w:rPr>
                <w:sz w:val="18"/>
                <w:szCs w:val="18"/>
              </w:rPr>
              <w:t>244.770,01</w:t>
            </w:r>
          </w:p>
        </w:tc>
      </w:tr>
      <w:tr w:rsidR="002E4D4F" w:rsidRPr="00CD2E4B" w14:paraId="36E2419F" w14:textId="77777777" w:rsidTr="00E82B21">
        <w:trPr>
          <w:tblCellSpacing w:w="0" w:type="dxa"/>
        </w:trPr>
        <w:tc>
          <w:tcPr>
            <w:tcW w:w="5842" w:type="dxa"/>
            <w:vAlign w:val="center"/>
            <w:hideMark/>
          </w:tcPr>
          <w:p w14:paraId="2AD5B210" w14:textId="77777777" w:rsidR="002E4D4F" w:rsidRPr="00CD2E4B" w:rsidRDefault="002E4D4F" w:rsidP="00484323">
            <w:pPr>
              <w:spacing w:before="0"/>
              <w:contextualSpacing/>
              <w:mirrorIndents/>
              <w:rPr>
                <w:sz w:val="18"/>
                <w:szCs w:val="18"/>
              </w:rPr>
            </w:pPr>
            <w:r w:rsidRPr="00CD2E4B">
              <w:rPr>
                <w:sz w:val="18"/>
                <w:szCs w:val="18"/>
              </w:rPr>
              <w:t xml:space="preserve">IV. Sonderrücklagen nach den Vorschriften des </w:t>
            </w:r>
            <w:proofErr w:type="spellStart"/>
            <w:r w:rsidRPr="00CD2E4B">
              <w:rPr>
                <w:sz w:val="18"/>
                <w:szCs w:val="18"/>
              </w:rPr>
              <w:t>DMBilG</w:t>
            </w:r>
            <w:proofErr w:type="spellEnd"/>
          </w:p>
        </w:tc>
        <w:tc>
          <w:tcPr>
            <w:tcW w:w="1701" w:type="dxa"/>
            <w:vAlign w:val="center"/>
            <w:hideMark/>
          </w:tcPr>
          <w:p w14:paraId="631CCBC1" w14:textId="77777777" w:rsidR="002E4D4F" w:rsidRPr="00CD2E4B" w:rsidRDefault="002E4D4F" w:rsidP="00E82B21">
            <w:pPr>
              <w:spacing w:before="0"/>
              <w:contextualSpacing/>
              <w:mirrorIndents/>
              <w:jc w:val="right"/>
              <w:rPr>
                <w:sz w:val="18"/>
                <w:szCs w:val="18"/>
              </w:rPr>
            </w:pPr>
            <w:r w:rsidRPr="00CD2E4B">
              <w:rPr>
                <w:sz w:val="18"/>
                <w:szCs w:val="18"/>
              </w:rPr>
              <w:t>12.570.032,81</w:t>
            </w:r>
          </w:p>
        </w:tc>
        <w:tc>
          <w:tcPr>
            <w:tcW w:w="1559" w:type="dxa"/>
            <w:vAlign w:val="center"/>
            <w:hideMark/>
          </w:tcPr>
          <w:p w14:paraId="62C190F0" w14:textId="77777777" w:rsidR="002E4D4F" w:rsidRPr="00CD2E4B" w:rsidRDefault="002E4D4F" w:rsidP="00E82B21">
            <w:pPr>
              <w:spacing w:before="0"/>
              <w:contextualSpacing/>
              <w:mirrorIndents/>
              <w:jc w:val="right"/>
              <w:rPr>
                <w:sz w:val="18"/>
                <w:szCs w:val="18"/>
              </w:rPr>
            </w:pPr>
            <w:r w:rsidRPr="00CD2E4B">
              <w:rPr>
                <w:sz w:val="18"/>
                <w:szCs w:val="18"/>
              </w:rPr>
              <w:t>12.570.032,81</w:t>
            </w:r>
          </w:p>
        </w:tc>
      </w:tr>
      <w:tr w:rsidR="002E4D4F" w:rsidRPr="00CD2E4B" w14:paraId="79E90BEC" w14:textId="77777777" w:rsidTr="00E82B21">
        <w:trPr>
          <w:tblCellSpacing w:w="0" w:type="dxa"/>
        </w:trPr>
        <w:tc>
          <w:tcPr>
            <w:tcW w:w="5842" w:type="dxa"/>
            <w:shd w:val="clear" w:color="auto" w:fill="F0F0F0"/>
            <w:vAlign w:val="center"/>
            <w:hideMark/>
          </w:tcPr>
          <w:p w14:paraId="20FC42F6" w14:textId="77777777" w:rsidR="002E4D4F" w:rsidRPr="00CD2E4B" w:rsidRDefault="002E4D4F" w:rsidP="00484323">
            <w:pPr>
              <w:spacing w:before="0"/>
              <w:contextualSpacing/>
              <w:mirrorIndents/>
              <w:rPr>
                <w:sz w:val="18"/>
                <w:szCs w:val="18"/>
              </w:rPr>
            </w:pPr>
            <w:r w:rsidRPr="00CD2E4B">
              <w:rPr>
                <w:sz w:val="18"/>
                <w:szCs w:val="18"/>
              </w:rPr>
              <w:t>V. Jahresergebnis</w:t>
            </w:r>
          </w:p>
        </w:tc>
        <w:tc>
          <w:tcPr>
            <w:tcW w:w="1701" w:type="dxa"/>
            <w:shd w:val="clear" w:color="auto" w:fill="F0F0F0"/>
            <w:vAlign w:val="center"/>
            <w:hideMark/>
          </w:tcPr>
          <w:p w14:paraId="08A194D0" w14:textId="77777777" w:rsidR="002E4D4F" w:rsidRPr="00CD2E4B" w:rsidRDefault="002E4D4F" w:rsidP="00E82B21">
            <w:pPr>
              <w:spacing w:before="0"/>
              <w:contextualSpacing/>
              <w:mirrorIndents/>
              <w:jc w:val="right"/>
              <w:rPr>
                <w:sz w:val="18"/>
                <w:szCs w:val="18"/>
              </w:rPr>
            </w:pPr>
            <w:r w:rsidRPr="00CD2E4B">
              <w:rPr>
                <w:sz w:val="18"/>
                <w:szCs w:val="18"/>
              </w:rPr>
              <w:t>0,00</w:t>
            </w:r>
          </w:p>
        </w:tc>
        <w:tc>
          <w:tcPr>
            <w:tcW w:w="1559" w:type="dxa"/>
            <w:shd w:val="clear" w:color="auto" w:fill="F0F0F0"/>
            <w:vAlign w:val="center"/>
            <w:hideMark/>
          </w:tcPr>
          <w:p w14:paraId="39D6A0F1" w14:textId="77777777" w:rsidR="002E4D4F" w:rsidRPr="00CD2E4B" w:rsidRDefault="002E4D4F" w:rsidP="00E82B21">
            <w:pPr>
              <w:spacing w:before="0"/>
              <w:contextualSpacing/>
              <w:mirrorIndents/>
              <w:jc w:val="right"/>
              <w:rPr>
                <w:sz w:val="18"/>
                <w:szCs w:val="18"/>
              </w:rPr>
            </w:pPr>
            <w:r w:rsidRPr="00CD2E4B">
              <w:rPr>
                <w:sz w:val="18"/>
                <w:szCs w:val="18"/>
              </w:rPr>
              <w:t>0,00</w:t>
            </w:r>
          </w:p>
        </w:tc>
      </w:tr>
      <w:tr w:rsidR="002E4D4F" w:rsidRPr="00CD2E4B" w14:paraId="66B235A4" w14:textId="77777777" w:rsidTr="00E82B21">
        <w:trPr>
          <w:tblCellSpacing w:w="0" w:type="dxa"/>
        </w:trPr>
        <w:tc>
          <w:tcPr>
            <w:tcW w:w="5842" w:type="dxa"/>
            <w:vAlign w:val="center"/>
            <w:hideMark/>
          </w:tcPr>
          <w:p w14:paraId="7C7B5CC9" w14:textId="77777777" w:rsidR="002E4D4F" w:rsidRPr="00CD2E4B" w:rsidRDefault="002E4D4F" w:rsidP="00484323">
            <w:pPr>
              <w:spacing w:before="0"/>
              <w:contextualSpacing/>
              <w:mirrorIndents/>
              <w:rPr>
                <w:sz w:val="18"/>
                <w:szCs w:val="18"/>
              </w:rPr>
            </w:pPr>
          </w:p>
        </w:tc>
        <w:tc>
          <w:tcPr>
            <w:tcW w:w="1701" w:type="dxa"/>
            <w:vAlign w:val="center"/>
            <w:hideMark/>
          </w:tcPr>
          <w:p w14:paraId="23A37532" w14:textId="77777777" w:rsidR="002E4D4F" w:rsidRPr="00CD2E4B" w:rsidRDefault="002E4D4F" w:rsidP="00E82B21">
            <w:pPr>
              <w:spacing w:before="0"/>
              <w:contextualSpacing/>
              <w:mirrorIndents/>
              <w:jc w:val="right"/>
              <w:rPr>
                <w:sz w:val="18"/>
                <w:szCs w:val="18"/>
              </w:rPr>
            </w:pPr>
            <w:r w:rsidRPr="00CD2E4B">
              <w:rPr>
                <w:sz w:val="18"/>
                <w:szCs w:val="18"/>
              </w:rPr>
              <w:t>33.179.692,72</w:t>
            </w:r>
          </w:p>
        </w:tc>
        <w:tc>
          <w:tcPr>
            <w:tcW w:w="1559" w:type="dxa"/>
            <w:vAlign w:val="center"/>
            <w:hideMark/>
          </w:tcPr>
          <w:p w14:paraId="50D3C17A" w14:textId="77777777" w:rsidR="002E4D4F" w:rsidRPr="00CD2E4B" w:rsidRDefault="002E4D4F" w:rsidP="00E82B21">
            <w:pPr>
              <w:spacing w:before="0"/>
              <w:contextualSpacing/>
              <w:mirrorIndents/>
              <w:jc w:val="right"/>
              <w:rPr>
                <w:sz w:val="18"/>
                <w:szCs w:val="18"/>
              </w:rPr>
            </w:pPr>
            <w:r w:rsidRPr="00CD2E4B">
              <w:rPr>
                <w:sz w:val="18"/>
                <w:szCs w:val="18"/>
              </w:rPr>
              <w:t>33.179.692,72</w:t>
            </w:r>
          </w:p>
        </w:tc>
      </w:tr>
      <w:tr w:rsidR="002E4D4F" w:rsidRPr="00CD2E4B" w14:paraId="3718864F" w14:textId="77777777" w:rsidTr="00E82B21">
        <w:trPr>
          <w:tblCellSpacing w:w="0" w:type="dxa"/>
        </w:trPr>
        <w:tc>
          <w:tcPr>
            <w:tcW w:w="5842" w:type="dxa"/>
            <w:shd w:val="clear" w:color="auto" w:fill="F0F0F0"/>
            <w:vAlign w:val="center"/>
            <w:hideMark/>
          </w:tcPr>
          <w:p w14:paraId="5DC0C9FD" w14:textId="77777777" w:rsidR="002E4D4F" w:rsidRPr="00CD2E4B" w:rsidRDefault="002E4D4F" w:rsidP="00484323">
            <w:pPr>
              <w:spacing w:before="0"/>
              <w:contextualSpacing/>
              <w:mirrorIndents/>
              <w:rPr>
                <w:sz w:val="18"/>
                <w:szCs w:val="18"/>
              </w:rPr>
            </w:pPr>
            <w:r w:rsidRPr="00CD2E4B">
              <w:rPr>
                <w:sz w:val="18"/>
                <w:szCs w:val="18"/>
              </w:rPr>
              <w:t>B. Rückstellungen</w:t>
            </w:r>
          </w:p>
        </w:tc>
        <w:tc>
          <w:tcPr>
            <w:tcW w:w="1701" w:type="dxa"/>
            <w:shd w:val="clear" w:color="auto" w:fill="F0F0F0"/>
            <w:vAlign w:val="center"/>
            <w:hideMark/>
          </w:tcPr>
          <w:p w14:paraId="4811E0F3" w14:textId="77777777" w:rsidR="002E4D4F" w:rsidRPr="00CD2E4B" w:rsidRDefault="002E4D4F" w:rsidP="00E82B21">
            <w:pPr>
              <w:spacing w:before="0"/>
              <w:contextualSpacing/>
              <w:mirrorIndents/>
              <w:jc w:val="right"/>
              <w:rPr>
                <w:sz w:val="18"/>
                <w:szCs w:val="18"/>
              </w:rPr>
            </w:pPr>
          </w:p>
        </w:tc>
        <w:tc>
          <w:tcPr>
            <w:tcW w:w="1559" w:type="dxa"/>
            <w:shd w:val="clear" w:color="auto" w:fill="F0F0F0"/>
            <w:vAlign w:val="center"/>
            <w:hideMark/>
          </w:tcPr>
          <w:p w14:paraId="70EFB5A6" w14:textId="77777777" w:rsidR="002E4D4F" w:rsidRPr="00CD2E4B" w:rsidRDefault="002E4D4F" w:rsidP="00E82B21">
            <w:pPr>
              <w:spacing w:before="0"/>
              <w:contextualSpacing/>
              <w:mirrorIndents/>
              <w:jc w:val="right"/>
              <w:rPr>
                <w:sz w:val="18"/>
                <w:szCs w:val="18"/>
              </w:rPr>
            </w:pPr>
          </w:p>
        </w:tc>
      </w:tr>
      <w:tr w:rsidR="002E4D4F" w:rsidRPr="00CD2E4B" w14:paraId="3F9A14F6" w14:textId="77777777" w:rsidTr="00E82B21">
        <w:trPr>
          <w:tblCellSpacing w:w="0" w:type="dxa"/>
        </w:trPr>
        <w:tc>
          <w:tcPr>
            <w:tcW w:w="5842" w:type="dxa"/>
            <w:vAlign w:val="center"/>
            <w:hideMark/>
          </w:tcPr>
          <w:p w14:paraId="42E558D8" w14:textId="77777777" w:rsidR="002E4D4F" w:rsidRPr="00CD2E4B" w:rsidRDefault="002E4D4F" w:rsidP="00484323">
            <w:pPr>
              <w:spacing w:before="0"/>
              <w:contextualSpacing/>
              <w:mirrorIndents/>
              <w:rPr>
                <w:sz w:val="18"/>
                <w:szCs w:val="18"/>
              </w:rPr>
            </w:pPr>
            <w:r w:rsidRPr="00CD2E4B">
              <w:rPr>
                <w:sz w:val="18"/>
                <w:szCs w:val="18"/>
              </w:rPr>
              <w:t>1. Rückstellungen für Pensionen und ähnliche Verpflichtungen</w:t>
            </w:r>
          </w:p>
        </w:tc>
        <w:tc>
          <w:tcPr>
            <w:tcW w:w="1701" w:type="dxa"/>
            <w:vAlign w:val="center"/>
            <w:hideMark/>
          </w:tcPr>
          <w:p w14:paraId="738E2FA1" w14:textId="77777777" w:rsidR="002E4D4F" w:rsidRPr="00CD2E4B" w:rsidRDefault="002E4D4F" w:rsidP="00E82B21">
            <w:pPr>
              <w:spacing w:before="0"/>
              <w:contextualSpacing/>
              <w:mirrorIndents/>
              <w:jc w:val="right"/>
              <w:rPr>
                <w:sz w:val="18"/>
                <w:szCs w:val="18"/>
              </w:rPr>
            </w:pPr>
            <w:r w:rsidRPr="00CD2E4B">
              <w:rPr>
                <w:sz w:val="18"/>
                <w:szCs w:val="18"/>
              </w:rPr>
              <w:t>490.286,00</w:t>
            </w:r>
          </w:p>
        </w:tc>
        <w:tc>
          <w:tcPr>
            <w:tcW w:w="1559" w:type="dxa"/>
            <w:vAlign w:val="center"/>
            <w:hideMark/>
          </w:tcPr>
          <w:p w14:paraId="30C63989" w14:textId="77777777" w:rsidR="002E4D4F" w:rsidRPr="00CD2E4B" w:rsidRDefault="002E4D4F" w:rsidP="00E82B21">
            <w:pPr>
              <w:spacing w:before="0"/>
              <w:contextualSpacing/>
              <w:mirrorIndents/>
              <w:jc w:val="right"/>
              <w:rPr>
                <w:sz w:val="18"/>
                <w:szCs w:val="18"/>
              </w:rPr>
            </w:pPr>
            <w:r w:rsidRPr="00CD2E4B">
              <w:rPr>
                <w:sz w:val="18"/>
                <w:szCs w:val="18"/>
              </w:rPr>
              <w:t>503.540,00</w:t>
            </w:r>
          </w:p>
        </w:tc>
      </w:tr>
      <w:tr w:rsidR="002E4D4F" w:rsidRPr="00CD2E4B" w14:paraId="3BE70617" w14:textId="77777777" w:rsidTr="00E82B21">
        <w:trPr>
          <w:tblCellSpacing w:w="0" w:type="dxa"/>
        </w:trPr>
        <w:tc>
          <w:tcPr>
            <w:tcW w:w="5842" w:type="dxa"/>
            <w:shd w:val="clear" w:color="auto" w:fill="F0F0F0"/>
            <w:vAlign w:val="center"/>
            <w:hideMark/>
          </w:tcPr>
          <w:p w14:paraId="1522F331" w14:textId="77777777" w:rsidR="002E4D4F" w:rsidRPr="00CD2E4B" w:rsidRDefault="002E4D4F" w:rsidP="00484323">
            <w:pPr>
              <w:spacing w:before="0"/>
              <w:contextualSpacing/>
              <w:mirrorIndents/>
              <w:rPr>
                <w:sz w:val="18"/>
                <w:szCs w:val="18"/>
              </w:rPr>
            </w:pPr>
            <w:r w:rsidRPr="00CD2E4B">
              <w:rPr>
                <w:sz w:val="18"/>
                <w:szCs w:val="18"/>
              </w:rPr>
              <w:t>2. sonstige Rückstellungen</w:t>
            </w:r>
          </w:p>
        </w:tc>
        <w:tc>
          <w:tcPr>
            <w:tcW w:w="1701" w:type="dxa"/>
            <w:shd w:val="clear" w:color="auto" w:fill="F0F0F0"/>
            <w:vAlign w:val="center"/>
            <w:hideMark/>
          </w:tcPr>
          <w:p w14:paraId="78D85FC3" w14:textId="77777777" w:rsidR="002E4D4F" w:rsidRPr="00CD2E4B" w:rsidRDefault="002E4D4F" w:rsidP="00E82B21">
            <w:pPr>
              <w:spacing w:before="0"/>
              <w:contextualSpacing/>
              <w:mirrorIndents/>
              <w:jc w:val="right"/>
              <w:rPr>
                <w:sz w:val="18"/>
                <w:szCs w:val="18"/>
              </w:rPr>
            </w:pPr>
            <w:r w:rsidRPr="00CD2E4B">
              <w:rPr>
                <w:sz w:val="18"/>
                <w:szCs w:val="18"/>
              </w:rPr>
              <w:t>35.631.086,74</w:t>
            </w:r>
          </w:p>
        </w:tc>
        <w:tc>
          <w:tcPr>
            <w:tcW w:w="1559" w:type="dxa"/>
            <w:shd w:val="clear" w:color="auto" w:fill="F0F0F0"/>
            <w:vAlign w:val="center"/>
            <w:hideMark/>
          </w:tcPr>
          <w:p w14:paraId="1FDEA830" w14:textId="77777777" w:rsidR="002E4D4F" w:rsidRPr="00CD2E4B" w:rsidRDefault="002E4D4F" w:rsidP="00E82B21">
            <w:pPr>
              <w:spacing w:before="0"/>
              <w:contextualSpacing/>
              <w:mirrorIndents/>
              <w:jc w:val="right"/>
              <w:rPr>
                <w:sz w:val="18"/>
                <w:szCs w:val="18"/>
              </w:rPr>
            </w:pPr>
            <w:r w:rsidRPr="00CD2E4B">
              <w:rPr>
                <w:sz w:val="18"/>
                <w:szCs w:val="18"/>
              </w:rPr>
              <w:t>32.421.634,51</w:t>
            </w:r>
          </w:p>
        </w:tc>
      </w:tr>
      <w:tr w:rsidR="002E4D4F" w:rsidRPr="00CD2E4B" w14:paraId="26888BB9" w14:textId="77777777" w:rsidTr="00E82B21">
        <w:trPr>
          <w:tblCellSpacing w:w="0" w:type="dxa"/>
        </w:trPr>
        <w:tc>
          <w:tcPr>
            <w:tcW w:w="5842" w:type="dxa"/>
            <w:vAlign w:val="center"/>
            <w:hideMark/>
          </w:tcPr>
          <w:p w14:paraId="28E1733A" w14:textId="77777777" w:rsidR="002E4D4F" w:rsidRPr="00CD2E4B" w:rsidRDefault="002E4D4F" w:rsidP="00484323">
            <w:pPr>
              <w:spacing w:before="0"/>
              <w:contextualSpacing/>
              <w:mirrorIndents/>
              <w:rPr>
                <w:sz w:val="18"/>
                <w:szCs w:val="18"/>
              </w:rPr>
            </w:pPr>
          </w:p>
        </w:tc>
        <w:tc>
          <w:tcPr>
            <w:tcW w:w="1701" w:type="dxa"/>
            <w:vAlign w:val="center"/>
            <w:hideMark/>
          </w:tcPr>
          <w:p w14:paraId="6C0E4DDC" w14:textId="77777777" w:rsidR="002E4D4F" w:rsidRPr="00CD2E4B" w:rsidRDefault="002E4D4F" w:rsidP="00E82B21">
            <w:pPr>
              <w:spacing w:before="0"/>
              <w:contextualSpacing/>
              <w:mirrorIndents/>
              <w:jc w:val="right"/>
              <w:rPr>
                <w:sz w:val="18"/>
                <w:szCs w:val="18"/>
              </w:rPr>
            </w:pPr>
            <w:r w:rsidRPr="00CD2E4B">
              <w:rPr>
                <w:sz w:val="18"/>
                <w:szCs w:val="18"/>
              </w:rPr>
              <w:t>36.121.372,74</w:t>
            </w:r>
          </w:p>
        </w:tc>
        <w:tc>
          <w:tcPr>
            <w:tcW w:w="1559" w:type="dxa"/>
            <w:vAlign w:val="center"/>
            <w:hideMark/>
          </w:tcPr>
          <w:p w14:paraId="7BCDF04C" w14:textId="77777777" w:rsidR="002E4D4F" w:rsidRPr="00CD2E4B" w:rsidRDefault="002E4D4F" w:rsidP="00E82B21">
            <w:pPr>
              <w:spacing w:before="0"/>
              <w:contextualSpacing/>
              <w:mirrorIndents/>
              <w:jc w:val="right"/>
              <w:rPr>
                <w:sz w:val="18"/>
                <w:szCs w:val="18"/>
              </w:rPr>
            </w:pPr>
            <w:r w:rsidRPr="00CD2E4B">
              <w:rPr>
                <w:sz w:val="18"/>
                <w:szCs w:val="18"/>
              </w:rPr>
              <w:t>32.925.174,51</w:t>
            </w:r>
          </w:p>
        </w:tc>
      </w:tr>
      <w:tr w:rsidR="002E4D4F" w:rsidRPr="00CD2E4B" w14:paraId="22BF1FDD" w14:textId="77777777" w:rsidTr="00E82B21">
        <w:trPr>
          <w:tblCellSpacing w:w="0" w:type="dxa"/>
        </w:trPr>
        <w:tc>
          <w:tcPr>
            <w:tcW w:w="5842" w:type="dxa"/>
            <w:shd w:val="clear" w:color="auto" w:fill="F0F0F0"/>
            <w:vAlign w:val="center"/>
            <w:hideMark/>
          </w:tcPr>
          <w:p w14:paraId="5F64F246" w14:textId="77777777" w:rsidR="002E4D4F" w:rsidRPr="00CD2E4B" w:rsidRDefault="002E4D4F" w:rsidP="00484323">
            <w:pPr>
              <w:spacing w:before="0"/>
              <w:contextualSpacing/>
              <w:mirrorIndents/>
              <w:rPr>
                <w:sz w:val="18"/>
                <w:szCs w:val="18"/>
              </w:rPr>
            </w:pPr>
            <w:r w:rsidRPr="00CD2E4B">
              <w:rPr>
                <w:sz w:val="18"/>
                <w:szCs w:val="18"/>
              </w:rPr>
              <w:t>C. Verbindlichkeiten</w:t>
            </w:r>
          </w:p>
        </w:tc>
        <w:tc>
          <w:tcPr>
            <w:tcW w:w="1701" w:type="dxa"/>
            <w:shd w:val="clear" w:color="auto" w:fill="F0F0F0"/>
            <w:vAlign w:val="center"/>
            <w:hideMark/>
          </w:tcPr>
          <w:p w14:paraId="3EAF5EDE" w14:textId="77777777" w:rsidR="002E4D4F" w:rsidRPr="00CD2E4B" w:rsidRDefault="002E4D4F" w:rsidP="00E82B21">
            <w:pPr>
              <w:spacing w:before="0"/>
              <w:contextualSpacing/>
              <w:mirrorIndents/>
              <w:jc w:val="right"/>
              <w:rPr>
                <w:sz w:val="18"/>
                <w:szCs w:val="18"/>
              </w:rPr>
            </w:pPr>
          </w:p>
        </w:tc>
        <w:tc>
          <w:tcPr>
            <w:tcW w:w="1559" w:type="dxa"/>
            <w:shd w:val="clear" w:color="auto" w:fill="F0F0F0"/>
            <w:vAlign w:val="center"/>
            <w:hideMark/>
          </w:tcPr>
          <w:p w14:paraId="68D732A7" w14:textId="77777777" w:rsidR="002E4D4F" w:rsidRPr="00CD2E4B" w:rsidRDefault="002E4D4F" w:rsidP="00E82B21">
            <w:pPr>
              <w:spacing w:before="0"/>
              <w:contextualSpacing/>
              <w:mirrorIndents/>
              <w:jc w:val="right"/>
              <w:rPr>
                <w:sz w:val="18"/>
                <w:szCs w:val="18"/>
              </w:rPr>
            </w:pPr>
          </w:p>
        </w:tc>
      </w:tr>
      <w:tr w:rsidR="002E4D4F" w:rsidRPr="00CD2E4B" w14:paraId="7DD5F4FE" w14:textId="77777777" w:rsidTr="00E82B21">
        <w:trPr>
          <w:tblCellSpacing w:w="0" w:type="dxa"/>
        </w:trPr>
        <w:tc>
          <w:tcPr>
            <w:tcW w:w="5842" w:type="dxa"/>
            <w:vAlign w:val="center"/>
            <w:hideMark/>
          </w:tcPr>
          <w:p w14:paraId="19362A0B" w14:textId="77777777" w:rsidR="002E4D4F" w:rsidRPr="00CD2E4B" w:rsidRDefault="002E4D4F" w:rsidP="00484323">
            <w:pPr>
              <w:spacing w:before="0"/>
              <w:contextualSpacing/>
              <w:mirrorIndents/>
              <w:rPr>
                <w:sz w:val="18"/>
                <w:szCs w:val="18"/>
              </w:rPr>
            </w:pPr>
            <w:r w:rsidRPr="00CD2E4B">
              <w:rPr>
                <w:sz w:val="18"/>
                <w:szCs w:val="18"/>
              </w:rPr>
              <w:t>1. erhaltene Anzahlungen auf Bestellungen</w:t>
            </w:r>
          </w:p>
        </w:tc>
        <w:tc>
          <w:tcPr>
            <w:tcW w:w="1701" w:type="dxa"/>
            <w:vAlign w:val="center"/>
            <w:hideMark/>
          </w:tcPr>
          <w:p w14:paraId="4DF7A9C8" w14:textId="77777777" w:rsidR="002E4D4F" w:rsidRPr="00CD2E4B" w:rsidRDefault="002E4D4F" w:rsidP="00E82B21">
            <w:pPr>
              <w:spacing w:before="0"/>
              <w:contextualSpacing/>
              <w:mirrorIndents/>
              <w:jc w:val="right"/>
              <w:rPr>
                <w:sz w:val="18"/>
                <w:szCs w:val="18"/>
              </w:rPr>
            </w:pPr>
            <w:r w:rsidRPr="00CD2E4B">
              <w:rPr>
                <w:sz w:val="18"/>
                <w:szCs w:val="18"/>
              </w:rPr>
              <w:t>18.393.665,91</w:t>
            </w:r>
          </w:p>
        </w:tc>
        <w:tc>
          <w:tcPr>
            <w:tcW w:w="1559" w:type="dxa"/>
            <w:vAlign w:val="center"/>
            <w:hideMark/>
          </w:tcPr>
          <w:p w14:paraId="313949EE" w14:textId="77777777" w:rsidR="002E4D4F" w:rsidRPr="00CD2E4B" w:rsidRDefault="002E4D4F" w:rsidP="00E82B21">
            <w:pPr>
              <w:spacing w:before="0"/>
              <w:contextualSpacing/>
              <w:mirrorIndents/>
              <w:jc w:val="right"/>
              <w:rPr>
                <w:sz w:val="18"/>
                <w:szCs w:val="18"/>
              </w:rPr>
            </w:pPr>
            <w:r w:rsidRPr="00CD2E4B">
              <w:rPr>
                <w:sz w:val="18"/>
                <w:szCs w:val="18"/>
              </w:rPr>
              <w:t>18.032.301,02</w:t>
            </w:r>
          </w:p>
        </w:tc>
      </w:tr>
      <w:tr w:rsidR="002E4D4F" w:rsidRPr="00CD2E4B" w14:paraId="6BF24E74" w14:textId="77777777" w:rsidTr="00E82B21">
        <w:trPr>
          <w:tblCellSpacing w:w="0" w:type="dxa"/>
        </w:trPr>
        <w:tc>
          <w:tcPr>
            <w:tcW w:w="5842" w:type="dxa"/>
            <w:shd w:val="clear" w:color="auto" w:fill="F0F0F0"/>
            <w:vAlign w:val="center"/>
            <w:hideMark/>
          </w:tcPr>
          <w:p w14:paraId="1424A3B2" w14:textId="77777777" w:rsidR="002E4D4F" w:rsidRPr="00CD2E4B" w:rsidRDefault="002E4D4F" w:rsidP="00484323">
            <w:pPr>
              <w:spacing w:before="0"/>
              <w:contextualSpacing/>
              <w:mirrorIndents/>
              <w:rPr>
                <w:sz w:val="18"/>
                <w:szCs w:val="18"/>
              </w:rPr>
            </w:pPr>
            <w:r w:rsidRPr="00CD2E4B">
              <w:rPr>
                <w:sz w:val="18"/>
                <w:szCs w:val="18"/>
              </w:rPr>
              <w:t>2. Verbindlichkeiten aus Lieferungen und Leistungen</w:t>
            </w:r>
          </w:p>
        </w:tc>
        <w:tc>
          <w:tcPr>
            <w:tcW w:w="1701" w:type="dxa"/>
            <w:shd w:val="clear" w:color="auto" w:fill="F0F0F0"/>
            <w:vAlign w:val="center"/>
            <w:hideMark/>
          </w:tcPr>
          <w:p w14:paraId="5CA89B09" w14:textId="77777777" w:rsidR="002E4D4F" w:rsidRPr="00CD2E4B" w:rsidRDefault="002E4D4F" w:rsidP="00E82B21">
            <w:pPr>
              <w:spacing w:before="0"/>
              <w:contextualSpacing/>
              <w:mirrorIndents/>
              <w:jc w:val="right"/>
              <w:rPr>
                <w:sz w:val="18"/>
                <w:szCs w:val="18"/>
              </w:rPr>
            </w:pPr>
            <w:r w:rsidRPr="00CD2E4B">
              <w:rPr>
                <w:sz w:val="18"/>
                <w:szCs w:val="18"/>
              </w:rPr>
              <w:t>58.734.794,73</w:t>
            </w:r>
          </w:p>
        </w:tc>
        <w:tc>
          <w:tcPr>
            <w:tcW w:w="1559" w:type="dxa"/>
            <w:shd w:val="clear" w:color="auto" w:fill="F0F0F0"/>
            <w:vAlign w:val="center"/>
            <w:hideMark/>
          </w:tcPr>
          <w:p w14:paraId="4B508B06" w14:textId="77777777" w:rsidR="002E4D4F" w:rsidRPr="00CD2E4B" w:rsidRDefault="002E4D4F" w:rsidP="00E82B21">
            <w:pPr>
              <w:spacing w:before="0"/>
              <w:contextualSpacing/>
              <w:mirrorIndents/>
              <w:jc w:val="right"/>
              <w:rPr>
                <w:sz w:val="18"/>
                <w:szCs w:val="18"/>
              </w:rPr>
            </w:pPr>
            <w:r w:rsidRPr="00CD2E4B">
              <w:rPr>
                <w:sz w:val="18"/>
                <w:szCs w:val="18"/>
              </w:rPr>
              <w:t>61.467.119,89</w:t>
            </w:r>
          </w:p>
        </w:tc>
      </w:tr>
      <w:tr w:rsidR="002E4D4F" w:rsidRPr="00CD2E4B" w14:paraId="690212CA" w14:textId="77777777" w:rsidTr="00E82B21">
        <w:trPr>
          <w:tblCellSpacing w:w="0" w:type="dxa"/>
        </w:trPr>
        <w:tc>
          <w:tcPr>
            <w:tcW w:w="5842" w:type="dxa"/>
            <w:vAlign w:val="center"/>
            <w:hideMark/>
          </w:tcPr>
          <w:p w14:paraId="49B899D9" w14:textId="77777777" w:rsidR="002E4D4F" w:rsidRPr="00CD2E4B" w:rsidRDefault="002E4D4F" w:rsidP="00484323">
            <w:pPr>
              <w:spacing w:before="0"/>
              <w:contextualSpacing/>
              <w:mirrorIndents/>
              <w:rPr>
                <w:sz w:val="18"/>
                <w:szCs w:val="18"/>
              </w:rPr>
            </w:pPr>
            <w:r w:rsidRPr="00CD2E4B">
              <w:rPr>
                <w:sz w:val="18"/>
                <w:szCs w:val="18"/>
              </w:rPr>
              <w:t>3. Verbindlichkeiten gegenüber Arbeitsgemeinschaften</w:t>
            </w:r>
          </w:p>
        </w:tc>
        <w:tc>
          <w:tcPr>
            <w:tcW w:w="1701" w:type="dxa"/>
            <w:vAlign w:val="center"/>
            <w:hideMark/>
          </w:tcPr>
          <w:p w14:paraId="49F2EE47" w14:textId="77777777" w:rsidR="002E4D4F" w:rsidRPr="00CD2E4B" w:rsidRDefault="002E4D4F" w:rsidP="00E82B21">
            <w:pPr>
              <w:spacing w:before="0"/>
              <w:contextualSpacing/>
              <w:mirrorIndents/>
              <w:jc w:val="right"/>
              <w:rPr>
                <w:sz w:val="18"/>
                <w:szCs w:val="18"/>
              </w:rPr>
            </w:pPr>
            <w:r w:rsidRPr="00CD2E4B">
              <w:rPr>
                <w:sz w:val="18"/>
                <w:szCs w:val="18"/>
              </w:rPr>
              <w:t>4.528.222,72</w:t>
            </w:r>
          </w:p>
        </w:tc>
        <w:tc>
          <w:tcPr>
            <w:tcW w:w="1559" w:type="dxa"/>
            <w:vAlign w:val="center"/>
            <w:hideMark/>
          </w:tcPr>
          <w:p w14:paraId="07ABE879" w14:textId="77777777" w:rsidR="002E4D4F" w:rsidRPr="00CD2E4B" w:rsidRDefault="002E4D4F" w:rsidP="00E82B21">
            <w:pPr>
              <w:spacing w:before="0"/>
              <w:contextualSpacing/>
              <w:mirrorIndents/>
              <w:jc w:val="right"/>
              <w:rPr>
                <w:sz w:val="18"/>
                <w:szCs w:val="18"/>
              </w:rPr>
            </w:pPr>
            <w:r w:rsidRPr="00CD2E4B">
              <w:rPr>
                <w:sz w:val="18"/>
                <w:szCs w:val="18"/>
              </w:rPr>
              <w:t>16.041.407,36</w:t>
            </w:r>
          </w:p>
        </w:tc>
      </w:tr>
      <w:tr w:rsidR="002E4D4F" w:rsidRPr="00CD2E4B" w14:paraId="550E88EC" w14:textId="77777777" w:rsidTr="00E82B21">
        <w:trPr>
          <w:tblCellSpacing w:w="0" w:type="dxa"/>
        </w:trPr>
        <w:tc>
          <w:tcPr>
            <w:tcW w:w="5842" w:type="dxa"/>
            <w:shd w:val="clear" w:color="auto" w:fill="F0F0F0"/>
            <w:vAlign w:val="center"/>
            <w:hideMark/>
          </w:tcPr>
          <w:p w14:paraId="0F97CF5D" w14:textId="77777777" w:rsidR="002E4D4F" w:rsidRPr="00CD2E4B" w:rsidRDefault="002E4D4F" w:rsidP="00484323">
            <w:pPr>
              <w:spacing w:before="0"/>
              <w:contextualSpacing/>
              <w:mirrorIndents/>
              <w:rPr>
                <w:sz w:val="18"/>
                <w:szCs w:val="18"/>
              </w:rPr>
            </w:pPr>
            <w:r w:rsidRPr="00CD2E4B">
              <w:rPr>
                <w:sz w:val="18"/>
                <w:szCs w:val="18"/>
              </w:rPr>
              <w:t>4. Verbindlichkeiten gegenüber verbundenen Unternehmen</w:t>
            </w:r>
          </w:p>
        </w:tc>
        <w:tc>
          <w:tcPr>
            <w:tcW w:w="1701" w:type="dxa"/>
            <w:shd w:val="clear" w:color="auto" w:fill="F0F0F0"/>
            <w:vAlign w:val="center"/>
            <w:hideMark/>
          </w:tcPr>
          <w:p w14:paraId="4DFADF8D" w14:textId="77777777" w:rsidR="002E4D4F" w:rsidRPr="00CD2E4B" w:rsidRDefault="002E4D4F" w:rsidP="00E82B21">
            <w:pPr>
              <w:spacing w:before="0"/>
              <w:contextualSpacing/>
              <w:mirrorIndents/>
              <w:jc w:val="right"/>
              <w:rPr>
                <w:sz w:val="18"/>
                <w:szCs w:val="18"/>
              </w:rPr>
            </w:pPr>
            <w:r w:rsidRPr="00CD2E4B">
              <w:rPr>
                <w:sz w:val="18"/>
                <w:szCs w:val="18"/>
              </w:rPr>
              <w:t>24.459.475,45</w:t>
            </w:r>
          </w:p>
        </w:tc>
        <w:tc>
          <w:tcPr>
            <w:tcW w:w="1559" w:type="dxa"/>
            <w:shd w:val="clear" w:color="auto" w:fill="F0F0F0"/>
            <w:vAlign w:val="center"/>
            <w:hideMark/>
          </w:tcPr>
          <w:p w14:paraId="2C5F09FA" w14:textId="77777777" w:rsidR="002E4D4F" w:rsidRPr="00CD2E4B" w:rsidRDefault="002E4D4F" w:rsidP="00E82B21">
            <w:pPr>
              <w:spacing w:before="0"/>
              <w:contextualSpacing/>
              <w:mirrorIndents/>
              <w:jc w:val="right"/>
              <w:rPr>
                <w:sz w:val="18"/>
                <w:szCs w:val="18"/>
              </w:rPr>
            </w:pPr>
            <w:r w:rsidRPr="00CD2E4B">
              <w:rPr>
                <w:sz w:val="18"/>
                <w:szCs w:val="18"/>
              </w:rPr>
              <w:t>22.412.698,72</w:t>
            </w:r>
          </w:p>
        </w:tc>
      </w:tr>
      <w:tr w:rsidR="002E4D4F" w:rsidRPr="00CD2E4B" w14:paraId="6A4477F0" w14:textId="77777777" w:rsidTr="00E82B21">
        <w:trPr>
          <w:tblCellSpacing w:w="0" w:type="dxa"/>
        </w:trPr>
        <w:tc>
          <w:tcPr>
            <w:tcW w:w="5842" w:type="dxa"/>
            <w:vAlign w:val="center"/>
            <w:hideMark/>
          </w:tcPr>
          <w:p w14:paraId="29A79C0E" w14:textId="77777777" w:rsidR="002E4D4F" w:rsidRPr="00CD2E4B" w:rsidRDefault="002E4D4F" w:rsidP="00484323">
            <w:pPr>
              <w:spacing w:before="0"/>
              <w:contextualSpacing/>
              <w:mirrorIndents/>
              <w:rPr>
                <w:sz w:val="18"/>
                <w:szCs w:val="18"/>
              </w:rPr>
            </w:pPr>
            <w:r w:rsidRPr="00CD2E4B">
              <w:rPr>
                <w:sz w:val="18"/>
                <w:szCs w:val="18"/>
              </w:rPr>
              <w:t>5. Verbindlichkeiten gegenüber Gesellschafter</w:t>
            </w:r>
          </w:p>
        </w:tc>
        <w:tc>
          <w:tcPr>
            <w:tcW w:w="1701" w:type="dxa"/>
            <w:vAlign w:val="center"/>
            <w:hideMark/>
          </w:tcPr>
          <w:p w14:paraId="1E1A8228" w14:textId="77777777" w:rsidR="002E4D4F" w:rsidRPr="00CD2E4B" w:rsidRDefault="002E4D4F" w:rsidP="00E82B21">
            <w:pPr>
              <w:spacing w:before="0"/>
              <w:contextualSpacing/>
              <w:mirrorIndents/>
              <w:jc w:val="right"/>
              <w:rPr>
                <w:sz w:val="18"/>
                <w:szCs w:val="18"/>
              </w:rPr>
            </w:pPr>
            <w:r w:rsidRPr="00CD2E4B">
              <w:rPr>
                <w:sz w:val="18"/>
                <w:szCs w:val="18"/>
              </w:rPr>
              <w:t>19.369,13</w:t>
            </w:r>
          </w:p>
        </w:tc>
        <w:tc>
          <w:tcPr>
            <w:tcW w:w="1559" w:type="dxa"/>
            <w:vAlign w:val="center"/>
            <w:hideMark/>
          </w:tcPr>
          <w:p w14:paraId="79FFED6D" w14:textId="77777777" w:rsidR="002E4D4F" w:rsidRPr="00CD2E4B" w:rsidRDefault="002E4D4F" w:rsidP="00E82B21">
            <w:pPr>
              <w:spacing w:before="0"/>
              <w:contextualSpacing/>
              <w:mirrorIndents/>
              <w:jc w:val="right"/>
              <w:rPr>
                <w:sz w:val="18"/>
                <w:szCs w:val="18"/>
              </w:rPr>
            </w:pPr>
            <w:r w:rsidRPr="00CD2E4B">
              <w:rPr>
                <w:sz w:val="18"/>
                <w:szCs w:val="18"/>
              </w:rPr>
              <w:t>210.798,81</w:t>
            </w:r>
          </w:p>
        </w:tc>
      </w:tr>
      <w:tr w:rsidR="002E4D4F" w:rsidRPr="00CD2E4B" w14:paraId="0EDA3249" w14:textId="77777777" w:rsidTr="00E82B21">
        <w:trPr>
          <w:tblCellSpacing w:w="0" w:type="dxa"/>
        </w:trPr>
        <w:tc>
          <w:tcPr>
            <w:tcW w:w="5842" w:type="dxa"/>
            <w:shd w:val="clear" w:color="auto" w:fill="F0F0F0"/>
            <w:vAlign w:val="center"/>
            <w:hideMark/>
          </w:tcPr>
          <w:p w14:paraId="5FBA3071" w14:textId="77777777" w:rsidR="002E4D4F" w:rsidRPr="00CD2E4B" w:rsidRDefault="002E4D4F" w:rsidP="00484323">
            <w:pPr>
              <w:spacing w:before="0"/>
              <w:contextualSpacing/>
              <w:mirrorIndents/>
              <w:rPr>
                <w:sz w:val="18"/>
                <w:szCs w:val="18"/>
              </w:rPr>
            </w:pPr>
            <w:r w:rsidRPr="00CD2E4B">
              <w:rPr>
                <w:sz w:val="18"/>
                <w:szCs w:val="18"/>
              </w:rPr>
              <w:t>6. sonstige Verbindlichkeiten</w:t>
            </w:r>
          </w:p>
        </w:tc>
        <w:tc>
          <w:tcPr>
            <w:tcW w:w="1701" w:type="dxa"/>
            <w:shd w:val="clear" w:color="auto" w:fill="F0F0F0"/>
            <w:vAlign w:val="center"/>
            <w:hideMark/>
          </w:tcPr>
          <w:p w14:paraId="04E13B5E" w14:textId="77777777" w:rsidR="002E4D4F" w:rsidRPr="00CD2E4B" w:rsidRDefault="002E4D4F" w:rsidP="00E82B21">
            <w:pPr>
              <w:spacing w:before="0"/>
              <w:contextualSpacing/>
              <w:mirrorIndents/>
              <w:jc w:val="right"/>
              <w:rPr>
                <w:sz w:val="18"/>
                <w:szCs w:val="18"/>
              </w:rPr>
            </w:pPr>
            <w:r w:rsidRPr="00CD2E4B">
              <w:rPr>
                <w:sz w:val="18"/>
                <w:szCs w:val="18"/>
              </w:rPr>
              <w:t>11.397.428,45</w:t>
            </w:r>
          </w:p>
        </w:tc>
        <w:tc>
          <w:tcPr>
            <w:tcW w:w="1559" w:type="dxa"/>
            <w:shd w:val="clear" w:color="auto" w:fill="F0F0F0"/>
            <w:vAlign w:val="center"/>
            <w:hideMark/>
          </w:tcPr>
          <w:p w14:paraId="4FAF303B" w14:textId="77777777" w:rsidR="002E4D4F" w:rsidRPr="00CD2E4B" w:rsidRDefault="002E4D4F" w:rsidP="00E82B21">
            <w:pPr>
              <w:spacing w:before="0"/>
              <w:contextualSpacing/>
              <w:mirrorIndents/>
              <w:jc w:val="right"/>
              <w:rPr>
                <w:sz w:val="18"/>
                <w:szCs w:val="18"/>
              </w:rPr>
            </w:pPr>
            <w:r w:rsidRPr="00CD2E4B">
              <w:rPr>
                <w:sz w:val="18"/>
                <w:szCs w:val="18"/>
              </w:rPr>
              <w:t>10.304.643,58</w:t>
            </w:r>
          </w:p>
        </w:tc>
      </w:tr>
      <w:tr w:rsidR="002E4D4F" w:rsidRPr="00CD2E4B" w14:paraId="402B9B9C" w14:textId="77777777" w:rsidTr="00E82B21">
        <w:trPr>
          <w:tblCellSpacing w:w="0" w:type="dxa"/>
        </w:trPr>
        <w:tc>
          <w:tcPr>
            <w:tcW w:w="5842" w:type="dxa"/>
            <w:vAlign w:val="center"/>
            <w:hideMark/>
          </w:tcPr>
          <w:p w14:paraId="63C7CEBE" w14:textId="77777777" w:rsidR="002E4D4F" w:rsidRPr="00CD2E4B" w:rsidRDefault="002E4D4F" w:rsidP="00484323">
            <w:pPr>
              <w:spacing w:before="0"/>
              <w:contextualSpacing/>
              <w:mirrorIndents/>
              <w:rPr>
                <w:sz w:val="18"/>
                <w:szCs w:val="18"/>
              </w:rPr>
            </w:pPr>
          </w:p>
        </w:tc>
        <w:tc>
          <w:tcPr>
            <w:tcW w:w="1701" w:type="dxa"/>
            <w:vAlign w:val="center"/>
            <w:hideMark/>
          </w:tcPr>
          <w:p w14:paraId="03534005" w14:textId="77777777" w:rsidR="002E4D4F" w:rsidRPr="00CD2E4B" w:rsidRDefault="002E4D4F" w:rsidP="00E82B21">
            <w:pPr>
              <w:spacing w:before="0"/>
              <w:contextualSpacing/>
              <w:mirrorIndents/>
              <w:jc w:val="right"/>
              <w:rPr>
                <w:sz w:val="18"/>
                <w:szCs w:val="18"/>
              </w:rPr>
            </w:pPr>
            <w:r w:rsidRPr="00CD2E4B">
              <w:rPr>
                <w:sz w:val="18"/>
                <w:szCs w:val="18"/>
              </w:rPr>
              <w:t>117.532.956,39</w:t>
            </w:r>
          </w:p>
        </w:tc>
        <w:tc>
          <w:tcPr>
            <w:tcW w:w="1559" w:type="dxa"/>
            <w:vAlign w:val="center"/>
            <w:hideMark/>
          </w:tcPr>
          <w:p w14:paraId="2BCBAFFF" w14:textId="77777777" w:rsidR="002E4D4F" w:rsidRPr="00CD2E4B" w:rsidRDefault="002E4D4F" w:rsidP="00E82B21">
            <w:pPr>
              <w:spacing w:before="0"/>
              <w:contextualSpacing/>
              <w:mirrorIndents/>
              <w:jc w:val="right"/>
              <w:rPr>
                <w:sz w:val="18"/>
                <w:szCs w:val="18"/>
              </w:rPr>
            </w:pPr>
            <w:r w:rsidRPr="00CD2E4B">
              <w:rPr>
                <w:sz w:val="18"/>
                <w:szCs w:val="18"/>
              </w:rPr>
              <w:t>128.468.969,38</w:t>
            </w:r>
          </w:p>
        </w:tc>
      </w:tr>
      <w:tr w:rsidR="002E4D4F" w:rsidRPr="00CD2E4B" w14:paraId="6B86B3CD" w14:textId="77777777" w:rsidTr="00E82B21">
        <w:trPr>
          <w:tblCellSpacing w:w="0" w:type="dxa"/>
        </w:trPr>
        <w:tc>
          <w:tcPr>
            <w:tcW w:w="5842" w:type="dxa"/>
            <w:shd w:val="clear" w:color="auto" w:fill="F0F0F0"/>
            <w:vAlign w:val="center"/>
            <w:hideMark/>
          </w:tcPr>
          <w:p w14:paraId="63FD9593" w14:textId="77777777" w:rsidR="002E4D4F" w:rsidRPr="00CD2E4B" w:rsidRDefault="002E4D4F" w:rsidP="00484323">
            <w:pPr>
              <w:spacing w:before="0"/>
              <w:contextualSpacing/>
              <w:mirrorIndents/>
              <w:rPr>
                <w:sz w:val="18"/>
                <w:szCs w:val="18"/>
              </w:rPr>
            </w:pPr>
          </w:p>
        </w:tc>
        <w:tc>
          <w:tcPr>
            <w:tcW w:w="1701" w:type="dxa"/>
            <w:shd w:val="clear" w:color="auto" w:fill="F0F0F0"/>
            <w:vAlign w:val="center"/>
            <w:hideMark/>
          </w:tcPr>
          <w:p w14:paraId="12600371" w14:textId="77777777" w:rsidR="002E4D4F" w:rsidRPr="00CD2E4B" w:rsidRDefault="002E4D4F" w:rsidP="00E82B21">
            <w:pPr>
              <w:spacing w:before="0"/>
              <w:contextualSpacing/>
              <w:mirrorIndents/>
              <w:jc w:val="right"/>
              <w:rPr>
                <w:sz w:val="18"/>
                <w:szCs w:val="18"/>
              </w:rPr>
            </w:pPr>
            <w:r w:rsidRPr="00CD2E4B">
              <w:rPr>
                <w:sz w:val="18"/>
                <w:szCs w:val="18"/>
              </w:rPr>
              <w:t>186.834.021,85</w:t>
            </w:r>
          </w:p>
        </w:tc>
        <w:tc>
          <w:tcPr>
            <w:tcW w:w="1559" w:type="dxa"/>
            <w:shd w:val="clear" w:color="auto" w:fill="F0F0F0"/>
            <w:vAlign w:val="center"/>
            <w:hideMark/>
          </w:tcPr>
          <w:p w14:paraId="0870D421" w14:textId="77777777" w:rsidR="002E4D4F" w:rsidRPr="00CD2E4B" w:rsidRDefault="002E4D4F" w:rsidP="00E82B21">
            <w:pPr>
              <w:spacing w:before="0"/>
              <w:contextualSpacing/>
              <w:mirrorIndents/>
              <w:jc w:val="right"/>
              <w:rPr>
                <w:sz w:val="18"/>
                <w:szCs w:val="18"/>
              </w:rPr>
            </w:pPr>
            <w:r w:rsidRPr="00CD2E4B">
              <w:rPr>
                <w:sz w:val="18"/>
                <w:szCs w:val="18"/>
              </w:rPr>
              <w:t>194.573.836,61</w:t>
            </w:r>
          </w:p>
        </w:tc>
      </w:tr>
    </w:tbl>
    <w:p w14:paraId="5E876777" w14:textId="77777777" w:rsidR="00A26274" w:rsidRPr="00CD2E4B" w:rsidRDefault="00A26274" w:rsidP="00484323">
      <w:pPr>
        <w:spacing w:before="0"/>
        <w:contextualSpacing/>
        <w:mirrorIndents/>
        <w:jc w:val="center"/>
        <w:outlineLvl w:val="2"/>
        <w:rPr>
          <w:b/>
          <w:bCs/>
          <w:sz w:val="18"/>
          <w:szCs w:val="18"/>
        </w:rPr>
      </w:pPr>
    </w:p>
    <w:p w14:paraId="70C4BBB7" w14:textId="77777777" w:rsidR="00770901" w:rsidRDefault="00770901">
      <w:pPr>
        <w:spacing w:before="0"/>
        <w:jc w:val="left"/>
        <w:rPr>
          <w:b/>
          <w:bCs/>
          <w:sz w:val="18"/>
          <w:szCs w:val="18"/>
        </w:rPr>
      </w:pPr>
      <w:r>
        <w:rPr>
          <w:b/>
          <w:bCs/>
          <w:sz w:val="18"/>
          <w:szCs w:val="18"/>
        </w:rPr>
        <w:br w:type="page"/>
      </w:r>
    </w:p>
    <w:p w14:paraId="29ACBA0F" w14:textId="12736A61" w:rsidR="002E4D4F" w:rsidRPr="0087068F" w:rsidRDefault="002E4D4F" w:rsidP="00484323">
      <w:pPr>
        <w:spacing w:before="0"/>
        <w:contextualSpacing/>
        <w:mirrorIndents/>
        <w:jc w:val="center"/>
        <w:outlineLvl w:val="2"/>
        <w:rPr>
          <w:bCs/>
          <w:sz w:val="20"/>
          <w:szCs w:val="18"/>
        </w:rPr>
      </w:pPr>
      <w:r w:rsidRPr="0087068F">
        <w:rPr>
          <w:bCs/>
          <w:sz w:val="20"/>
          <w:szCs w:val="18"/>
        </w:rPr>
        <w:lastRenderedPageBreak/>
        <w:t>Gewinn- und Verlustrechnung für die Zeit vom 1. Januar bis 31. Dezember 2022</w:t>
      </w:r>
    </w:p>
    <w:p w14:paraId="00626A00" w14:textId="77777777" w:rsidR="00A26274" w:rsidRPr="00CD2E4B" w:rsidRDefault="00A26274" w:rsidP="00484323">
      <w:pPr>
        <w:spacing w:before="0"/>
        <w:contextualSpacing/>
        <w:mirrorIndents/>
        <w:jc w:val="center"/>
        <w:outlineLvl w:val="2"/>
        <w:rPr>
          <w:b/>
          <w:bCs/>
          <w:sz w:val="18"/>
          <w:szCs w:val="18"/>
        </w:rPr>
      </w:pPr>
    </w:p>
    <w:tbl>
      <w:tblPr>
        <w:tblW w:w="9108" w:type="dxa"/>
        <w:tblCellSpacing w:w="0" w:type="dxa"/>
        <w:tblCellMar>
          <w:top w:w="30" w:type="dxa"/>
          <w:left w:w="30" w:type="dxa"/>
          <w:bottom w:w="30" w:type="dxa"/>
          <w:right w:w="30" w:type="dxa"/>
        </w:tblCellMar>
        <w:tblLook w:val="04A0" w:firstRow="1" w:lastRow="0" w:firstColumn="1" w:lastColumn="0" w:noHBand="0" w:noVBand="1"/>
      </w:tblPr>
      <w:tblGrid>
        <w:gridCol w:w="5984"/>
        <w:gridCol w:w="1559"/>
        <w:gridCol w:w="1565"/>
      </w:tblGrid>
      <w:tr w:rsidR="002E4D4F" w:rsidRPr="00CD2E4B" w14:paraId="3A7C4D43" w14:textId="77777777" w:rsidTr="00E82B21">
        <w:trPr>
          <w:trHeight w:val="495"/>
          <w:tblHeader/>
          <w:tblCellSpacing w:w="0" w:type="dxa"/>
        </w:trPr>
        <w:tc>
          <w:tcPr>
            <w:tcW w:w="5984" w:type="dxa"/>
            <w:shd w:val="clear" w:color="auto" w:fill="CDCDCE"/>
            <w:vAlign w:val="bottom"/>
            <w:hideMark/>
          </w:tcPr>
          <w:p w14:paraId="626A8B38" w14:textId="77777777" w:rsidR="002E4D4F" w:rsidRPr="00CD2E4B" w:rsidRDefault="002E4D4F" w:rsidP="00484323">
            <w:pPr>
              <w:spacing w:before="0"/>
              <w:contextualSpacing/>
              <w:mirrorIndents/>
              <w:rPr>
                <w:sz w:val="18"/>
                <w:szCs w:val="18"/>
              </w:rPr>
            </w:pPr>
          </w:p>
        </w:tc>
        <w:tc>
          <w:tcPr>
            <w:tcW w:w="1559" w:type="dxa"/>
            <w:shd w:val="clear" w:color="auto" w:fill="CDCDCE"/>
            <w:vAlign w:val="bottom"/>
            <w:hideMark/>
          </w:tcPr>
          <w:p w14:paraId="2C6BBEE8" w14:textId="77777777" w:rsidR="002E4D4F" w:rsidRPr="00CD2E4B" w:rsidRDefault="002E4D4F" w:rsidP="00E82B21">
            <w:pPr>
              <w:spacing w:before="0"/>
              <w:contextualSpacing/>
              <w:mirrorIndents/>
              <w:jc w:val="right"/>
              <w:rPr>
                <w:sz w:val="18"/>
                <w:szCs w:val="18"/>
              </w:rPr>
            </w:pPr>
            <w:r w:rsidRPr="00CD2E4B">
              <w:rPr>
                <w:sz w:val="18"/>
                <w:szCs w:val="18"/>
              </w:rPr>
              <w:t>2022</w:t>
            </w:r>
            <w:r w:rsidRPr="00CD2E4B">
              <w:rPr>
                <w:sz w:val="18"/>
                <w:szCs w:val="18"/>
              </w:rPr>
              <w:br/>
              <w:t>EUR</w:t>
            </w:r>
          </w:p>
        </w:tc>
        <w:tc>
          <w:tcPr>
            <w:tcW w:w="1565" w:type="dxa"/>
            <w:shd w:val="clear" w:color="auto" w:fill="CDCDCE"/>
            <w:vAlign w:val="bottom"/>
            <w:hideMark/>
          </w:tcPr>
          <w:p w14:paraId="3C87A2C6" w14:textId="77777777" w:rsidR="002E4D4F" w:rsidRPr="00CD2E4B" w:rsidRDefault="002E4D4F" w:rsidP="00E82B21">
            <w:pPr>
              <w:spacing w:before="0"/>
              <w:contextualSpacing/>
              <w:mirrorIndents/>
              <w:jc w:val="right"/>
              <w:rPr>
                <w:sz w:val="18"/>
                <w:szCs w:val="18"/>
              </w:rPr>
            </w:pPr>
            <w:r w:rsidRPr="00CD2E4B">
              <w:rPr>
                <w:sz w:val="18"/>
                <w:szCs w:val="18"/>
              </w:rPr>
              <w:t>Vorjahr</w:t>
            </w:r>
            <w:r w:rsidRPr="00CD2E4B">
              <w:rPr>
                <w:sz w:val="18"/>
                <w:szCs w:val="18"/>
              </w:rPr>
              <w:br/>
              <w:t>EUR</w:t>
            </w:r>
          </w:p>
        </w:tc>
      </w:tr>
      <w:tr w:rsidR="002E4D4F" w:rsidRPr="00CD2E4B" w14:paraId="5856F576" w14:textId="77777777" w:rsidTr="00E82B21">
        <w:trPr>
          <w:trHeight w:val="241"/>
          <w:tblCellSpacing w:w="0" w:type="dxa"/>
        </w:trPr>
        <w:tc>
          <w:tcPr>
            <w:tcW w:w="5984" w:type="dxa"/>
            <w:vAlign w:val="center"/>
            <w:hideMark/>
          </w:tcPr>
          <w:p w14:paraId="4DACDA2E" w14:textId="77777777" w:rsidR="002E4D4F" w:rsidRPr="00CD2E4B" w:rsidRDefault="002E4D4F" w:rsidP="00484323">
            <w:pPr>
              <w:spacing w:before="0"/>
              <w:contextualSpacing/>
              <w:mirrorIndents/>
              <w:rPr>
                <w:sz w:val="18"/>
                <w:szCs w:val="18"/>
              </w:rPr>
            </w:pPr>
            <w:r w:rsidRPr="00CD2E4B">
              <w:rPr>
                <w:sz w:val="18"/>
                <w:szCs w:val="18"/>
              </w:rPr>
              <w:t>1. Umsatzerlöse</w:t>
            </w:r>
          </w:p>
        </w:tc>
        <w:tc>
          <w:tcPr>
            <w:tcW w:w="1559" w:type="dxa"/>
            <w:vAlign w:val="center"/>
            <w:hideMark/>
          </w:tcPr>
          <w:p w14:paraId="7B3B048D" w14:textId="77777777" w:rsidR="002E4D4F" w:rsidRPr="00CD2E4B" w:rsidRDefault="002E4D4F" w:rsidP="00E82B21">
            <w:pPr>
              <w:spacing w:before="0"/>
              <w:contextualSpacing/>
              <w:mirrorIndents/>
              <w:jc w:val="right"/>
              <w:rPr>
                <w:sz w:val="18"/>
                <w:szCs w:val="18"/>
              </w:rPr>
            </w:pPr>
            <w:r w:rsidRPr="00CD2E4B">
              <w:rPr>
                <w:sz w:val="18"/>
                <w:szCs w:val="18"/>
              </w:rPr>
              <w:t xml:space="preserve">247.807.533,87 </w:t>
            </w:r>
          </w:p>
        </w:tc>
        <w:tc>
          <w:tcPr>
            <w:tcW w:w="1565" w:type="dxa"/>
            <w:vAlign w:val="center"/>
            <w:hideMark/>
          </w:tcPr>
          <w:p w14:paraId="222AA05E" w14:textId="77777777" w:rsidR="002E4D4F" w:rsidRPr="00CD2E4B" w:rsidRDefault="002E4D4F" w:rsidP="00E82B21">
            <w:pPr>
              <w:spacing w:before="0"/>
              <w:contextualSpacing/>
              <w:mirrorIndents/>
              <w:jc w:val="right"/>
              <w:rPr>
                <w:sz w:val="18"/>
                <w:szCs w:val="18"/>
              </w:rPr>
            </w:pPr>
            <w:r w:rsidRPr="00CD2E4B">
              <w:rPr>
                <w:sz w:val="18"/>
                <w:szCs w:val="18"/>
              </w:rPr>
              <w:t>265.250.830,10</w:t>
            </w:r>
          </w:p>
        </w:tc>
      </w:tr>
      <w:tr w:rsidR="002E4D4F" w:rsidRPr="00CD2E4B" w14:paraId="528D56A0" w14:textId="77777777" w:rsidTr="00E82B21">
        <w:trPr>
          <w:trHeight w:val="495"/>
          <w:tblCellSpacing w:w="0" w:type="dxa"/>
        </w:trPr>
        <w:tc>
          <w:tcPr>
            <w:tcW w:w="5984" w:type="dxa"/>
            <w:shd w:val="clear" w:color="auto" w:fill="F0F0F0"/>
            <w:vAlign w:val="center"/>
            <w:hideMark/>
          </w:tcPr>
          <w:p w14:paraId="1B139C5E" w14:textId="77777777" w:rsidR="002E4D4F" w:rsidRPr="00CD2E4B" w:rsidRDefault="002E4D4F" w:rsidP="00484323">
            <w:pPr>
              <w:spacing w:before="0"/>
              <w:contextualSpacing/>
              <w:mirrorIndents/>
              <w:rPr>
                <w:sz w:val="18"/>
                <w:szCs w:val="18"/>
              </w:rPr>
            </w:pPr>
            <w:r w:rsidRPr="00CD2E4B">
              <w:rPr>
                <w:sz w:val="18"/>
                <w:szCs w:val="18"/>
              </w:rPr>
              <w:t>2. Erhöhung des Bestands an nicht abgerechneten Bauleistungen</w:t>
            </w:r>
          </w:p>
        </w:tc>
        <w:tc>
          <w:tcPr>
            <w:tcW w:w="1559" w:type="dxa"/>
            <w:shd w:val="clear" w:color="auto" w:fill="F0F0F0"/>
            <w:vAlign w:val="center"/>
            <w:hideMark/>
          </w:tcPr>
          <w:p w14:paraId="5A627639" w14:textId="77777777" w:rsidR="002E4D4F" w:rsidRPr="00CD2E4B" w:rsidRDefault="002E4D4F" w:rsidP="00E82B21">
            <w:pPr>
              <w:spacing w:before="0"/>
              <w:contextualSpacing/>
              <w:mirrorIndents/>
              <w:jc w:val="right"/>
              <w:rPr>
                <w:sz w:val="18"/>
                <w:szCs w:val="18"/>
              </w:rPr>
            </w:pPr>
            <w:r w:rsidRPr="00CD2E4B">
              <w:rPr>
                <w:sz w:val="18"/>
                <w:szCs w:val="18"/>
              </w:rPr>
              <w:t>33.726.763,14</w:t>
            </w:r>
          </w:p>
        </w:tc>
        <w:tc>
          <w:tcPr>
            <w:tcW w:w="1565" w:type="dxa"/>
            <w:shd w:val="clear" w:color="auto" w:fill="F0F0F0"/>
            <w:vAlign w:val="center"/>
            <w:hideMark/>
          </w:tcPr>
          <w:p w14:paraId="0E5E4BC4" w14:textId="77777777" w:rsidR="002E4D4F" w:rsidRPr="00CD2E4B" w:rsidRDefault="002E4D4F" w:rsidP="00E82B21">
            <w:pPr>
              <w:spacing w:before="0"/>
              <w:contextualSpacing/>
              <w:mirrorIndents/>
              <w:jc w:val="right"/>
              <w:rPr>
                <w:sz w:val="18"/>
                <w:szCs w:val="18"/>
              </w:rPr>
            </w:pPr>
            <w:r w:rsidRPr="00CD2E4B">
              <w:rPr>
                <w:sz w:val="18"/>
                <w:szCs w:val="18"/>
              </w:rPr>
              <w:t>7.251.973,66</w:t>
            </w:r>
          </w:p>
        </w:tc>
      </w:tr>
      <w:tr w:rsidR="002E4D4F" w:rsidRPr="00CD2E4B" w14:paraId="73C8861A" w14:textId="77777777" w:rsidTr="00E82B21">
        <w:trPr>
          <w:trHeight w:val="241"/>
          <w:tblCellSpacing w:w="0" w:type="dxa"/>
        </w:trPr>
        <w:tc>
          <w:tcPr>
            <w:tcW w:w="5984" w:type="dxa"/>
            <w:vAlign w:val="center"/>
            <w:hideMark/>
          </w:tcPr>
          <w:p w14:paraId="1341095A" w14:textId="77777777" w:rsidR="002E4D4F" w:rsidRPr="00CD2E4B" w:rsidRDefault="002E4D4F" w:rsidP="00484323">
            <w:pPr>
              <w:spacing w:before="0"/>
              <w:contextualSpacing/>
              <w:mirrorIndents/>
              <w:rPr>
                <w:sz w:val="18"/>
                <w:szCs w:val="18"/>
              </w:rPr>
            </w:pPr>
            <w:r w:rsidRPr="00CD2E4B">
              <w:rPr>
                <w:sz w:val="18"/>
                <w:szCs w:val="18"/>
              </w:rPr>
              <w:t>3. sonstige betriebliche Erträge</w:t>
            </w:r>
          </w:p>
        </w:tc>
        <w:tc>
          <w:tcPr>
            <w:tcW w:w="1559" w:type="dxa"/>
            <w:vAlign w:val="center"/>
            <w:hideMark/>
          </w:tcPr>
          <w:p w14:paraId="41107146" w14:textId="77777777" w:rsidR="002E4D4F" w:rsidRPr="00CD2E4B" w:rsidRDefault="002E4D4F" w:rsidP="00E82B21">
            <w:pPr>
              <w:spacing w:before="0"/>
              <w:contextualSpacing/>
              <w:mirrorIndents/>
              <w:jc w:val="right"/>
              <w:rPr>
                <w:sz w:val="18"/>
                <w:szCs w:val="18"/>
              </w:rPr>
            </w:pPr>
            <w:r w:rsidRPr="00CD2E4B">
              <w:rPr>
                <w:sz w:val="18"/>
                <w:szCs w:val="18"/>
              </w:rPr>
              <w:t>4.924.171,44</w:t>
            </w:r>
          </w:p>
        </w:tc>
        <w:tc>
          <w:tcPr>
            <w:tcW w:w="1565" w:type="dxa"/>
            <w:vAlign w:val="center"/>
            <w:hideMark/>
          </w:tcPr>
          <w:p w14:paraId="2ED67162" w14:textId="77777777" w:rsidR="002E4D4F" w:rsidRPr="00CD2E4B" w:rsidRDefault="002E4D4F" w:rsidP="00E82B21">
            <w:pPr>
              <w:spacing w:before="0"/>
              <w:contextualSpacing/>
              <w:mirrorIndents/>
              <w:jc w:val="right"/>
              <w:rPr>
                <w:sz w:val="18"/>
                <w:szCs w:val="18"/>
              </w:rPr>
            </w:pPr>
            <w:r w:rsidRPr="00CD2E4B">
              <w:rPr>
                <w:sz w:val="18"/>
                <w:szCs w:val="18"/>
              </w:rPr>
              <w:t>4.897.182,30</w:t>
            </w:r>
          </w:p>
        </w:tc>
      </w:tr>
      <w:tr w:rsidR="002E4D4F" w:rsidRPr="00CD2E4B" w14:paraId="554A1161" w14:textId="77777777" w:rsidTr="00E82B21">
        <w:trPr>
          <w:trHeight w:val="44"/>
          <w:tblCellSpacing w:w="0" w:type="dxa"/>
        </w:trPr>
        <w:tc>
          <w:tcPr>
            <w:tcW w:w="5984" w:type="dxa"/>
            <w:shd w:val="clear" w:color="auto" w:fill="F0F0F0"/>
            <w:vAlign w:val="center"/>
            <w:hideMark/>
          </w:tcPr>
          <w:p w14:paraId="6ECD9AEA" w14:textId="77777777" w:rsidR="002E4D4F" w:rsidRPr="00CD2E4B" w:rsidRDefault="002E4D4F" w:rsidP="00484323">
            <w:pPr>
              <w:spacing w:before="0"/>
              <w:contextualSpacing/>
              <w:mirrorIndents/>
              <w:rPr>
                <w:sz w:val="18"/>
                <w:szCs w:val="18"/>
              </w:rPr>
            </w:pPr>
          </w:p>
        </w:tc>
        <w:tc>
          <w:tcPr>
            <w:tcW w:w="1559" w:type="dxa"/>
            <w:shd w:val="clear" w:color="auto" w:fill="F0F0F0"/>
            <w:vAlign w:val="center"/>
            <w:hideMark/>
          </w:tcPr>
          <w:p w14:paraId="60BCEC6E" w14:textId="77777777" w:rsidR="002E4D4F" w:rsidRPr="00CD2E4B" w:rsidRDefault="002E4D4F" w:rsidP="00E82B21">
            <w:pPr>
              <w:spacing w:before="0"/>
              <w:contextualSpacing/>
              <w:mirrorIndents/>
              <w:jc w:val="right"/>
              <w:rPr>
                <w:sz w:val="18"/>
                <w:szCs w:val="18"/>
              </w:rPr>
            </w:pPr>
            <w:r w:rsidRPr="00CD2E4B">
              <w:rPr>
                <w:sz w:val="18"/>
                <w:szCs w:val="18"/>
              </w:rPr>
              <w:t>286.458.468,45</w:t>
            </w:r>
          </w:p>
        </w:tc>
        <w:tc>
          <w:tcPr>
            <w:tcW w:w="1565" w:type="dxa"/>
            <w:shd w:val="clear" w:color="auto" w:fill="F0F0F0"/>
            <w:vAlign w:val="center"/>
            <w:hideMark/>
          </w:tcPr>
          <w:p w14:paraId="4AC727AE" w14:textId="77777777" w:rsidR="002E4D4F" w:rsidRPr="00CD2E4B" w:rsidRDefault="002E4D4F" w:rsidP="00E82B21">
            <w:pPr>
              <w:spacing w:before="0"/>
              <w:contextualSpacing/>
              <w:mirrorIndents/>
              <w:jc w:val="right"/>
              <w:rPr>
                <w:sz w:val="18"/>
                <w:szCs w:val="18"/>
              </w:rPr>
            </w:pPr>
            <w:r w:rsidRPr="00CD2E4B">
              <w:rPr>
                <w:sz w:val="18"/>
                <w:szCs w:val="18"/>
              </w:rPr>
              <w:t>277.399.986,06</w:t>
            </w:r>
          </w:p>
        </w:tc>
      </w:tr>
      <w:tr w:rsidR="002E4D4F" w:rsidRPr="00CD2E4B" w14:paraId="03B44C79" w14:textId="77777777" w:rsidTr="00E82B21">
        <w:trPr>
          <w:trHeight w:val="253"/>
          <w:tblCellSpacing w:w="0" w:type="dxa"/>
        </w:trPr>
        <w:tc>
          <w:tcPr>
            <w:tcW w:w="5984" w:type="dxa"/>
            <w:vAlign w:val="center"/>
            <w:hideMark/>
          </w:tcPr>
          <w:p w14:paraId="1589A7E8" w14:textId="77777777" w:rsidR="002E4D4F" w:rsidRPr="00CD2E4B" w:rsidRDefault="002E4D4F" w:rsidP="00484323">
            <w:pPr>
              <w:spacing w:before="0"/>
              <w:contextualSpacing/>
              <w:mirrorIndents/>
              <w:rPr>
                <w:sz w:val="18"/>
                <w:szCs w:val="18"/>
              </w:rPr>
            </w:pPr>
            <w:r w:rsidRPr="00CD2E4B">
              <w:rPr>
                <w:sz w:val="18"/>
                <w:szCs w:val="18"/>
              </w:rPr>
              <w:t>4. Materialaufwand</w:t>
            </w:r>
          </w:p>
        </w:tc>
        <w:tc>
          <w:tcPr>
            <w:tcW w:w="1559" w:type="dxa"/>
            <w:vAlign w:val="center"/>
            <w:hideMark/>
          </w:tcPr>
          <w:p w14:paraId="5CFB37CF" w14:textId="77777777" w:rsidR="002E4D4F" w:rsidRPr="00CD2E4B" w:rsidRDefault="002E4D4F" w:rsidP="00E82B21">
            <w:pPr>
              <w:spacing w:before="0"/>
              <w:contextualSpacing/>
              <w:mirrorIndents/>
              <w:jc w:val="right"/>
              <w:rPr>
                <w:sz w:val="18"/>
                <w:szCs w:val="18"/>
              </w:rPr>
            </w:pPr>
          </w:p>
        </w:tc>
        <w:tc>
          <w:tcPr>
            <w:tcW w:w="1565" w:type="dxa"/>
            <w:vAlign w:val="center"/>
            <w:hideMark/>
          </w:tcPr>
          <w:p w14:paraId="2C98F9CF" w14:textId="77777777" w:rsidR="002E4D4F" w:rsidRPr="00CD2E4B" w:rsidRDefault="002E4D4F" w:rsidP="00E82B21">
            <w:pPr>
              <w:spacing w:before="0"/>
              <w:contextualSpacing/>
              <w:mirrorIndents/>
              <w:jc w:val="right"/>
              <w:rPr>
                <w:sz w:val="18"/>
                <w:szCs w:val="18"/>
              </w:rPr>
            </w:pPr>
          </w:p>
        </w:tc>
      </w:tr>
      <w:tr w:rsidR="002E4D4F" w:rsidRPr="00CD2E4B" w14:paraId="0D27F899" w14:textId="77777777" w:rsidTr="00E82B21">
        <w:trPr>
          <w:trHeight w:val="241"/>
          <w:tblCellSpacing w:w="0" w:type="dxa"/>
        </w:trPr>
        <w:tc>
          <w:tcPr>
            <w:tcW w:w="5984" w:type="dxa"/>
            <w:shd w:val="clear" w:color="auto" w:fill="F0F0F0"/>
            <w:vAlign w:val="center"/>
            <w:hideMark/>
          </w:tcPr>
          <w:p w14:paraId="36E6825E" w14:textId="77777777" w:rsidR="002E4D4F" w:rsidRPr="00CD2E4B" w:rsidRDefault="002E4D4F" w:rsidP="00484323">
            <w:pPr>
              <w:spacing w:before="0"/>
              <w:contextualSpacing/>
              <w:mirrorIndents/>
              <w:rPr>
                <w:sz w:val="18"/>
                <w:szCs w:val="18"/>
              </w:rPr>
            </w:pPr>
            <w:r w:rsidRPr="00CD2E4B">
              <w:rPr>
                <w:sz w:val="18"/>
                <w:szCs w:val="18"/>
              </w:rPr>
              <w:t>a) Aufwendungen für Roh-, Hilfs- und Betriebsstoffe</w:t>
            </w:r>
          </w:p>
        </w:tc>
        <w:tc>
          <w:tcPr>
            <w:tcW w:w="1559" w:type="dxa"/>
            <w:shd w:val="clear" w:color="auto" w:fill="F0F0F0"/>
            <w:vAlign w:val="center"/>
            <w:hideMark/>
          </w:tcPr>
          <w:p w14:paraId="442423C5" w14:textId="77777777" w:rsidR="002E4D4F" w:rsidRPr="00CD2E4B" w:rsidRDefault="002E4D4F" w:rsidP="00E82B21">
            <w:pPr>
              <w:spacing w:before="0"/>
              <w:contextualSpacing/>
              <w:mirrorIndents/>
              <w:jc w:val="right"/>
              <w:rPr>
                <w:sz w:val="18"/>
                <w:szCs w:val="18"/>
              </w:rPr>
            </w:pPr>
            <w:r w:rsidRPr="00CD2E4B">
              <w:rPr>
                <w:sz w:val="18"/>
                <w:szCs w:val="18"/>
              </w:rPr>
              <w:t>85.814.033,16</w:t>
            </w:r>
          </w:p>
        </w:tc>
        <w:tc>
          <w:tcPr>
            <w:tcW w:w="1565" w:type="dxa"/>
            <w:shd w:val="clear" w:color="auto" w:fill="F0F0F0"/>
            <w:vAlign w:val="center"/>
            <w:hideMark/>
          </w:tcPr>
          <w:p w14:paraId="397D0B51" w14:textId="77777777" w:rsidR="002E4D4F" w:rsidRPr="00CD2E4B" w:rsidRDefault="002E4D4F" w:rsidP="00E82B21">
            <w:pPr>
              <w:spacing w:before="0"/>
              <w:contextualSpacing/>
              <w:mirrorIndents/>
              <w:jc w:val="right"/>
              <w:rPr>
                <w:sz w:val="18"/>
                <w:szCs w:val="18"/>
              </w:rPr>
            </w:pPr>
            <w:r w:rsidRPr="00CD2E4B">
              <w:rPr>
                <w:sz w:val="18"/>
                <w:szCs w:val="18"/>
              </w:rPr>
              <w:t>80.577.070,96</w:t>
            </w:r>
          </w:p>
        </w:tc>
      </w:tr>
      <w:tr w:rsidR="002E4D4F" w:rsidRPr="00CD2E4B" w14:paraId="3A2F6522" w14:textId="77777777" w:rsidTr="00E82B21">
        <w:trPr>
          <w:trHeight w:val="253"/>
          <w:tblCellSpacing w:w="0" w:type="dxa"/>
        </w:trPr>
        <w:tc>
          <w:tcPr>
            <w:tcW w:w="5984" w:type="dxa"/>
            <w:vAlign w:val="center"/>
            <w:hideMark/>
          </w:tcPr>
          <w:p w14:paraId="5178B4B6" w14:textId="77777777" w:rsidR="002E4D4F" w:rsidRPr="00CD2E4B" w:rsidRDefault="002E4D4F" w:rsidP="00484323">
            <w:pPr>
              <w:spacing w:before="0"/>
              <w:contextualSpacing/>
              <w:mirrorIndents/>
              <w:rPr>
                <w:sz w:val="18"/>
                <w:szCs w:val="18"/>
              </w:rPr>
            </w:pPr>
            <w:r w:rsidRPr="00CD2E4B">
              <w:rPr>
                <w:sz w:val="18"/>
                <w:szCs w:val="18"/>
              </w:rPr>
              <w:t>b) Aufwendungen für bezogene Leistungen</w:t>
            </w:r>
          </w:p>
        </w:tc>
        <w:tc>
          <w:tcPr>
            <w:tcW w:w="1559" w:type="dxa"/>
            <w:vAlign w:val="center"/>
            <w:hideMark/>
          </w:tcPr>
          <w:p w14:paraId="1EB98DA0" w14:textId="77777777" w:rsidR="002E4D4F" w:rsidRPr="00CD2E4B" w:rsidRDefault="002E4D4F" w:rsidP="00E82B21">
            <w:pPr>
              <w:spacing w:before="0"/>
              <w:contextualSpacing/>
              <w:mirrorIndents/>
              <w:jc w:val="right"/>
              <w:rPr>
                <w:sz w:val="18"/>
                <w:szCs w:val="18"/>
              </w:rPr>
            </w:pPr>
            <w:r w:rsidRPr="00CD2E4B">
              <w:rPr>
                <w:sz w:val="18"/>
                <w:szCs w:val="18"/>
              </w:rPr>
              <w:t>70.487.457,58</w:t>
            </w:r>
          </w:p>
        </w:tc>
        <w:tc>
          <w:tcPr>
            <w:tcW w:w="1565" w:type="dxa"/>
            <w:vAlign w:val="center"/>
            <w:hideMark/>
          </w:tcPr>
          <w:p w14:paraId="4F7AEEFE" w14:textId="77777777" w:rsidR="002E4D4F" w:rsidRPr="00CD2E4B" w:rsidRDefault="002E4D4F" w:rsidP="00E82B21">
            <w:pPr>
              <w:spacing w:before="0"/>
              <w:contextualSpacing/>
              <w:mirrorIndents/>
              <w:jc w:val="right"/>
              <w:rPr>
                <w:sz w:val="18"/>
                <w:szCs w:val="18"/>
              </w:rPr>
            </w:pPr>
            <w:r w:rsidRPr="00CD2E4B">
              <w:rPr>
                <w:sz w:val="18"/>
                <w:szCs w:val="18"/>
              </w:rPr>
              <w:t>75.271.608,17</w:t>
            </w:r>
          </w:p>
        </w:tc>
      </w:tr>
      <w:tr w:rsidR="002E4D4F" w:rsidRPr="00CD2E4B" w14:paraId="36E5CF19" w14:textId="77777777" w:rsidTr="00E82B21">
        <w:trPr>
          <w:trHeight w:val="241"/>
          <w:tblCellSpacing w:w="0" w:type="dxa"/>
        </w:trPr>
        <w:tc>
          <w:tcPr>
            <w:tcW w:w="5984" w:type="dxa"/>
            <w:shd w:val="clear" w:color="auto" w:fill="F0F0F0"/>
            <w:vAlign w:val="center"/>
            <w:hideMark/>
          </w:tcPr>
          <w:p w14:paraId="4747A18B" w14:textId="77777777" w:rsidR="002E4D4F" w:rsidRPr="00CD2E4B" w:rsidRDefault="002E4D4F" w:rsidP="00484323">
            <w:pPr>
              <w:spacing w:before="0"/>
              <w:contextualSpacing/>
              <w:mirrorIndents/>
              <w:rPr>
                <w:sz w:val="18"/>
                <w:szCs w:val="18"/>
              </w:rPr>
            </w:pPr>
          </w:p>
        </w:tc>
        <w:tc>
          <w:tcPr>
            <w:tcW w:w="1559" w:type="dxa"/>
            <w:shd w:val="clear" w:color="auto" w:fill="F0F0F0"/>
            <w:vAlign w:val="center"/>
            <w:hideMark/>
          </w:tcPr>
          <w:p w14:paraId="220D2352" w14:textId="77777777" w:rsidR="002E4D4F" w:rsidRPr="00CD2E4B" w:rsidRDefault="002E4D4F" w:rsidP="00E82B21">
            <w:pPr>
              <w:spacing w:before="0"/>
              <w:contextualSpacing/>
              <w:mirrorIndents/>
              <w:jc w:val="right"/>
              <w:rPr>
                <w:sz w:val="18"/>
                <w:szCs w:val="18"/>
              </w:rPr>
            </w:pPr>
            <w:r w:rsidRPr="00CD2E4B">
              <w:rPr>
                <w:sz w:val="18"/>
                <w:szCs w:val="18"/>
              </w:rPr>
              <w:t>156.301.490,74</w:t>
            </w:r>
          </w:p>
        </w:tc>
        <w:tc>
          <w:tcPr>
            <w:tcW w:w="1565" w:type="dxa"/>
            <w:shd w:val="clear" w:color="auto" w:fill="F0F0F0"/>
            <w:vAlign w:val="center"/>
            <w:hideMark/>
          </w:tcPr>
          <w:p w14:paraId="6D10C1C0" w14:textId="77777777" w:rsidR="002E4D4F" w:rsidRPr="00CD2E4B" w:rsidRDefault="002E4D4F" w:rsidP="00E82B21">
            <w:pPr>
              <w:spacing w:before="0"/>
              <w:contextualSpacing/>
              <w:mirrorIndents/>
              <w:jc w:val="right"/>
              <w:rPr>
                <w:sz w:val="18"/>
                <w:szCs w:val="18"/>
              </w:rPr>
            </w:pPr>
            <w:r w:rsidRPr="00CD2E4B">
              <w:rPr>
                <w:sz w:val="18"/>
                <w:szCs w:val="18"/>
              </w:rPr>
              <w:t>155.848.679,13</w:t>
            </w:r>
          </w:p>
        </w:tc>
      </w:tr>
      <w:tr w:rsidR="002E4D4F" w:rsidRPr="00CD2E4B" w14:paraId="52EC7386" w14:textId="77777777" w:rsidTr="00E82B21">
        <w:trPr>
          <w:trHeight w:val="253"/>
          <w:tblCellSpacing w:w="0" w:type="dxa"/>
        </w:trPr>
        <w:tc>
          <w:tcPr>
            <w:tcW w:w="5984" w:type="dxa"/>
            <w:vAlign w:val="center"/>
            <w:hideMark/>
          </w:tcPr>
          <w:p w14:paraId="2946BEBC" w14:textId="77777777" w:rsidR="002E4D4F" w:rsidRPr="00CD2E4B" w:rsidRDefault="002E4D4F" w:rsidP="00484323">
            <w:pPr>
              <w:spacing w:before="0"/>
              <w:contextualSpacing/>
              <w:mirrorIndents/>
              <w:rPr>
                <w:sz w:val="18"/>
                <w:szCs w:val="18"/>
              </w:rPr>
            </w:pPr>
            <w:r w:rsidRPr="00CD2E4B">
              <w:rPr>
                <w:sz w:val="18"/>
                <w:szCs w:val="18"/>
              </w:rPr>
              <w:t>5. Personalaufwand</w:t>
            </w:r>
          </w:p>
        </w:tc>
        <w:tc>
          <w:tcPr>
            <w:tcW w:w="1559" w:type="dxa"/>
            <w:vAlign w:val="center"/>
            <w:hideMark/>
          </w:tcPr>
          <w:p w14:paraId="1A10052C" w14:textId="77777777" w:rsidR="002E4D4F" w:rsidRPr="00CD2E4B" w:rsidRDefault="002E4D4F" w:rsidP="00E82B21">
            <w:pPr>
              <w:spacing w:before="0"/>
              <w:contextualSpacing/>
              <w:mirrorIndents/>
              <w:jc w:val="right"/>
              <w:rPr>
                <w:sz w:val="18"/>
                <w:szCs w:val="18"/>
              </w:rPr>
            </w:pPr>
          </w:p>
        </w:tc>
        <w:tc>
          <w:tcPr>
            <w:tcW w:w="1565" w:type="dxa"/>
            <w:vAlign w:val="center"/>
            <w:hideMark/>
          </w:tcPr>
          <w:p w14:paraId="73A31869" w14:textId="77777777" w:rsidR="002E4D4F" w:rsidRPr="00CD2E4B" w:rsidRDefault="002E4D4F" w:rsidP="00E82B21">
            <w:pPr>
              <w:spacing w:before="0"/>
              <w:contextualSpacing/>
              <w:mirrorIndents/>
              <w:jc w:val="right"/>
              <w:rPr>
                <w:sz w:val="18"/>
                <w:szCs w:val="18"/>
              </w:rPr>
            </w:pPr>
          </w:p>
        </w:tc>
      </w:tr>
      <w:tr w:rsidR="002E4D4F" w:rsidRPr="00CD2E4B" w14:paraId="3CE5D94D" w14:textId="77777777" w:rsidTr="00E82B21">
        <w:trPr>
          <w:trHeight w:val="241"/>
          <w:tblCellSpacing w:w="0" w:type="dxa"/>
        </w:trPr>
        <w:tc>
          <w:tcPr>
            <w:tcW w:w="5984" w:type="dxa"/>
            <w:shd w:val="clear" w:color="auto" w:fill="F0F0F0"/>
            <w:vAlign w:val="center"/>
            <w:hideMark/>
          </w:tcPr>
          <w:p w14:paraId="5418AD6D" w14:textId="77777777" w:rsidR="002E4D4F" w:rsidRPr="00CD2E4B" w:rsidRDefault="002E4D4F" w:rsidP="00484323">
            <w:pPr>
              <w:spacing w:before="0"/>
              <w:contextualSpacing/>
              <w:mirrorIndents/>
              <w:rPr>
                <w:sz w:val="18"/>
                <w:szCs w:val="18"/>
              </w:rPr>
            </w:pPr>
            <w:r w:rsidRPr="00CD2E4B">
              <w:rPr>
                <w:sz w:val="18"/>
                <w:szCs w:val="18"/>
              </w:rPr>
              <w:t>a) Löhne und Gehälter</w:t>
            </w:r>
          </w:p>
        </w:tc>
        <w:tc>
          <w:tcPr>
            <w:tcW w:w="1559" w:type="dxa"/>
            <w:shd w:val="clear" w:color="auto" w:fill="F0F0F0"/>
            <w:vAlign w:val="center"/>
            <w:hideMark/>
          </w:tcPr>
          <w:p w14:paraId="51C20EF4" w14:textId="77777777" w:rsidR="002E4D4F" w:rsidRPr="00CD2E4B" w:rsidRDefault="002E4D4F" w:rsidP="00E82B21">
            <w:pPr>
              <w:spacing w:before="0"/>
              <w:contextualSpacing/>
              <w:mirrorIndents/>
              <w:jc w:val="right"/>
              <w:rPr>
                <w:sz w:val="18"/>
                <w:szCs w:val="18"/>
              </w:rPr>
            </w:pPr>
            <w:r w:rsidRPr="00CD2E4B">
              <w:rPr>
                <w:sz w:val="18"/>
                <w:szCs w:val="18"/>
              </w:rPr>
              <w:t>67.390.596,32</w:t>
            </w:r>
          </w:p>
        </w:tc>
        <w:tc>
          <w:tcPr>
            <w:tcW w:w="1565" w:type="dxa"/>
            <w:shd w:val="clear" w:color="auto" w:fill="F0F0F0"/>
            <w:vAlign w:val="center"/>
            <w:hideMark/>
          </w:tcPr>
          <w:p w14:paraId="1CC4971C" w14:textId="77777777" w:rsidR="002E4D4F" w:rsidRPr="00CD2E4B" w:rsidRDefault="002E4D4F" w:rsidP="00E82B21">
            <w:pPr>
              <w:spacing w:before="0"/>
              <w:contextualSpacing/>
              <w:mirrorIndents/>
              <w:jc w:val="right"/>
              <w:rPr>
                <w:sz w:val="18"/>
                <w:szCs w:val="18"/>
              </w:rPr>
            </w:pPr>
            <w:r w:rsidRPr="00CD2E4B">
              <w:rPr>
                <w:sz w:val="18"/>
                <w:szCs w:val="18"/>
              </w:rPr>
              <w:t>61.966.642,07</w:t>
            </w:r>
          </w:p>
        </w:tc>
      </w:tr>
      <w:tr w:rsidR="002E4D4F" w:rsidRPr="00CD2E4B" w14:paraId="44DE28B2" w14:textId="77777777" w:rsidTr="00E82B21">
        <w:trPr>
          <w:trHeight w:val="495"/>
          <w:tblCellSpacing w:w="0" w:type="dxa"/>
        </w:trPr>
        <w:tc>
          <w:tcPr>
            <w:tcW w:w="5984" w:type="dxa"/>
            <w:vAlign w:val="center"/>
            <w:hideMark/>
          </w:tcPr>
          <w:p w14:paraId="58CE276D" w14:textId="77777777" w:rsidR="002E4D4F" w:rsidRPr="00CD2E4B" w:rsidRDefault="002E4D4F" w:rsidP="00484323">
            <w:pPr>
              <w:spacing w:before="0"/>
              <w:contextualSpacing/>
              <w:mirrorIndents/>
              <w:rPr>
                <w:sz w:val="18"/>
                <w:szCs w:val="18"/>
              </w:rPr>
            </w:pPr>
            <w:r w:rsidRPr="00CD2E4B">
              <w:rPr>
                <w:sz w:val="18"/>
                <w:szCs w:val="18"/>
              </w:rPr>
              <w:t>b) soziale Abgaben und Aufwendungen für Altersversorgung und für Unterstützung</w:t>
            </w:r>
          </w:p>
        </w:tc>
        <w:tc>
          <w:tcPr>
            <w:tcW w:w="1559" w:type="dxa"/>
            <w:vAlign w:val="center"/>
            <w:hideMark/>
          </w:tcPr>
          <w:p w14:paraId="77CB733C" w14:textId="77777777" w:rsidR="002E4D4F" w:rsidRPr="00CD2E4B" w:rsidRDefault="002E4D4F" w:rsidP="00E82B21">
            <w:pPr>
              <w:spacing w:before="0"/>
              <w:contextualSpacing/>
              <w:mirrorIndents/>
              <w:jc w:val="right"/>
              <w:rPr>
                <w:sz w:val="18"/>
                <w:szCs w:val="18"/>
              </w:rPr>
            </w:pPr>
            <w:r w:rsidRPr="00CD2E4B">
              <w:rPr>
                <w:sz w:val="18"/>
                <w:szCs w:val="18"/>
              </w:rPr>
              <w:t>13.528.319,75</w:t>
            </w:r>
          </w:p>
        </w:tc>
        <w:tc>
          <w:tcPr>
            <w:tcW w:w="1565" w:type="dxa"/>
            <w:vAlign w:val="center"/>
            <w:hideMark/>
          </w:tcPr>
          <w:p w14:paraId="5310C18D" w14:textId="77777777" w:rsidR="002E4D4F" w:rsidRPr="00CD2E4B" w:rsidRDefault="002E4D4F" w:rsidP="00E82B21">
            <w:pPr>
              <w:spacing w:before="0"/>
              <w:contextualSpacing/>
              <w:mirrorIndents/>
              <w:jc w:val="right"/>
              <w:rPr>
                <w:sz w:val="18"/>
                <w:szCs w:val="18"/>
              </w:rPr>
            </w:pPr>
            <w:r w:rsidRPr="00CD2E4B">
              <w:rPr>
                <w:sz w:val="18"/>
                <w:szCs w:val="18"/>
              </w:rPr>
              <w:t>12.332.428,57</w:t>
            </w:r>
          </w:p>
        </w:tc>
      </w:tr>
      <w:tr w:rsidR="002E4D4F" w:rsidRPr="00CD2E4B" w14:paraId="7ECF27AD" w14:textId="77777777" w:rsidTr="0087068F">
        <w:trPr>
          <w:trHeight w:val="327"/>
          <w:tblCellSpacing w:w="0" w:type="dxa"/>
        </w:trPr>
        <w:tc>
          <w:tcPr>
            <w:tcW w:w="5984" w:type="dxa"/>
            <w:shd w:val="clear" w:color="auto" w:fill="F0F0F0"/>
            <w:vAlign w:val="center"/>
            <w:hideMark/>
          </w:tcPr>
          <w:p w14:paraId="19CC12C7" w14:textId="77777777" w:rsidR="002E4D4F" w:rsidRPr="00CD2E4B" w:rsidRDefault="002E4D4F" w:rsidP="00484323">
            <w:pPr>
              <w:spacing w:before="0"/>
              <w:contextualSpacing/>
              <w:mirrorIndents/>
              <w:rPr>
                <w:sz w:val="18"/>
                <w:szCs w:val="18"/>
              </w:rPr>
            </w:pPr>
            <w:r w:rsidRPr="00CD2E4B">
              <w:rPr>
                <w:sz w:val="18"/>
                <w:szCs w:val="18"/>
              </w:rPr>
              <w:t>davon für Altersversorgung: EUR 27.011,22 (Vorjahr: TEUR 27)</w:t>
            </w:r>
          </w:p>
        </w:tc>
        <w:tc>
          <w:tcPr>
            <w:tcW w:w="1559" w:type="dxa"/>
            <w:shd w:val="clear" w:color="auto" w:fill="F0F0F0"/>
            <w:vAlign w:val="center"/>
            <w:hideMark/>
          </w:tcPr>
          <w:p w14:paraId="44F9152A" w14:textId="77777777" w:rsidR="002E4D4F" w:rsidRPr="00CD2E4B" w:rsidRDefault="002E4D4F" w:rsidP="00E82B21">
            <w:pPr>
              <w:spacing w:before="0"/>
              <w:contextualSpacing/>
              <w:mirrorIndents/>
              <w:jc w:val="right"/>
              <w:rPr>
                <w:sz w:val="18"/>
                <w:szCs w:val="18"/>
              </w:rPr>
            </w:pPr>
          </w:p>
        </w:tc>
        <w:tc>
          <w:tcPr>
            <w:tcW w:w="1565" w:type="dxa"/>
            <w:shd w:val="clear" w:color="auto" w:fill="F0F0F0"/>
            <w:vAlign w:val="center"/>
            <w:hideMark/>
          </w:tcPr>
          <w:p w14:paraId="22ADC0EE" w14:textId="77777777" w:rsidR="002E4D4F" w:rsidRPr="00CD2E4B" w:rsidRDefault="002E4D4F" w:rsidP="00E82B21">
            <w:pPr>
              <w:spacing w:before="0"/>
              <w:contextualSpacing/>
              <w:mirrorIndents/>
              <w:jc w:val="right"/>
              <w:rPr>
                <w:sz w:val="18"/>
                <w:szCs w:val="18"/>
              </w:rPr>
            </w:pPr>
          </w:p>
        </w:tc>
      </w:tr>
      <w:tr w:rsidR="002E4D4F" w:rsidRPr="00CD2E4B" w14:paraId="10278D7B" w14:textId="77777777" w:rsidTr="00E82B21">
        <w:trPr>
          <w:trHeight w:val="253"/>
          <w:tblCellSpacing w:w="0" w:type="dxa"/>
        </w:trPr>
        <w:tc>
          <w:tcPr>
            <w:tcW w:w="5984" w:type="dxa"/>
            <w:vAlign w:val="center"/>
            <w:hideMark/>
          </w:tcPr>
          <w:p w14:paraId="6C32010B" w14:textId="77777777" w:rsidR="002E4D4F" w:rsidRPr="00CD2E4B" w:rsidRDefault="002E4D4F" w:rsidP="00484323">
            <w:pPr>
              <w:spacing w:before="0"/>
              <w:contextualSpacing/>
              <w:mirrorIndents/>
              <w:rPr>
                <w:sz w:val="18"/>
                <w:szCs w:val="18"/>
              </w:rPr>
            </w:pPr>
          </w:p>
        </w:tc>
        <w:tc>
          <w:tcPr>
            <w:tcW w:w="1559" w:type="dxa"/>
            <w:vAlign w:val="center"/>
            <w:hideMark/>
          </w:tcPr>
          <w:p w14:paraId="555F0419" w14:textId="77777777" w:rsidR="002E4D4F" w:rsidRPr="00CD2E4B" w:rsidRDefault="002E4D4F" w:rsidP="00E82B21">
            <w:pPr>
              <w:spacing w:before="0"/>
              <w:contextualSpacing/>
              <w:mirrorIndents/>
              <w:jc w:val="right"/>
              <w:rPr>
                <w:sz w:val="18"/>
                <w:szCs w:val="18"/>
              </w:rPr>
            </w:pPr>
            <w:r w:rsidRPr="00CD2E4B">
              <w:rPr>
                <w:sz w:val="18"/>
                <w:szCs w:val="18"/>
              </w:rPr>
              <w:t>80.918.916,07</w:t>
            </w:r>
          </w:p>
        </w:tc>
        <w:tc>
          <w:tcPr>
            <w:tcW w:w="1565" w:type="dxa"/>
            <w:vAlign w:val="center"/>
            <w:hideMark/>
          </w:tcPr>
          <w:p w14:paraId="392D0BB9" w14:textId="77777777" w:rsidR="002E4D4F" w:rsidRPr="00CD2E4B" w:rsidRDefault="002E4D4F" w:rsidP="00E82B21">
            <w:pPr>
              <w:spacing w:before="0"/>
              <w:contextualSpacing/>
              <w:mirrorIndents/>
              <w:jc w:val="right"/>
              <w:rPr>
                <w:sz w:val="18"/>
                <w:szCs w:val="18"/>
              </w:rPr>
            </w:pPr>
            <w:r w:rsidRPr="00CD2E4B">
              <w:rPr>
                <w:sz w:val="18"/>
                <w:szCs w:val="18"/>
              </w:rPr>
              <w:t>74.299.070,64</w:t>
            </w:r>
          </w:p>
        </w:tc>
      </w:tr>
      <w:tr w:rsidR="002E4D4F" w:rsidRPr="00CD2E4B" w14:paraId="0F920CFD" w14:textId="77777777" w:rsidTr="008E4517">
        <w:trPr>
          <w:trHeight w:val="467"/>
          <w:tblCellSpacing w:w="0" w:type="dxa"/>
        </w:trPr>
        <w:tc>
          <w:tcPr>
            <w:tcW w:w="5984" w:type="dxa"/>
            <w:shd w:val="clear" w:color="auto" w:fill="F0F0F0"/>
            <w:vAlign w:val="center"/>
            <w:hideMark/>
          </w:tcPr>
          <w:p w14:paraId="586B4FEB" w14:textId="77777777" w:rsidR="002E4D4F" w:rsidRPr="00CD2E4B" w:rsidRDefault="002E4D4F" w:rsidP="00484323">
            <w:pPr>
              <w:spacing w:before="0"/>
              <w:contextualSpacing/>
              <w:mirrorIndents/>
              <w:rPr>
                <w:sz w:val="18"/>
                <w:szCs w:val="18"/>
              </w:rPr>
            </w:pPr>
            <w:r w:rsidRPr="00CD2E4B">
              <w:rPr>
                <w:sz w:val="18"/>
                <w:szCs w:val="18"/>
              </w:rPr>
              <w:t>6. Abschreibungen auf immaterielle Vermögensgegenstände des Anlagevermögens und Sachanlagen</w:t>
            </w:r>
          </w:p>
        </w:tc>
        <w:tc>
          <w:tcPr>
            <w:tcW w:w="1559" w:type="dxa"/>
            <w:shd w:val="clear" w:color="auto" w:fill="F0F0F0"/>
            <w:vAlign w:val="center"/>
            <w:hideMark/>
          </w:tcPr>
          <w:p w14:paraId="27E5D8F8" w14:textId="77777777" w:rsidR="002E4D4F" w:rsidRPr="00CD2E4B" w:rsidRDefault="002E4D4F" w:rsidP="00E82B21">
            <w:pPr>
              <w:spacing w:before="0"/>
              <w:contextualSpacing/>
              <w:mirrorIndents/>
              <w:jc w:val="right"/>
              <w:rPr>
                <w:sz w:val="18"/>
                <w:szCs w:val="18"/>
              </w:rPr>
            </w:pPr>
            <w:r w:rsidRPr="00CD2E4B">
              <w:rPr>
                <w:sz w:val="18"/>
                <w:szCs w:val="18"/>
              </w:rPr>
              <w:t>4.005.828,01</w:t>
            </w:r>
          </w:p>
        </w:tc>
        <w:tc>
          <w:tcPr>
            <w:tcW w:w="1565" w:type="dxa"/>
            <w:shd w:val="clear" w:color="auto" w:fill="F0F0F0"/>
            <w:vAlign w:val="center"/>
            <w:hideMark/>
          </w:tcPr>
          <w:p w14:paraId="37C15977" w14:textId="77777777" w:rsidR="002E4D4F" w:rsidRPr="00CD2E4B" w:rsidRDefault="002E4D4F" w:rsidP="00E82B21">
            <w:pPr>
              <w:spacing w:before="0"/>
              <w:contextualSpacing/>
              <w:mirrorIndents/>
              <w:jc w:val="right"/>
              <w:rPr>
                <w:sz w:val="18"/>
                <w:szCs w:val="18"/>
              </w:rPr>
            </w:pPr>
            <w:r w:rsidRPr="00CD2E4B">
              <w:rPr>
                <w:sz w:val="18"/>
                <w:szCs w:val="18"/>
              </w:rPr>
              <w:t>3.623.166,75</w:t>
            </w:r>
          </w:p>
        </w:tc>
      </w:tr>
      <w:tr w:rsidR="002E4D4F" w:rsidRPr="00CD2E4B" w14:paraId="6630FC4E" w14:textId="77777777" w:rsidTr="00E82B21">
        <w:trPr>
          <w:trHeight w:val="253"/>
          <w:tblCellSpacing w:w="0" w:type="dxa"/>
        </w:trPr>
        <w:tc>
          <w:tcPr>
            <w:tcW w:w="5984" w:type="dxa"/>
            <w:vAlign w:val="center"/>
            <w:hideMark/>
          </w:tcPr>
          <w:p w14:paraId="710908D2" w14:textId="77777777" w:rsidR="002E4D4F" w:rsidRPr="00CD2E4B" w:rsidRDefault="002E4D4F" w:rsidP="00484323">
            <w:pPr>
              <w:spacing w:before="0"/>
              <w:contextualSpacing/>
              <w:mirrorIndents/>
              <w:rPr>
                <w:sz w:val="18"/>
                <w:szCs w:val="18"/>
              </w:rPr>
            </w:pPr>
            <w:r w:rsidRPr="00CD2E4B">
              <w:rPr>
                <w:sz w:val="18"/>
                <w:szCs w:val="18"/>
              </w:rPr>
              <w:t>7. sonstige betriebliche Aufwendungen</w:t>
            </w:r>
          </w:p>
        </w:tc>
        <w:tc>
          <w:tcPr>
            <w:tcW w:w="1559" w:type="dxa"/>
            <w:vAlign w:val="center"/>
            <w:hideMark/>
          </w:tcPr>
          <w:p w14:paraId="02A44200" w14:textId="77777777" w:rsidR="002E4D4F" w:rsidRPr="00CD2E4B" w:rsidRDefault="002E4D4F" w:rsidP="00E82B21">
            <w:pPr>
              <w:spacing w:before="0"/>
              <w:contextualSpacing/>
              <w:mirrorIndents/>
              <w:jc w:val="right"/>
              <w:rPr>
                <w:sz w:val="18"/>
                <w:szCs w:val="18"/>
              </w:rPr>
            </w:pPr>
            <w:r w:rsidRPr="00CD2E4B">
              <w:rPr>
                <w:sz w:val="18"/>
                <w:szCs w:val="18"/>
              </w:rPr>
              <w:t>25.388.133,68</w:t>
            </w:r>
          </w:p>
        </w:tc>
        <w:tc>
          <w:tcPr>
            <w:tcW w:w="1565" w:type="dxa"/>
            <w:vAlign w:val="center"/>
            <w:hideMark/>
          </w:tcPr>
          <w:p w14:paraId="7284A814" w14:textId="77777777" w:rsidR="002E4D4F" w:rsidRPr="00CD2E4B" w:rsidRDefault="002E4D4F" w:rsidP="00E82B21">
            <w:pPr>
              <w:spacing w:before="0"/>
              <w:contextualSpacing/>
              <w:mirrorIndents/>
              <w:jc w:val="right"/>
              <w:rPr>
                <w:sz w:val="18"/>
                <w:szCs w:val="18"/>
              </w:rPr>
            </w:pPr>
            <w:r w:rsidRPr="00CD2E4B">
              <w:rPr>
                <w:sz w:val="18"/>
                <w:szCs w:val="18"/>
              </w:rPr>
              <w:t>23.446.319,83</w:t>
            </w:r>
          </w:p>
        </w:tc>
      </w:tr>
      <w:tr w:rsidR="002E4D4F" w:rsidRPr="00CD2E4B" w14:paraId="4F8FE283" w14:textId="77777777" w:rsidTr="00E82B21">
        <w:trPr>
          <w:trHeight w:val="241"/>
          <w:tblCellSpacing w:w="0" w:type="dxa"/>
        </w:trPr>
        <w:tc>
          <w:tcPr>
            <w:tcW w:w="5984" w:type="dxa"/>
            <w:shd w:val="clear" w:color="auto" w:fill="F0F0F0"/>
            <w:vAlign w:val="center"/>
            <w:hideMark/>
          </w:tcPr>
          <w:p w14:paraId="004C229E" w14:textId="77777777" w:rsidR="002E4D4F" w:rsidRPr="00CD2E4B" w:rsidRDefault="002E4D4F" w:rsidP="00484323">
            <w:pPr>
              <w:spacing w:before="0"/>
              <w:contextualSpacing/>
              <w:mirrorIndents/>
              <w:rPr>
                <w:sz w:val="18"/>
                <w:szCs w:val="18"/>
              </w:rPr>
            </w:pPr>
            <w:r w:rsidRPr="00CD2E4B">
              <w:rPr>
                <w:sz w:val="18"/>
                <w:szCs w:val="18"/>
              </w:rPr>
              <w:t>8. sonstige Zinsen und ähnliche Erträge</w:t>
            </w:r>
          </w:p>
        </w:tc>
        <w:tc>
          <w:tcPr>
            <w:tcW w:w="1559" w:type="dxa"/>
            <w:shd w:val="clear" w:color="auto" w:fill="F0F0F0"/>
            <w:vAlign w:val="center"/>
            <w:hideMark/>
          </w:tcPr>
          <w:p w14:paraId="03D8B88E" w14:textId="77777777" w:rsidR="002E4D4F" w:rsidRPr="00CD2E4B" w:rsidRDefault="002E4D4F" w:rsidP="00E82B21">
            <w:pPr>
              <w:spacing w:before="0"/>
              <w:contextualSpacing/>
              <w:mirrorIndents/>
              <w:jc w:val="right"/>
              <w:rPr>
                <w:sz w:val="18"/>
                <w:szCs w:val="18"/>
              </w:rPr>
            </w:pPr>
            <w:r w:rsidRPr="00CD2E4B">
              <w:rPr>
                <w:sz w:val="18"/>
                <w:szCs w:val="18"/>
              </w:rPr>
              <w:t>374.847,82</w:t>
            </w:r>
          </w:p>
        </w:tc>
        <w:tc>
          <w:tcPr>
            <w:tcW w:w="1565" w:type="dxa"/>
            <w:shd w:val="clear" w:color="auto" w:fill="F0F0F0"/>
            <w:vAlign w:val="center"/>
            <w:hideMark/>
          </w:tcPr>
          <w:p w14:paraId="2C2CD90F" w14:textId="77777777" w:rsidR="002E4D4F" w:rsidRPr="00CD2E4B" w:rsidRDefault="002E4D4F" w:rsidP="00E82B21">
            <w:pPr>
              <w:spacing w:before="0"/>
              <w:contextualSpacing/>
              <w:mirrorIndents/>
              <w:jc w:val="right"/>
              <w:rPr>
                <w:sz w:val="18"/>
                <w:szCs w:val="18"/>
              </w:rPr>
            </w:pPr>
            <w:r w:rsidRPr="00CD2E4B">
              <w:rPr>
                <w:sz w:val="18"/>
                <w:szCs w:val="18"/>
              </w:rPr>
              <w:t>155.350,71</w:t>
            </w:r>
          </w:p>
        </w:tc>
      </w:tr>
      <w:tr w:rsidR="002E4D4F" w:rsidRPr="00CD2E4B" w14:paraId="1ABB67D8" w14:textId="77777777" w:rsidTr="00E82B21">
        <w:trPr>
          <w:trHeight w:val="253"/>
          <w:tblCellSpacing w:w="0" w:type="dxa"/>
        </w:trPr>
        <w:tc>
          <w:tcPr>
            <w:tcW w:w="5984" w:type="dxa"/>
            <w:vAlign w:val="center"/>
            <w:hideMark/>
          </w:tcPr>
          <w:p w14:paraId="5DF188E0" w14:textId="2970D383" w:rsidR="002E4D4F" w:rsidRPr="00CD2E4B" w:rsidRDefault="002E4D4F" w:rsidP="0087068F">
            <w:pPr>
              <w:spacing w:before="0"/>
              <w:contextualSpacing/>
              <w:mirrorIndents/>
              <w:jc w:val="left"/>
              <w:rPr>
                <w:sz w:val="18"/>
                <w:szCs w:val="18"/>
              </w:rPr>
            </w:pPr>
            <w:r w:rsidRPr="00CD2E4B">
              <w:rPr>
                <w:sz w:val="18"/>
                <w:szCs w:val="18"/>
              </w:rPr>
              <w:t xml:space="preserve">davon aus verbundenen Unternehmen: EUR 373.588,13 </w:t>
            </w:r>
            <w:r w:rsidR="0087068F">
              <w:rPr>
                <w:sz w:val="18"/>
                <w:szCs w:val="18"/>
              </w:rPr>
              <w:br/>
            </w:r>
            <w:r w:rsidRPr="00CD2E4B">
              <w:rPr>
                <w:sz w:val="18"/>
                <w:szCs w:val="18"/>
              </w:rPr>
              <w:t>(Vorjahr: TEUR 155)</w:t>
            </w:r>
          </w:p>
        </w:tc>
        <w:tc>
          <w:tcPr>
            <w:tcW w:w="1559" w:type="dxa"/>
            <w:vAlign w:val="center"/>
            <w:hideMark/>
          </w:tcPr>
          <w:p w14:paraId="161CF443" w14:textId="77777777" w:rsidR="002E4D4F" w:rsidRPr="00CD2E4B" w:rsidRDefault="002E4D4F" w:rsidP="00E82B21">
            <w:pPr>
              <w:spacing w:before="0"/>
              <w:contextualSpacing/>
              <w:mirrorIndents/>
              <w:jc w:val="right"/>
              <w:rPr>
                <w:sz w:val="18"/>
                <w:szCs w:val="18"/>
              </w:rPr>
            </w:pPr>
          </w:p>
        </w:tc>
        <w:tc>
          <w:tcPr>
            <w:tcW w:w="1565" w:type="dxa"/>
            <w:vAlign w:val="center"/>
            <w:hideMark/>
          </w:tcPr>
          <w:p w14:paraId="6FD35D9E" w14:textId="77777777" w:rsidR="002E4D4F" w:rsidRPr="00CD2E4B" w:rsidRDefault="002E4D4F" w:rsidP="00E82B21">
            <w:pPr>
              <w:spacing w:before="0"/>
              <w:contextualSpacing/>
              <w:mirrorIndents/>
              <w:jc w:val="right"/>
              <w:rPr>
                <w:sz w:val="18"/>
                <w:szCs w:val="18"/>
              </w:rPr>
            </w:pPr>
          </w:p>
        </w:tc>
      </w:tr>
      <w:tr w:rsidR="002E4D4F" w:rsidRPr="00CD2E4B" w14:paraId="5D2AFD23" w14:textId="77777777" w:rsidTr="00E82B21">
        <w:trPr>
          <w:trHeight w:val="253"/>
          <w:tblCellSpacing w:w="0" w:type="dxa"/>
        </w:trPr>
        <w:tc>
          <w:tcPr>
            <w:tcW w:w="5984" w:type="dxa"/>
            <w:shd w:val="clear" w:color="auto" w:fill="F0F0F0"/>
            <w:vAlign w:val="center"/>
            <w:hideMark/>
          </w:tcPr>
          <w:p w14:paraId="228B7D3F" w14:textId="77777777" w:rsidR="002E4D4F" w:rsidRPr="00CD2E4B" w:rsidRDefault="002E4D4F" w:rsidP="00484323">
            <w:pPr>
              <w:spacing w:before="0"/>
              <w:contextualSpacing/>
              <w:mirrorIndents/>
              <w:rPr>
                <w:sz w:val="18"/>
                <w:szCs w:val="18"/>
              </w:rPr>
            </w:pPr>
            <w:r w:rsidRPr="00CD2E4B">
              <w:rPr>
                <w:sz w:val="18"/>
                <w:szCs w:val="18"/>
              </w:rPr>
              <w:t>9. Zinsen und ähnliche Aufwendungen</w:t>
            </w:r>
          </w:p>
        </w:tc>
        <w:tc>
          <w:tcPr>
            <w:tcW w:w="1559" w:type="dxa"/>
            <w:shd w:val="clear" w:color="auto" w:fill="F0F0F0"/>
            <w:vAlign w:val="center"/>
            <w:hideMark/>
          </w:tcPr>
          <w:p w14:paraId="5C50A111" w14:textId="77777777" w:rsidR="002E4D4F" w:rsidRPr="00CD2E4B" w:rsidRDefault="002E4D4F" w:rsidP="00E82B21">
            <w:pPr>
              <w:spacing w:before="0"/>
              <w:contextualSpacing/>
              <w:mirrorIndents/>
              <w:jc w:val="right"/>
              <w:rPr>
                <w:sz w:val="18"/>
                <w:szCs w:val="18"/>
              </w:rPr>
            </w:pPr>
            <w:r w:rsidRPr="00CD2E4B">
              <w:rPr>
                <w:sz w:val="18"/>
                <w:szCs w:val="18"/>
              </w:rPr>
              <w:t>54.179,02</w:t>
            </w:r>
          </w:p>
        </w:tc>
        <w:tc>
          <w:tcPr>
            <w:tcW w:w="1565" w:type="dxa"/>
            <w:shd w:val="clear" w:color="auto" w:fill="F0F0F0"/>
            <w:vAlign w:val="center"/>
            <w:hideMark/>
          </w:tcPr>
          <w:p w14:paraId="1C3FF872" w14:textId="77777777" w:rsidR="002E4D4F" w:rsidRPr="00CD2E4B" w:rsidRDefault="002E4D4F" w:rsidP="00E82B21">
            <w:pPr>
              <w:spacing w:before="0"/>
              <w:contextualSpacing/>
              <w:mirrorIndents/>
              <w:jc w:val="right"/>
              <w:rPr>
                <w:sz w:val="18"/>
                <w:szCs w:val="18"/>
              </w:rPr>
            </w:pPr>
            <w:r w:rsidRPr="00CD2E4B">
              <w:rPr>
                <w:sz w:val="18"/>
                <w:szCs w:val="18"/>
              </w:rPr>
              <w:t>29.241,07</w:t>
            </w:r>
          </w:p>
        </w:tc>
      </w:tr>
      <w:tr w:rsidR="002E4D4F" w:rsidRPr="00CD2E4B" w14:paraId="222ECEF4" w14:textId="77777777" w:rsidTr="00E82B21">
        <w:trPr>
          <w:trHeight w:val="481"/>
          <w:tblCellSpacing w:w="0" w:type="dxa"/>
        </w:trPr>
        <w:tc>
          <w:tcPr>
            <w:tcW w:w="5984" w:type="dxa"/>
            <w:vAlign w:val="center"/>
            <w:hideMark/>
          </w:tcPr>
          <w:p w14:paraId="553E0BBE" w14:textId="686F0D1C" w:rsidR="002E4D4F" w:rsidRPr="00CD2E4B" w:rsidRDefault="002E4D4F" w:rsidP="0087068F">
            <w:pPr>
              <w:spacing w:before="0"/>
              <w:contextualSpacing/>
              <w:mirrorIndents/>
              <w:jc w:val="left"/>
              <w:rPr>
                <w:sz w:val="18"/>
                <w:szCs w:val="18"/>
              </w:rPr>
            </w:pPr>
            <w:r w:rsidRPr="00CD2E4B">
              <w:rPr>
                <w:sz w:val="18"/>
                <w:szCs w:val="18"/>
              </w:rPr>
              <w:t xml:space="preserve">davon an verbundene Unternehmen: EUR 41.609,96 </w:t>
            </w:r>
            <w:r w:rsidR="0087068F">
              <w:rPr>
                <w:sz w:val="18"/>
                <w:szCs w:val="18"/>
              </w:rPr>
              <w:br/>
            </w:r>
            <w:r w:rsidRPr="00CD2E4B">
              <w:rPr>
                <w:sz w:val="18"/>
                <w:szCs w:val="18"/>
              </w:rPr>
              <w:t>(Vorjahr: TEUR 15)</w:t>
            </w:r>
          </w:p>
        </w:tc>
        <w:tc>
          <w:tcPr>
            <w:tcW w:w="1559" w:type="dxa"/>
            <w:vAlign w:val="center"/>
            <w:hideMark/>
          </w:tcPr>
          <w:p w14:paraId="485564AB" w14:textId="77777777" w:rsidR="002E4D4F" w:rsidRPr="00CD2E4B" w:rsidRDefault="002E4D4F" w:rsidP="00E82B21">
            <w:pPr>
              <w:spacing w:before="0"/>
              <w:contextualSpacing/>
              <w:mirrorIndents/>
              <w:jc w:val="right"/>
              <w:rPr>
                <w:sz w:val="18"/>
                <w:szCs w:val="18"/>
              </w:rPr>
            </w:pPr>
          </w:p>
        </w:tc>
        <w:tc>
          <w:tcPr>
            <w:tcW w:w="1565" w:type="dxa"/>
            <w:vAlign w:val="center"/>
            <w:hideMark/>
          </w:tcPr>
          <w:p w14:paraId="0F03DC80" w14:textId="77777777" w:rsidR="002E4D4F" w:rsidRPr="00CD2E4B" w:rsidRDefault="002E4D4F" w:rsidP="00E82B21">
            <w:pPr>
              <w:spacing w:before="0"/>
              <w:contextualSpacing/>
              <w:mirrorIndents/>
              <w:jc w:val="right"/>
              <w:rPr>
                <w:sz w:val="18"/>
                <w:szCs w:val="18"/>
              </w:rPr>
            </w:pPr>
          </w:p>
        </w:tc>
      </w:tr>
      <w:tr w:rsidR="002E4D4F" w:rsidRPr="00CD2E4B" w14:paraId="5FDABD56" w14:textId="77777777" w:rsidTr="00E82B21">
        <w:trPr>
          <w:trHeight w:val="253"/>
          <w:tblCellSpacing w:w="0" w:type="dxa"/>
        </w:trPr>
        <w:tc>
          <w:tcPr>
            <w:tcW w:w="5984" w:type="dxa"/>
            <w:shd w:val="clear" w:color="auto" w:fill="F0F0F0"/>
            <w:vAlign w:val="center"/>
            <w:hideMark/>
          </w:tcPr>
          <w:p w14:paraId="78C61FCF" w14:textId="77777777" w:rsidR="002E4D4F" w:rsidRPr="00CD2E4B" w:rsidRDefault="002E4D4F" w:rsidP="00484323">
            <w:pPr>
              <w:spacing w:before="0"/>
              <w:contextualSpacing/>
              <w:mirrorIndents/>
              <w:rPr>
                <w:sz w:val="18"/>
                <w:szCs w:val="18"/>
              </w:rPr>
            </w:pPr>
            <w:r w:rsidRPr="00CD2E4B">
              <w:rPr>
                <w:sz w:val="18"/>
                <w:szCs w:val="18"/>
              </w:rPr>
              <w:t>10. Ergebnis nach Steuern</w:t>
            </w:r>
          </w:p>
        </w:tc>
        <w:tc>
          <w:tcPr>
            <w:tcW w:w="1559" w:type="dxa"/>
            <w:shd w:val="clear" w:color="auto" w:fill="F0F0F0"/>
            <w:vAlign w:val="center"/>
            <w:hideMark/>
          </w:tcPr>
          <w:p w14:paraId="63BF38BD" w14:textId="77777777" w:rsidR="002E4D4F" w:rsidRPr="00CD2E4B" w:rsidRDefault="002E4D4F" w:rsidP="00E82B21">
            <w:pPr>
              <w:spacing w:before="0"/>
              <w:contextualSpacing/>
              <w:mirrorIndents/>
              <w:jc w:val="right"/>
              <w:rPr>
                <w:sz w:val="18"/>
                <w:szCs w:val="18"/>
              </w:rPr>
            </w:pPr>
            <w:r w:rsidRPr="00CD2E4B">
              <w:rPr>
                <w:sz w:val="18"/>
                <w:szCs w:val="18"/>
              </w:rPr>
              <w:t>20.164.768,75</w:t>
            </w:r>
          </w:p>
        </w:tc>
        <w:tc>
          <w:tcPr>
            <w:tcW w:w="1565" w:type="dxa"/>
            <w:shd w:val="clear" w:color="auto" w:fill="F0F0F0"/>
            <w:vAlign w:val="center"/>
            <w:hideMark/>
          </w:tcPr>
          <w:p w14:paraId="39F0A445" w14:textId="77777777" w:rsidR="002E4D4F" w:rsidRPr="00CD2E4B" w:rsidRDefault="002E4D4F" w:rsidP="00E82B21">
            <w:pPr>
              <w:spacing w:before="0"/>
              <w:contextualSpacing/>
              <w:mirrorIndents/>
              <w:jc w:val="right"/>
              <w:rPr>
                <w:sz w:val="18"/>
                <w:szCs w:val="18"/>
              </w:rPr>
            </w:pPr>
            <w:r w:rsidRPr="00CD2E4B">
              <w:rPr>
                <w:sz w:val="18"/>
                <w:szCs w:val="18"/>
              </w:rPr>
              <w:t>20.308.859,35</w:t>
            </w:r>
          </w:p>
        </w:tc>
      </w:tr>
      <w:tr w:rsidR="002E4D4F" w:rsidRPr="00CD2E4B" w14:paraId="1AB36FD7" w14:textId="77777777" w:rsidTr="00E82B21">
        <w:trPr>
          <w:trHeight w:val="241"/>
          <w:tblCellSpacing w:w="0" w:type="dxa"/>
        </w:trPr>
        <w:tc>
          <w:tcPr>
            <w:tcW w:w="5984" w:type="dxa"/>
            <w:vAlign w:val="center"/>
            <w:hideMark/>
          </w:tcPr>
          <w:p w14:paraId="659E7703" w14:textId="77777777" w:rsidR="002E4D4F" w:rsidRPr="00CD2E4B" w:rsidRDefault="002E4D4F" w:rsidP="00484323">
            <w:pPr>
              <w:spacing w:before="0"/>
              <w:contextualSpacing/>
              <w:mirrorIndents/>
              <w:rPr>
                <w:sz w:val="18"/>
                <w:szCs w:val="18"/>
              </w:rPr>
            </w:pPr>
            <w:r w:rsidRPr="00CD2E4B">
              <w:rPr>
                <w:sz w:val="18"/>
                <w:szCs w:val="18"/>
              </w:rPr>
              <w:t>11. sonstige Steuern</w:t>
            </w:r>
          </w:p>
        </w:tc>
        <w:tc>
          <w:tcPr>
            <w:tcW w:w="1559" w:type="dxa"/>
            <w:vAlign w:val="center"/>
            <w:hideMark/>
          </w:tcPr>
          <w:p w14:paraId="0B48A814" w14:textId="77777777" w:rsidR="002E4D4F" w:rsidRPr="00CD2E4B" w:rsidRDefault="002E4D4F" w:rsidP="00E82B21">
            <w:pPr>
              <w:spacing w:before="0"/>
              <w:contextualSpacing/>
              <w:mirrorIndents/>
              <w:jc w:val="right"/>
              <w:rPr>
                <w:sz w:val="18"/>
                <w:szCs w:val="18"/>
              </w:rPr>
            </w:pPr>
            <w:r w:rsidRPr="00CD2E4B">
              <w:rPr>
                <w:sz w:val="18"/>
                <w:szCs w:val="18"/>
              </w:rPr>
              <w:t>208.623,24</w:t>
            </w:r>
          </w:p>
        </w:tc>
        <w:tc>
          <w:tcPr>
            <w:tcW w:w="1565" w:type="dxa"/>
            <w:vAlign w:val="center"/>
            <w:hideMark/>
          </w:tcPr>
          <w:p w14:paraId="7D64AFA6" w14:textId="77777777" w:rsidR="002E4D4F" w:rsidRPr="00CD2E4B" w:rsidRDefault="002E4D4F" w:rsidP="00E82B21">
            <w:pPr>
              <w:spacing w:before="0"/>
              <w:contextualSpacing/>
              <w:mirrorIndents/>
              <w:jc w:val="right"/>
              <w:rPr>
                <w:sz w:val="18"/>
                <w:szCs w:val="18"/>
              </w:rPr>
            </w:pPr>
            <w:r w:rsidRPr="00CD2E4B">
              <w:rPr>
                <w:sz w:val="18"/>
                <w:szCs w:val="18"/>
              </w:rPr>
              <w:t>195.590,20</w:t>
            </w:r>
          </w:p>
        </w:tc>
      </w:tr>
      <w:tr w:rsidR="002E4D4F" w:rsidRPr="00CD2E4B" w14:paraId="436410E6" w14:textId="77777777" w:rsidTr="00E82B21">
        <w:trPr>
          <w:trHeight w:val="253"/>
          <w:tblCellSpacing w:w="0" w:type="dxa"/>
        </w:trPr>
        <w:tc>
          <w:tcPr>
            <w:tcW w:w="5984" w:type="dxa"/>
            <w:shd w:val="clear" w:color="auto" w:fill="F0F0F0"/>
            <w:vAlign w:val="center"/>
            <w:hideMark/>
          </w:tcPr>
          <w:p w14:paraId="70D63A62" w14:textId="77777777" w:rsidR="002E4D4F" w:rsidRPr="00CD2E4B" w:rsidRDefault="002E4D4F" w:rsidP="00484323">
            <w:pPr>
              <w:spacing w:before="0"/>
              <w:contextualSpacing/>
              <w:mirrorIndents/>
              <w:rPr>
                <w:sz w:val="18"/>
                <w:szCs w:val="18"/>
              </w:rPr>
            </w:pPr>
            <w:r w:rsidRPr="00CD2E4B">
              <w:rPr>
                <w:sz w:val="18"/>
                <w:szCs w:val="18"/>
              </w:rPr>
              <w:t>12. aufgrund eines Gewinnabführungsvertrages</w:t>
            </w:r>
          </w:p>
        </w:tc>
        <w:tc>
          <w:tcPr>
            <w:tcW w:w="1559" w:type="dxa"/>
            <w:shd w:val="clear" w:color="auto" w:fill="F0F0F0"/>
            <w:vAlign w:val="center"/>
            <w:hideMark/>
          </w:tcPr>
          <w:p w14:paraId="658AB30B" w14:textId="77777777" w:rsidR="002E4D4F" w:rsidRPr="00CD2E4B" w:rsidRDefault="002E4D4F" w:rsidP="00E82B21">
            <w:pPr>
              <w:spacing w:before="0"/>
              <w:contextualSpacing/>
              <w:mirrorIndents/>
              <w:jc w:val="right"/>
              <w:rPr>
                <w:sz w:val="18"/>
                <w:szCs w:val="18"/>
              </w:rPr>
            </w:pPr>
          </w:p>
        </w:tc>
        <w:tc>
          <w:tcPr>
            <w:tcW w:w="1565" w:type="dxa"/>
            <w:shd w:val="clear" w:color="auto" w:fill="F0F0F0"/>
            <w:vAlign w:val="center"/>
            <w:hideMark/>
          </w:tcPr>
          <w:p w14:paraId="15038723" w14:textId="77777777" w:rsidR="002E4D4F" w:rsidRPr="00CD2E4B" w:rsidRDefault="002E4D4F" w:rsidP="00E82B21">
            <w:pPr>
              <w:spacing w:before="0"/>
              <w:contextualSpacing/>
              <w:mirrorIndents/>
              <w:jc w:val="right"/>
              <w:rPr>
                <w:sz w:val="18"/>
                <w:szCs w:val="18"/>
              </w:rPr>
            </w:pPr>
          </w:p>
        </w:tc>
      </w:tr>
      <w:tr w:rsidR="002E4D4F" w:rsidRPr="00CD2E4B" w14:paraId="05B1FCC0" w14:textId="77777777" w:rsidTr="00E82B21">
        <w:trPr>
          <w:trHeight w:val="241"/>
          <w:tblCellSpacing w:w="0" w:type="dxa"/>
        </w:trPr>
        <w:tc>
          <w:tcPr>
            <w:tcW w:w="5984" w:type="dxa"/>
            <w:vAlign w:val="center"/>
            <w:hideMark/>
          </w:tcPr>
          <w:p w14:paraId="70E91075" w14:textId="77777777" w:rsidR="002E4D4F" w:rsidRPr="00CD2E4B" w:rsidRDefault="002E4D4F" w:rsidP="00484323">
            <w:pPr>
              <w:spacing w:before="0"/>
              <w:contextualSpacing/>
              <w:mirrorIndents/>
              <w:rPr>
                <w:sz w:val="18"/>
                <w:szCs w:val="18"/>
              </w:rPr>
            </w:pPr>
            <w:r w:rsidRPr="00CD2E4B">
              <w:rPr>
                <w:sz w:val="18"/>
                <w:szCs w:val="18"/>
              </w:rPr>
              <w:t>abgeführter Gewinn</w:t>
            </w:r>
          </w:p>
        </w:tc>
        <w:tc>
          <w:tcPr>
            <w:tcW w:w="1559" w:type="dxa"/>
            <w:vAlign w:val="center"/>
            <w:hideMark/>
          </w:tcPr>
          <w:p w14:paraId="38294E97" w14:textId="77777777" w:rsidR="002E4D4F" w:rsidRPr="00CD2E4B" w:rsidRDefault="002E4D4F" w:rsidP="00E82B21">
            <w:pPr>
              <w:spacing w:before="0"/>
              <w:contextualSpacing/>
              <w:mirrorIndents/>
              <w:jc w:val="right"/>
              <w:rPr>
                <w:sz w:val="18"/>
                <w:szCs w:val="18"/>
              </w:rPr>
            </w:pPr>
            <w:r w:rsidRPr="00CD2E4B">
              <w:rPr>
                <w:sz w:val="18"/>
                <w:szCs w:val="18"/>
              </w:rPr>
              <w:t>19.956.145,51</w:t>
            </w:r>
          </w:p>
        </w:tc>
        <w:tc>
          <w:tcPr>
            <w:tcW w:w="1565" w:type="dxa"/>
            <w:vAlign w:val="center"/>
            <w:hideMark/>
          </w:tcPr>
          <w:p w14:paraId="23B8DAE3" w14:textId="77777777" w:rsidR="002E4D4F" w:rsidRPr="00CD2E4B" w:rsidRDefault="002E4D4F" w:rsidP="00E82B21">
            <w:pPr>
              <w:spacing w:before="0"/>
              <w:contextualSpacing/>
              <w:mirrorIndents/>
              <w:jc w:val="right"/>
              <w:rPr>
                <w:sz w:val="18"/>
                <w:szCs w:val="18"/>
              </w:rPr>
            </w:pPr>
            <w:r w:rsidRPr="00CD2E4B">
              <w:rPr>
                <w:sz w:val="18"/>
                <w:szCs w:val="18"/>
              </w:rPr>
              <w:t>20.113.269,15</w:t>
            </w:r>
          </w:p>
        </w:tc>
      </w:tr>
      <w:tr w:rsidR="002E4D4F" w:rsidRPr="00CD2E4B" w14:paraId="2A076D12" w14:textId="77777777" w:rsidTr="00E82B21">
        <w:trPr>
          <w:trHeight w:val="253"/>
          <w:tblCellSpacing w:w="0" w:type="dxa"/>
        </w:trPr>
        <w:tc>
          <w:tcPr>
            <w:tcW w:w="5984" w:type="dxa"/>
            <w:shd w:val="clear" w:color="auto" w:fill="F0F0F0"/>
            <w:vAlign w:val="center"/>
            <w:hideMark/>
          </w:tcPr>
          <w:p w14:paraId="183A13C4" w14:textId="77777777" w:rsidR="002E4D4F" w:rsidRPr="00CD2E4B" w:rsidRDefault="002E4D4F" w:rsidP="00484323">
            <w:pPr>
              <w:spacing w:before="0"/>
              <w:contextualSpacing/>
              <w:mirrorIndents/>
              <w:rPr>
                <w:sz w:val="18"/>
                <w:szCs w:val="18"/>
              </w:rPr>
            </w:pPr>
            <w:r w:rsidRPr="00CD2E4B">
              <w:rPr>
                <w:sz w:val="18"/>
                <w:szCs w:val="18"/>
              </w:rPr>
              <w:t>13. Jahresergebnis</w:t>
            </w:r>
          </w:p>
        </w:tc>
        <w:tc>
          <w:tcPr>
            <w:tcW w:w="1559" w:type="dxa"/>
            <w:shd w:val="clear" w:color="auto" w:fill="F0F0F0"/>
            <w:vAlign w:val="center"/>
            <w:hideMark/>
          </w:tcPr>
          <w:p w14:paraId="0714FAA8" w14:textId="77777777" w:rsidR="002E4D4F" w:rsidRPr="00CD2E4B" w:rsidRDefault="002E4D4F" w:rsidP="00E82B21">
            <w:pPr>
              <w:spacing w:before="0"/>
              <w:contextualSpacing/>
              <w:mirrorIndents/>
              <w:jc w:val="right"/>
              <w:rPr>
                <w:sz w:val="18"/>
                <w:szCs w:val="18"/>
              </w:rPr>
            </w:pPr>
            <w:r w:rsidRPr="00CD2E4B">
              <w:rPr>
                <w:sz w:val="18"/>
                <w:szCs w:val="18"/>
              </w:rPr>
              <w:t>0,00</w:t>
            </w:r>
          </w:p>
        </w:tc>
        <w:tc>
          <w:tcPr>
            <w:tcW w:w="1565" w:type="dxa"/>
            <w:shd w:val="clear" w:color="auto" w:fill="F0F0F0"/>
            <w:vAlign w:val="center"/>
            <w:hideMark/>
          </w:tcPr>
          <w:p w14:paraId="4AE0B834" w14:textId="77777777" w:rsidR="002E4D4F" w:rsidRPr="00CD2E4B" w:rsidRDefault="002E4D4F" w:rsidP="00E82B21">
            <w:pPr>
              <w:spacing w:before="0"/>
              <w:contextualSpacing/>
              <w:mirrorIndents/>
              <w:jc w:val="right"/>
              <w:rPr>
                <w:sz w:val="18"/>
                <w:szCs w:val="18"/>
              </w:rPr>
            </w:pPr>
            <w:r w:rsidRPr="00CD2E4B">
              <w:rPr>
                <w:sz w:val="18"/>
                <w:szCs w:val="18"/>
              </w:rPr>
              <w:t>0,00</w:t>
            </w:r>
          </w:p>
        </w:tc>
      </w:tr>
    </w:tbl>
    <w:p w14:paraId="0C5BCCC6" w14:textId="77777777" w:rsidR="00A26274" w:rsidRPr="00CD2E4B" w:rsidRDefault="00A26274" w:rsidP="00484323">
      <w:pPr>
        <w:spacing w:before="0"/>
        <w:contextualSpacing/>
        <w:mirrorIndents/>
        <w:jc w:val="center"/>
        <w:outlineLvl w:val="2"/>
        <w:rPr>
          <w:b/>
          <w:bCs/>
          <w:sz w:val="18"/>
          <w:szCs w:val="18"/>
        </w:rPr>
      </w:pPr>
      <w:bookmarkStart w:id="13" w:name="_GoBack"/>
      <w:bookmarkEnd w:id="13"/>
    </w:p>
    <w:p w14:paraId="59C71F14" w14:textId="77777777" w:rsidR="0087068F" w:rsidRDefault="0087068F" w:rsidP="00484323">
      <w:pPr>
        <w:spacing w:before="0"/>
        <w:contextualSpacing/>
        <w:mirrorIndents/>
        <w:jc w:val="center"/>
        <w:outlineLvl w:val="2"/>
        <w:rPr>
          <w:bCs/>
          <w:sz w:val="20"/>
          <w:szCs w:val="18"/>
        </w:rPr>
      </w:pPr>
    </w:p>
    <w:p w14:paraId="79F01EA2" w14:textId="51984620" w:rsidR="002E4D4F" w:rsidRDefault="002E4D4F" w:rsidP="00484323">
      <w:pPr>
        <w:spacing w:before="0"/>
        <w:contextualSpacing/>
        <w:mirrorIndents/>
        <w:jc w:val="center"/>
        <w:outlineLvl w:val="2"/>
        <w:rPr>
          <w:bCs/>
          <w:sz w:val="20"/>
          <w:szCs w:val="18"/>
        </w:rPr>
      </w:pPr>
      <w:r w:rsidRPr="0087068F">
        <w:rPr>
          <w:bCs/>
          <w:sz w:val="20"/>
          <w:szCs w:val="18"/>
        </w:rPr>
        <w:t>Anhang für das Geschäftsjahr 2022</w:t>
      </w:r>
    </w:p>
    <w:p w14:paraId="2A531D50" w14:textId="77777777" w:rsidR="0087068F" w:rsidRPr="0087068F" w:rsidRDefault="0087068F" w:rsidP="00484323">
      <w:pPr>
        <w:spacing w:before="0"/>
        <w:contextualSpacing/>
        <w:mirrorIndents/>
        <w:jc w:val="center"/>
        <w:outlineLvl w:val="2"/>
        <w:rPr>
          <w:bCs/>
          <w:sz w:val="20"/>
          <w:szCs w:val="18"/>
        </w:rPr>
      </w:pPr>
    </w:p>
    <w:p w14:paraId="0BD4178E" w14:textId="38CB8107" w:rsidR="002E4D4F" w:rsidRPr="00CD2E4B" w:rsidRDefault="002E4D4F" w:rsidP="00484323">
      <w:pPr>
        <w:spacing w:before="0"/>
        <w:contextualSpacing/>
        <w:mirrorIndents/>
        <w:jc w:val="center"/>
        <w:outlineLvl w:val="3"/>
        <w:rPr>
          <w:b/>
          <w:bCs/>
          <w:sz w:val="18"/>
          <w:szCs w:val="18"/>
        </w:rPr>
      </w:pPr>
      <w:r w:rsidRPr="00CD2E4B">
        <w:rPr>
          <w:b/>
          <w:bCs/>
          <w:sz w:val="18"/>
          <w:szCs w:val="18"/>
        </w:rPr>
        <w:t>Allgemeine Erläuterungen</w:t>
      </w:r>
    </w:p>
    <w:p w14:paraId="7221ACC0" w14:textId="77777777" w:rsidR="00A26274" w:rsidRPr="00CD2E4B" w:rsidRDefault="00A26274" w:rsidP="00484323">
      <w:pPr>
        <w:spacing w:before="0"/>
        <w:contextualSpacing/>
        <w:mirrorIndents/>
        <w:jc w:val="center"/>
        <w:outlineLvl w:val="3"/>
        <w:rPr>
          <w:b/>
          <w:bCs/>
          <w:sz w:val="18"/>
          <w:szCs w:val="18"/>
        </w:rPr>
      </w:pPr>
    </w:p>
    <w:p w14:paraId="629848DF" w14:textId="1A598DB2" w:rsidR="002E4D4F" w:rsidRDefault="002E4D4F" w:rsidP="00484323">
      <w:pPr>
        <w:spacing w:before="0"/>
        <w:contextualSpacing/>
        <w:mirrorIndents/>
        <w:rPr>
          <w:sz w:val="18"/>
          <w:szCs w:val="18"/>
        </w:rPr>
      </w:pPr>
      <w:r w:rsidRPr="00CD2E4B">
        <w:rPr>
          <w:sz w:val="18"/>
          <w:szCs w:val="18"/>
        </w:rPr>
        <w:t>Die Gesellschaft ist beim Amtsgericht Charlottenburg mit der Handelsregisternummer HRB 36500 B eingetragen.</w:t>
      </w:r>
    </w:p>
    <w:p w14:paraId="789DA8F2" w14:textId="77777777" w:rsidR="00E82B21" w:rsidRPr="00CD2E4B" w:rsidRDefault="00E82B21" w:rsidP="00484323">
      <w:pPr>
        <w:spacing w:before="0"/>
        <w:contextualSpacing/>
        <w:mirrorIndents/>
        <w:rPr>
          <w:sz w:val="18"/>
          <w:szCs w:val="18"/>
        </w:rPr>
      </w:pPr>
    </w:p>
    <w:p w14:paraId="07308C40" w14:textId="53675076" w:rsidR="002E4D4F" w:rsidRDefault="002E4D4F" w:rsidP="00484323">
      <w:pPr>
        <w:spacing w:before="0"/>
        <w:contextualSpacing/>
        <w:mirrorIndents/>
        <w:rPr>
          <w:sz w:val="18"/>
          <w:szCs w:val="18"/>
        </w:rPr>
      </w:pPr>
      <w:r w:rsidRPr="00CD2E4B">
        <w:rPr>
          <w:sz w:val="18"/>
          <w:szCs w:val="18"/>
        </w:rPr>
        <w:t>Die Gesellschaft ist ein Tochterunternehmen der VINCI Construction GmbH, Berlin. Mit der Muttergesellschaft besteht ein Beherrschungs- und Gewinnabführungsvertrag analog § 291 AktG.</w:t>
      </w:r>
    </w:p>
    <w:p w14:paraId="3D86A525" w14:textId="77777777" w:rsidR="00E82B21" w:rsidRPr="00CD2E4B" w:rsidRDefault="00E82B21" w:rsidP="00484323">
      <w:pPr>
        <w:spacing w:before="0"/>
        <w:contextualSpacing/>
        <w:mirrorIndents/>
        <w:rPr>
          <w:sz w:val="18"/>
          <w:szCs w:val="18"/>
        </w:rPr>
      </w:pPr>
    </w:p>
    <w:p w14:paraId="6C8122AD" w14:textId="717A53F4" w:rsidR="002E4D4F" w:rsidRDefault="002E4D4F" w:rsidP="00484323">
      <w:pPr>
        <w:spacing w:before="0"/>
        <w:contextualSpacing/>
        <w:mirrorIndents/>
        <w:rPr>
          <w:sz w:val="18"/>
          <w:szCs w:val="18"/>
        </w:rPr>
      </w:pPr>
      <w:r w:rsidRPr="00CD2E4B">
        <w:rPr>
          <w:sz w:val="18"/>
          <w:szCs w:val="18"/>
        </w:rPr>
        <w:t>Der Jahresabschluss wurde auf der Grundlage des Handelsgesetzbuches für große Kapitalgesellschaften und nach dem GmbHG aufgestellt.</w:t>
      </w:r>
    </w:p>
    <w:p w14:paraId="7CF3BDD5" w14:textId="77777777" w:rsidR="00E82B21" w:rsidRPr="00CD2E4B" w:rsidRDefault="00E82B21" w:rsidP="00484323">
      <w:pPr>
        <w:spacing w:before="0"/>
        <w:contextualSpacing/>
        <w:mirrorIndents/>
        <w:rPr>
          <w:sz w:val="18"/>
          <w:szCs w:val="18"/>
        </w:rPr>
      </w:pPr>
    </w:p>
    <w:p w14:paraId="311C463A" w14:textId="2DC6A0DF" w:rsidR="002E4D4F" w:rsidRDefault="002E4D4F" w:rsidP="00484323">
      <w:pPr>
        <w:spacing w:before="0"/>
        <w:contextualSpacing/>
        <w:mirrorIndents/>
        <w:rPr>
          <w:sz w:val="18"/>
          <w:szCs w:val="18"/>
        </w:rPr>
      </w:pPr>
      <w:r w:rsidRPr="00CD2E4B">
        <w:rPr>
          <w:sz w:val="18"/>
          <w:szCs w:val="18"/>
        </w:rPr>
        <w:t>Die Gewinn- und Verlustrechnung ist nach dem Gesamtkostenverfahren erstellt. Die Vermerke der Restlaufzeiten von Forderungen und Verbindlichkeiten werden im Anhang angegeben.</w:t>
      </w:r>
    </w:p>
    <w:p w14:paraId="24BEF0D2" w14:textId="10ED3F55" w:rsidR="002E4D4F" w:rsidRPr="00CD2E4B" w:rsidRDefault="002E4D4F" w:rsidP="00484323">
      <w:pPr>
        <w:spacing w:before="0"/>
        <w:contextualSpacing/>
        <w:mirrorIndents/>
        <w:rPr>
          <w:sz w:val="18"/>
          <w:szCs w:val="18"/>
        </w:rPr>
      </w:pPr>
      <w:r w:rsidRPr="00CD2E4B">
        <w:rPr>
          <w:sz w:val="18"/>
          <w:szCs w:val="18"/>
        </w:rPr>
        <w:lastRenderedPageBreak/>
        <w:t>Wie in der Bauwirtschaft üblich sind bei den Vorräten die erhaltenen Abschlagszahlungen offen von den nicht abgerechneten Bauleistungen abgesetzt sowie die Forderungen gegen und Verbindlichkeiten gegenüber Arbeitsgemeinschaften gesondert vermerkt.</w:t>
      </w:r>
    </w:p>
    <w:p w14:paraId="78A363D6" w14:textId="77777777" w:rsidR="00A26274" w:rsidRPr="00CD2E4B" w:rsidRDefault="00A26274" w:rsidP="00484323">
      <w:pPr>
        <w:spacing w:before="0"/>
        <w:contextualSpacing/>
        <w:mirrorIndents/>
        <w:rPr>
          <w:sz w:val="18"/>
          <w:szCs w:val="18"/>
        </w:rPr>
      </w:pPr>
    </w:p>
    <w:p w14:paraId="4C296248" w14:textId="2F39FF48" w:rsidR="002E4D4F" w:rsidRPr="00CD2E4B" w:rsidRDefault="002E4D4F" w:rsidP="00484323">
      <w:pPr>
        <w:spacing w:before="0"/>
        <w:contextualSpacing/>
        <w:mirrorIndents/>
        <w:jc w:val="center"/>
        <w:outlineLvl w:val="3"/>
        <w:rPr>
          <w:b/>
          <w:bCs/>
          <w:sz w:val="18"/>
          <w:szCs w:val="18"/>
        </w:rPr>
      </w:pPr>
      <w:r w:rsidRPr="00CD2E4B">
        <w:rPr>
          <w:b/>
          <w:bCs/>
          <w:sz w:val="18"/>
          <w:szCs w:val="18"/>
        </w:rPr>
        <w:t>Bilanzierungs- und Bewertungsgrundsätze</w:t>
      </w:r>
    </w:p>
    <w:p w14:paraId="5F032E6B" w14:textId="77777777" w:rsidR="00A26274" w:rsidRPr="00CD2E4B" w:rsidRDefault="00A26274" w:rsidP="00484323">
      <w:pPr>
        <w:spacing w:before="0"/>
        <w:contextualSpacing/>
        <w:mirrorIndents/>
        <w:jc w:val="center"/>
        <w:outlineLvl w:val="3"/>
        <w:rPr>
          <w:b/>
          <w:bCs/>
          <w:sz w:val="18"/>
          <w:szCs w:val="18"/>
        </w:rPr>
      </w:pPr>
    </w:p>
    <w:p w14:paraId="6AAC549F" w14:textId="470019DB" w:rsidR="002E4D4F" w:rsidRDefault="002E4D4F" w:rsidP="00484323">
      <w:pPr>
        <w:spacing w:before="0"/>
        <w:contextualSpacing/>
        <w:mirrorIndents/>
        <w:rPr>
          <w:sz w:val="18"/>
          <w:szCs w:val="18"/>
        </w:rPr>
      </w:pPr>
      <w:r w:rsidRPr="00CD2E4B">
        <w:rPr>
          <w:sz w:val="18"/>
          <w:szCs w:val="18"/>
        </w:rPr>
        <w:t>Entgeltlich erworbene immaterielle Vermögensgegenstände werden zu Anschaffungskosten, vermindert um planmäßige lineare Abschreibungen, bilanziert.</w:t>
      </w:r>
    </w:p>
    <w:p w14:paraId="69ECCD5C" w14:textId="77777777" w:rsidR="0087068F" w:rsidRPr="00CD2E4B" w:rsidRDefault="0087068F" w:rsidP="00484323">
      <w:pPr>
        <w:spacing w:before="0"/>
        <w:contextualSpacing/>
        <w:mirrorIndents/>
        <w:rPr>
          <w:sz w:val="18"/>
          <w:szCs w:val="18"/>
        </w:rPr>
      </w:pPr>
    </w:p>
    <w:p w14:paraId="70374A40" w14:textId="4BBAECCD" w:rsidR="002E4D4F" w:rsidRDefault="002E4D4F" w:rsidP="00484323">
      <w:pPr>
        <w:spacing w:before="0"/>
        <w:contextualSpacing/>
        <w:mirrorIndents/>
        <w:rPr>
          <w:sz w:val="18"/>
          <w:szCs w:val="18"/>
        </w:rPr>
      </w:pPr>
      <w:r w:rsidRPr="00CD2E4B">
        <w:rPr>
          <w:sz w:val="18"/>
          <w:szCs w:val="18"/>
        </w:rPr>
        <w:t>Die Sachanlagen sind mit Anschaffungskosten, vermindert um planmäßige und außerplanmäßige Abschreibungen, bilanziert. Bewegliche Sachanlagen werden entsprechend ihrer voraussichtlichen Nutzungsdauer linear abgeschrieben. Die geringwertigen Anlagegüter (bis EUR 800,00) werden im Jahr der Anschaffung voll abgeschrieben bzw. aufwandswirksam erfasst.</w:t>
      </w:r>
    </w:p>
    <w:p w14:paraId="5D1B55A7" w14:textId="77777777" w:rsidR="00E82B21" w:rsidRPr="00CD2E4B" w:rsidRDefault="00E82B21" w:rsidP="00484323">
      <w:pPr>
        <w:spacing w:before="0"/>
        <w:contextualSpacing/>
        <w:mirrorIndents/>
        <w:rPr>
          <w:sz w:val="18"/>
          <w:szCs w:val="18"/>
        </w:rPr>
      </w:pPr>
    </w:p>
    <w:p w14:paraId="14286812" w14:textId="7CB1D80F" w:rsidR="002E4D4F" w:rsidRDefault="002E4D4F" w:rsidP="00484323">
      <w:pPr>
        <w:spacing w:before="0"/>
        <w:contextualSpacing/>
        <w:mirrorIndents/>
        <w:rPr>
          <w:sz w:val="18"/>
          <w:szCs w:val="18"/>
        </w:rPr>
      </w:pPr>
      <w:r w:rsidRPr="00CD2E4B">
        <w:rPr>
          <w:sz w:val="18"/>
          <w:szCs w:val="18"/>
        </w:rPr>
        <w:t>Die immateriellen Vermögensgegenstände werden über einen Zeitraum von drei bis vier Jahren und die Sachanlagen über einen Zeitraum von 10 bis 25 Jahren (Grundstücke, grundstücksgleiche Rechte und Bauten einschließlich der Bauten auf fremden Grundstücken) bzw. drei bis acht Jahren (übrige Sachanlagen) abgeschrieben.</w:t>
      </w:r>
    </w:p>
    <w:p w14:paraId="4DBAA2F9" w14:textId="77777777" w:rsidR="00E82B21" w:rsidRPr="00CD2E4B" w:rsidRDefault="00E82B21" w:rsidP="00484323">
      <w:pPr>
        <w:spacing w:before="0"/>
        <w:contextualSpacing/>
        <w:mirrorIndents/>
        <w:rPr>
          <w:sz w:val="18"/>
          <w:szCs w:val="18"/>
        </w:rPr>
      </w:pPr>
    </w:p>
    <w:p w14:paraId="6D2D46E3" w14:textId="0C0AF71D" w:rsidR="002E4D4F" w:rsidRDefault="002E4D4F" w:rsidP="00484323">
      <w:pPr>
        <w:spacing w:before="0"/>
        <w:contextualSpacing/>
        <w:mirrorIndents/>
        <w:rPr>
          <w:sz w:val="18"/>
          <w:szCs w:val="18"/>
        </w:rPr>
      </w:pPr>
      <w:r w:rsidRPr="00CD2E4B">
        <w:rPr>
          <w:sz w:val="18"/>
          <w:szCs w:val="18"/>
        </w:rPr>
        <w:t>Die Finanzanlagen sind zu Anschaffungskosten abzüglich außerplanmäßiger Abschreibungen bei dauerhafter Wertminderung angesetzt.</w:t>
      </w:r>
    </w:p>
    <w:p w14:paraId="1BB6C00C" w14:textId="77777777" w:rsidR="00E82B21" w:rsidRPr="00CD2E4B" w:rsidRDefault="00E82B21" w:rsidP="00484323">
      <w:pPr>
        <w:spacing w:before="0"/>
        <w:contextualSpacing/>
        <w:mirrorIndents/>
        <w:rPr>
          <w:sz w:val="18"/>
          <w:szCs w:val="18"/>
        </w:rPr>
      </w:pPr>
    </w:p>
    <w:p w14:paraId="7D05762F" w14:textId="4CF23BCA" w:rsidR="002E4D4F" w:rsidRDefault="002E4D4F" w:rsidP="00484323">
      <w:pPr>
        <w:spacing w:before="0"/>
        <w:contextualSpacing/>
        <w:mirrorIndents/>
        <w:rPr>
          <w:sz w:val="18"/>
          <w:szCs w:val="18"/>
        </w:rPr>
      </w:pPr>
      <w:r w:rsidRPr="00CD2E4B">
        <w:rPr>
          <w:sz w:val="18"/>
          <w:szCs w:val="18"/>
        </w:rPr>
        <w:t>Die Bewertung der Roh-, Hilfs- und Betriebsstoffe erfolgt zu durchschnittlichen Anschaffungskosten unter Beachtung des Niederstwertprinzips am Bilanzstichtag.</w:t>
      </w:r>
    </w:p>
    <w:p w14:paraId="03EC8D67" w14:textId="77777777" w:rsidR="00E82B21" w:rsidRPr="00CD2E4B" w:rsidRDefault="00E82B21" w:rsidP="00484323">
      <w:pPr>
        <w:spacing w:before="0"/>
        <w:contextualSpacing/>
        <w:mirrorIndents/>
        <w:rPr>
          <w:sz w:val="18"/>
          <w:szCs w:val="18"/>
        </w:rPr>
      </w:pPr>
    </w:p>
    <w:p w14:paraId="5593F5DD" w14:textId="24F953CE" w:rsidR="002E4D4F" w:rsidRDefault="002E4D4F" w:rsidP="00484323">
      <w:pPr>
        <w:spacing w:before="0"/>
        <w:contextualSpacing/>
        <w:mirrorIndents/>
        <w:rPr>
          <w:sz w:val="18"/>
          <w:szCs w:val="18"/>
        </w:rPr>
      </w:pPr>
      <w:r w:rsidRPr="00CD2E4B">
        <w:rPr>
          <w:sz w:val="18"/>
          <w:szCs w:val="18"/>
        </w:rPr>
        <w:t>Nicht abgerechnete Bauleistungen werden zu Herstellungskosten oder niedrigeren anteiligen Leistungswerten am Bilanzstichtag bewertet; für Verluste aus der Auftragsabwicklung ist erforderlichenfalls eine weitere Abwertung vorgenommen worden. Die verlustfreie Bewertung wurde auf Projekte mit einem Auftragswert höher als TEUR 200 und einer Verlusterwartung über TEUR 10 beschränkt. Bei der Ermittlung der Herstellungskosten werden neben den direkt zurechenbaren Kosten auch angemessene notwendige Baustellengemeinkosten sowie Teile der allgemeinen Verwaltungskosten einschließlich anteiliger Abschreibungen berücksichtigt. Nicht enthalten in den Herstellkosten sind Fremdkapitalzinsen. Bei den Lohn- und Gerätekosten sowie Gemeinkosten handelt es sich um Standardkosten, im Übrigen um Ist-Kosten.</w:t>
      </w:r>
    </w:p>
    <w:p w14:paraId="0C10BFD5" w14:textId="77777777" w:rsidR="00E82B21" w:rsidRPr="00CD2E4B" w:rsidRDefault="00E82B21" w:rsidP="00484323">
      <w:pPr>
        <w:spacing w:before="0"/>
        <w:contextualSpacing/>
        <w:mirrorIndents/>
        <w:rPr>
          <w:sz w:val="18"/>
          <w:szCs w:val="18"/>
        </w:rPr>
      </w:pPr>
    </w:p>
    <w:p w14:paraId="284C04D1" w14:textId="799C187B" w:rsidR="002E4D4F" w:rsidRDefault="002E4D4F" w:rsidP="00484323">
      <w:pPr>
        <w:spacing w:before="0"/>
        <w:contextualSpacing/>
        <w:mirrorIndents/>
        <w:rPr>
          <w:sz w:val="18"/>
          <w:szCs w:val="18"/>
        </w:rPr>
      </w:pPr>
      <w:r w:rsidRPr="00CD2E4B">
        <w:rPr>
          <w:sz w:val="18"/>
          <w:szCs w:val="18"/>
        </w:rPr>
        <w:t>Erhaltene Abschlagszahlungen sind zum Nennwert angesetzt.</w:t>
      </w:r>
    </w:p>
    <w:p w14:paraId="7464192C" w14:textId="77777777" w:rsidR="00E82B21" w:rsidRPr="00CD2E4B" w:rsidRDefault="00E82B21" w:rsidP="00484323">
      <w:pPr>
        <w:spacing w:before="0"/>
        <w:contextualSpacing/>
        <w:mirrorIndents/>
        <w:rPr>
          <w:sz w:val="18"/>
          <w:szCs w:val="18"/>
        </w:rPr>
      </w:pPr>
    </w:p>
    <w:p w14:paraId="07617E20" w14:textId="3F269BCE" w:rsidR="002E4D4F" w:rsidRDefault="002E4D4F" w:rsidP="00484323">
      <w:pPr>
        <w:spacing w:before="0"/>
        <w:contextualSpacing/>
        <w:mirrorIndents/>
        <w:rPr>
          <w:sz w:val="18"/>
          <w:szCs w:val="18"/>
        </w:rPr>
      </w:pPr>
      <w:r w:rsidRPr="00CD2E4B">
        <w:rPr>
          <w:sz w:val="18"/>
          <w:szCs w:val="18"/>
        </w:rPr>
        <w:t>Forderungen und sonstige Vermögensgegenstände sind zum Nennwert angesetzt und werden unter Berücksichtigung aller erkennbaren Risiken bewertet. Den individuellen Risiken wird durch ausreichend bemessene Einzelwertberichtigungen Rechnung getragen.</w:t>
      </w:r>
    </w:p>
    <w:p w14:paraId="4733FA30" w14:textId="77777777" w:rsidR="00E82B21" w:rsidRPr="00CD2E4B" w:rsidRDefault="00E82B21" w:rsidP="00484323">
      <w:pPr>
        <w:spacing w:before="0"/>
        <w:contextualSpacing/>
        <w:mirrorIndents/>
        <w:rPr>
          <w:sz w:val="18"/>
          <w:szCs w:val="18"/>
        </w:rPr>
      </w:pPr>
    </w:p>
    <w:p w14:paraId="42304DF1" w14:textId="3011E0CD" w:rsidR="002E4D4F" w:rsidRDefault="002E4D4F" w:rsidP="00484323">
      <w:pPr>
        <w:spacing w:before="0"/>
        <w:contextualSpacing/>
        <w:mirrorIndents/>
        <w:rPr>
          <w:sz w:val="18"/>
          <w:szCs w:val="18"/>
        </w:rPr>
      </w:pPr>
      <w:r w:rsidRPr="00CD2E4B">
        <w:rPr>
          <w:sz w:val="18"/>
          <w:szCs w:val="18"/>
        </w:rPr>
        <w:t>Aktive Rechnungsabgrenzungsposten werden für Ausgaben vor dem Bilanzstichtag gebildet, die Aufwand für eine bestimmte Zeit nach dem Bilanzstichtag darstellen.</w:t>
      </w:r>
    </w:p>
    <w:p w14:paraId="38E9D863" w14:textId="77777777" w:rsidR="00E82B21" w:rsidRPr="00CD2E4B" w:rsidRDefault="00E82B21" w:rsidP="00484323">
      <w:pPr>
        <w:spacing w:before="0"/>
        <w:contextualSpacing/>
        <w:mirrorIndents/>
        <w:rPr>
          <w:sz w:val="18"/>
          <w:szCs w:val="18"/>
        </w:rPr>
      </w:pPr>
    </w:p>
    <w:p w14:paraId="522AF8DB" w14:textId="7E1F257A" w:rsidR="002E4D4F" w:rsidRDefault="002E4D4F" w:rsidP="00484323">
      <w:pPr>
        <w:spacing w:before="0"/>
        <w:contextualSpacing/>
        <w:mirrorIndents/>
        <w:rPr>
          <w:sz w:val="18"/>
          <w:szCs w:val="18"/>
        </w:rPr>
      </w:pPr>
      <w:r w:rsidRPr="00CD2E4B">
        <w:rPr>
          <w:sz w:val="18"/>
          <w:szCs w:val="18"/>
        </w:rPr>
        <w:t xml:space="preserve">Die Pensionsverpflichtungen wurden nach dem </w:t>
      </w:r>
      <w:proofErr w:type="spellStart"/>
      <w:r w:rsidRPr="00CD2E4B">
        <w:rPr>
          <w:sz w:val="18"/>
          <w:szCs w:val="18"/>
        </w:rPr>
        <w:t>Projected</w:t>
      </w:r>
      <w:proofErr w:type="spellEnd"/>
      <w:r w:rsidRPr="00CD2E4B">
        <w:rPr>
          <w:sz w:val="18"/>
          <w:szCs w:val="18"/>
        </w:rPr>
        <w:t>-Unit-</w:t>
      </w:r>
      <w:proofErr w:type="spellStart"/>
      <w:r w:rsidRPr="00CD2E4B">
        <w:rPr>
          <w:sz w:val="18"/>
          <w:szCs w:val="18"/>
        </w:rPr>
        <w:t>Credit</w:t>
      </w:r>
      <w:proofErr w:type="spellEnd"/>
      <w:r w:rsidRPr="00CD2E4B">
        <w:rPr>
          <w:sz w:val="18"/>
          <w:szCs w:val="18"/>
        </w:rPr>
        <w:t>-Verfahren unter Anwendung versicherungsmathematischer Grundsätze mit einem Zinsfuß von 1,79 % p.a. (Vorjahr: 1,87 %) auf Basis der Richttafeln 2018 G von Prof. Dr. Klaus Heubeck ermittelt. Der angewendete Zinsfuß von 1,79 % entspricht dem durchschnittlichen Marktzins der vergangenen zehn Jahre. Der anzuwendende Zinssatz vor Änderung des § 253 Abs. 2 Satz 1 HGB mit einem Referenzzeitraum von sieben Jahren ist mit 1,45 % ermittelt worden. Der Unterschiedsbetrag (§ 253 Abs. 6 HGB) beträgt EUR 11.432,00. Dieser Unterschiedsbetrag ist ausschüttungs-, aber nicht abführungsgesperrt. Weitere grundlegende Annahmen für die Berechnung der Pensionsrückstellungen sind eine Rentendynamik von 2,0 % (Vorjahr: 1,8 %) und ein Einkommenstrend von 3,0 % (Vorjahr: 3,0 %).</w:t>
      </w:r>
    </w:p>
    <w:p w14:paraId="0BEDBF85" w14:textId="77777777" w:rsidR="00E82B21" w:rsidRPr="00CD2E4B" w:rsidRDefault="00E82B21" w:rsidP="00484323">
      <w:pPr>
        <w:spacing w:before="0"/>
        <w:contextualSpacing/>
        <w:mirrorIndents/>
        <w:rPr>
          <w:sz w:val="18"/>
          <w:szCs w:val="18"/>
        </w:rPr>
      </w:pPr>
    </w:p>
    <w:p w14:paraId="5599CF63" w14:textId="3AD91115" w:rsidR="002E4D4F" w:rsidRDefault="002E4D4F" w:rsidP="00484323">
      <w:pPr>
        <w:spacing w:before="0"/>
        <w:contextualSpacing/>
        <w:mirrorIndents/>
        <w:rPr>
          <w:sz w:val="18"/>
          <w:szCs w:val="18"/>
        </w:rPr>
      </w:pPr>
      <w:r w:rsidRPr="00CD2E4B">
        <w:rPr>
          <w:sz w:val="18"/>
          <w:szCs w:val="18"/>
        </w:rPr>
        <w:t>Die sonstigen Rückstellungen werden in Höhe des Erfüllungsbetrages angesetzt, der nach vernünftiger kaufmännischer Beurteilung notwendig ist. Die sonstigen Rückstellungen mit einer Laufzeit von mehr als einem Jahr werden mit fristadäquaten Zinssätzen abgezinst, die von der Deutschen Bundesbank bekannt gegeben worden sind. Für die Abzinsung der Rückstellungen betragen die Zinssätze für 2022 je nach Restlaufzeit 0,40 % bis 0,48 % (Vorjahr: 0,30 % bis 0,34 %).</w:t>
      </w:r>
    </w:p>
    <w:p w14:paraId="34711C36" w14:textId="77777777" w:rsidR="00E82B21" w:rsidRPr="00CD2E4B" w:rsidRDefault="00E82B21" w:rsidP="00484323">
      <w:pPr>
        <w:spacing w:before="0"/>
        <w:contextualSpacing/>
        <w:mirrorIndents/>
        <w:rPr>
          <w:sz w:val="18"/>
          <w:szCs w:val="18"/>
        </w:rPr>
      </w:pPr>
    </w:p>
    <w:p w14:paraId="08B5DD0A" w14:textId="72540554" w:rsidR="002E4D4F" w:rsidRDefault="002E4D4F" w:rsidP="00484323">
      <w:pPr>
        <w:spacing w:before="0"/>
        <w:contextualSpacing/>
        <w:mirrorIndents/>
        <w:rPr>
          <w:sz w:val="18"/>
          <w:szCs w:val="18"/>
        </w:rPr>
      </w:pPr>
      <w:r w:rsidRPr="00CD2E4B">
        <w:rPr>
          <w:sz w:val="18"/>
          <w:szCs w:val="18"/>
        </w:rPr>
        <w:lastRenderedPageBreak/>
        <w:t>Verbindlichkeiten sind mit ihrem Erfüllungsbetrag angesetzt.</w:t>
      </w:r>
    </w:p>
    <w:p w14:paraId="1C5D4CD2" w14:textId="77777777" w:rsidR="00E82B21" w:rsidRPr="00CD2E4B" w:rsidRDefault="00E82B21" w:rsidP="00484323">
      <w:pPr>
        <w:spacing w:before="0"/>
        <w:contextualSpacing/>
        <w:mirrorIndents/>
        <w:rPr>
          <w:sz w:val="18"/>
          <w:szCs w:val="18"/>
        </w:rPr>
      </w:pPr>
    </w:p>
    <w:p w14:paraId="43ED7477" w14:textId="4258DDF2" w:rsidR="002E4D4F" w:rsidRDefault="002E4D4F" w:rsidP="00484323">
      <w:pPr>
        <w:spacing w:before="0"/>
        <w:contextualSpacing/>
        <w:mirrorIndents/>
        <w:rPr>
          <w:sz w:val="18"/>
          <w:szCs w:val="18"/>
        </w:rPr>
      </w:pPr>
      <w:r w:rsidRPr="00CD2E4B">
        <w:rPr>
          <w:sz w:val="18"/>
          <w:szCs w:val="18"/>
        </w:rPr>
        <w:t>Latente Steuern sind nicht zu bilanzieren, da die EUROVIA Verkehrsbau GmbH als Organgesellschaft kein eigenes steuerpflichtiges Einkommen erzielt und kein Steuerschuldner ist. Insoweit werden unter Hinweis auf DRS 18 Tz. 32 keine latenten Steuern im Abschluss der Organgesellschaft ausgewiesen.</w:t>
      </w:r>
    </w:p>
    <w:p w14:paraId="66475598" w14:textId="77777777" w:rsidR="00E82B21" w:rsidRPr="00CD2E4B" w:rsidRDefault="00E82B21" w:rsidP="00484323">
      <w:pPr>
        <w:spacing w:before="0"/>
        <w:contextualSpacing/>
        <w:mirrorIndents/>
        <w:rPr>
          <w:sz w:val="18"/>
          <w:szCs w:val="18"/>
        </w:rPr>
      </w:pPr>
    </w:p>
    <w:p w14:paraId="0799DD0A" w14:textId="1818A0BB" w:rsidR="002E4D4F" w:rsidRPr="00CD2E4B" w:rsidRDefault="002E4D4F" w:rsidP="00484323">
      <w:pPr>
        <w:spacing w:before="0"/>
        <w:contextualSpacing/>
        <w:mirrorIndents/>
        <w:rPr>
          <w:sz w:val="18"/>
          <w:szCs w:val="18"/>
        </w:rPr>
      </w:pPr>
      <w:r w:rsidRPr="00CD2E4B">
        <w:rPr>
          <w:sz w:val="18"/>
          <w:szCs w:val="18"/>
        </w:rPr>
        <w:t>Umsatzerlöse und Ergebnisse aus Arbeitsgemeinschaften werden zum Zeitpunkt der (Teil-)Abnahme/Verkehrsfreigabe des Bauvorhabens vereinnahmt. Drohende Verluste aus nicht abgerechneten Arbeitsgemeinschaften werden durch Wertberichtigungen auf Forderungen, Verbindlichkeiten oder Rückstellungen berücksichtigt.</w:t>
      </w:r>
    </w:p>
    <w:p w14:paraId="03DAE1F5" w14:textId="77777777" w:rsidR="00A26274" w:rsidRPr="00CD2E4B" w:rsidRDefault="00A26274" w:rsidP="00484323">
      <w:pPr>
        <w:spacing w:before="0"/>
        <w:contextualSpacing/>
        <w:mirrorIndents/>
        <w:rPr>
          <w:sz w:val="18"/>
          <w:szCs w:val="18"/>
        </w:rPr>
      </w:pPr>
    </w:p>
    <w:p w14:paraId="34C17A03" w14:textId="77777777" w:rsidR="002E4D4F" w:rsidRPr="00CD2E4B" w:rsidRDefault="002E4D4F" w:rsidP="00484323">
      <w:pPr>
        <w:spacing w:before="0"/>
        <w:contextualSpacing/>
        <w:mirrorIndents/>
        <w:jc w:val="center"/>
        <w:outlineLvl w:val="3"/>
        <w:rPr>
          <w:b/>
          <w:bCs/>
          <w:sz w:val="18"/>
          <w:szCs w:val="18"/>
        </w:rPr>
      </w:pPr>
      <w:r w:rsidRPr="00CD2E4B">
        <w:rPr>
          <w:b/>
          <w:bCs/>
          <w:sz w:val="18"/>
          <w:szCs w:val="18"/>
        </w:rPr>
        <w:t>Bilanzerläuterungen</w:t>
      </w:r>
    </w:p>
    <w:p w14:paraId="205E34D7" w14:textId="419B1F0F" w:rsidR="0022375B" w:rsidRDefault="002E4D4F" w:rsidP="00BF2677">
      <w:pPr>
        <w:pStyle w:val="Listenabsatz"/>
        <w:numPr>
          <w:ilvl w:val="0"/>
          <w:numId w:val="18"/>
        </w:numPr>
        <w:spacing w:before="0"/>
        <w:mirrorIndents/>
        <w:rPr>
          <w:sz w:val="18"/>
          <w:szCs w:val="18"/>
        </w:rPr>
      </w:pPr>
      <w:r w:rsidRPr="0087068F">
        <w:rPr>
          <w:b/>
          <w:bCs/>
          <w:sz w:val="18"/>
          <w:szCs w:val="18"/>
        </w:rPr>
        <w:t>Anlagevermögen</w:t>
      </w:r>
      <w:r w:rsidRPr="0087068F">
        <w:rPr>
          <w:sz w:val="18"/>
          <w:szCs w:val="18"/>
        </w:rPr>
        <w:t xml:space="preserve"> </w:t>
      </w:r>
    </w:p>
    <w:p w14:paraId="77035877" w14:textId="77777777" w:rsidR="0087068F" w:rsidRPr="0087068F" w:rsidRDefault="0087068F" w:rsidP="0087068F">
      <w:pPr>
        <w:pStyle w:val="Listenabsatz"/>
        <w:spacing w:before="0"/>
        <w:ind w:left="360"/>
        <w:mirrorIndents/>
        <w:rPr>
          <w:sz w:val="18"/>
          <w:szCs w:val="18"/>
        </w:rPr>
      </w:pPr>
    </w:p>
    <w:p w14:paraId="266DD756" w14:textId="75021C2C" w:rsidR="0036796B" w:rsidRDefault="002E4D4F" w:rsidP="0036796B">
      <w:pPr>
        <w:spacing w:before="0"/>
        <w:contextualSpacing/>
        <w:mirrorIndents/>
        <w:rPr>
          <w:sz w:val="18"/>
          <w:szCs w:val="18"/>
        </w:rPr>
      </w:pPr>
      <w:r w:rsidRPr="00CD2E4B">
        <w:rPr>
          <w:sz w:val="18"/>
          <w:szCs w:val="18"/>
        </w:rPr>
        <w:t>Die Aufgliederung der in der Bilanz der EUROVIA Verkehrsbau GmbH zusammengefassten Anlagepositionen und ihre Veränderung im Geschäftsjahr 2022 sind in der beigefügten „Entwicklung des Anlagevermögens“ dargestellt.</w:t>
      </w:r>
    </w:p>
    <w:p w14:paraId="6CFFC66F" w14:textId="77777777" w:rsidR="0036796B" w:rsidRDefault="0036796B" w:rsidP="0036796B">
      <w:pPr>
        <w:spacing w:before="0"/>
        <w:contextualSpacing/>
        <w:mirrorIndents/>
        <w:rPr>
          <w:sz w:val="18"/>
          <w:szCs w:val="18"/>
        </w:rPr>
      </w:pPr>
    </w:p>
    <w:p w14:paraId="45A5C28B" w14:textId="29185B28" w:rsidR="002E4D4F" w:rsidRPr="00CD2E4B" w:rsidRDefault="002E4D4F" w:rsidP="0036796B">
      <w:pPr>
        <w:spacing w:before="0"/>
        <w:contextualSpacing/>
        <w:mirrorIndents/>
        <w:rPr>
          <w:sz w:val="18"/>
          <w:szCs w:val="18"/>
        </w:rPr>
      </w:pPr>
      <w:r w:rsidRPr="00CD2E4B">
        <w:rPr>
          <w:sz w:val="18"/>
          <w:szCs w:val="18"/>
        </w:rPr>
        <w:t>Der Anteilsbesitz setzt sich zum Bilanzstichtag wie folgt zusammen:</w:t>
      </w:r>
    </w:p>
    <w:p w14:paraId="4CDDECDA" w14:textId="77777777" w:rsidR="00A26274" w:rsidRPr="00CD2E4B" w:rsidRDefault="00A26274" w:rsidP="00484323">
      <w:pPr>
        <w:spacing w:before="0"/>
        <w:contextualSpacing/>
        <w:mirrorIndents/>
        <w:rPr>
          <w:sz w:val="18"/>
          <w:szCs w:val="18"/>
        </w:rPr>
      </w:pPr>
    </w:p>
    <w:tbl>
      <w:tblPr>
        <w:tblW w:w="9107" w:type="dxa"/>
        <w:tblCellSpacing w:w="0" w:type="dxa"/>
        <w:tblCellMar>
          <w:top w:w="30" w:type="dxa"/>
          <w:left w:w="30" w:type="dxa"/>
          <w:bottom w:w="30" w:type="dxa"/>
          <w:right w:w="30" w:type="dxa"/>
        </w:tblCellMar>
        <w:tblLook w:val="04A0" w:firstRow="1" w:lastRow="0" w:firstColumn="1" w:lastColumn="0" w:noHBand="0" w:noVBand="1"/>
      </w:tblPr>
      <w:tblGrid>
        <w:gridCol w:w="3574"/>
        <w:gridCol w:w="1701"/>
        <w:gridCol w:w="1134"/>
        <w:gridCol w:w="1184"/>
        <w:gridCol w:w="1514"/>
      </w:tblGrid>
      <w:tr w:rsidR="002E4D4F" w:rsidRPr="00CD2E4B" w14:paraId="45F7EDA0" w14:textId="77777777" w:rsidTr="0087068F">
        <w:trPr>
          <w:trHeight w:val="467"/>
          <w:tblHeader/>
          <w:tblCellSpacing w:w="0" w:type="dxa"/>
        </w:trPr>
        <w:tc>
          <w:tcPr>
            <w:tcW w:w="3574" w:type="dxa"/>
            <w:shd w:val="clear" w:color="auto" w:fill="CDCDCE"/>
            <w:vAlign w:val="bottom"/>
            <w:hideMark/>
          </w:tcPr>
          <w:p w14:paraId="0325371A" w14:textId="77777777" w:rsidR="002E4D4F" w:rsidRPr="00CD2E4B" w:rsidRDefault="002E4D4F" w:rsidP="00B06A1B">
            <w:pPr>
              <w:spacing w:before="0"/>
              <w:contextualSpacing/>
              <w:mirrorIndents/>
              <w:jc w:val="left"/>
              <w:rPr>
                <w:sz w:val="18"/>
                <w:szCs w:val="18"/>
              </w:rPr>
            </w:pPr>
          </w:p>
        </w:tc>
        <w:tc>
          <w:tcPr>
            <w:tcW w:w="1701" w:type="dxa"/>
            <w:shd w:val="clear" w:color="auto" w:fill="CDCDCE"/>
            <w:vAlign w:val="bottom"/>
            <w:hideMark/>
          </w:tcPr>
          <w:p w14:paraId="45BF8370" w14:textId="29D066C8" w:rsidR="002E4D4F" w:rsidRPr="00CD2E4B" w:rsidRDefault="002E4D4F" w:rsidP="00B06A1B">
            <w:pPr>
              <w:spacing w:before="0"/>
              <w:contextualSpacing/>
              <w:mirrorIndents/>
              <w:jc w:val="left"/>
              <w:rPr>
                <w:sz w:val="18"/>
                <w:szCs w:val="18"/>
              </w:rPr>
            </w:pPr>
            <w:r w:rsidRPr="00CD2E4B">
              <w:rPr>
                <w:sz w:val="18"/>
                <w:szCs w:val="18"/>
              </w:rPr>
              <w:t xml:space="preserve">Anteil am Kapital </w:t>
            </w:r>
            <w:r w:rsidR="00B06A1B" w:rsidRPr="00CD2E4B">
              <w:rPr>
                <w:sz w:val="18"/>
                <w:szCs w:val="18"/>
              </w:rPr>
              <w:br/>
            </w:r>
            <w:r w:rsidRPr="00CD2E4B">
              <w:rPr>
                <w:sz w:val="18"/>
                <w:szCs w:val="18"/>
              </w:rPr>
              <w:t>direkt</w:t>
            </w:r>
            <w:r w:rsidRPr="00CD2E4B">
              <w:rPr>
                <w:sz w:val="18"/>
                <w:szCs w:val="18"/>
              </w:rPr>
              <w:br/>
              <w:t>%</w:t>
            </w:r>
          </w:p>
        </w:tc>
        <w:tc>
          <w:tcPr>
            <w:tcW w:w="1134" w:type="dxa"/>
            <w:shd w:val="clear" w:color="auto" w:fill="CDCDCE"/>
            <w:vAlign w:val="bottom"/>
            <w:hideMark/>
          </w:tcPr>
          <w:p w14:paraId="5F2232DC" w14:textId="77777777" w:rsidR="002E4D4F" w:rsidRPr="00CD2E4B" w:rsidRDefault="002E4D4F" w:rsidP="00B06A1B">
            <w:pPr>
              <w:spacing w:before="0"/>
              <w:contextualSpacing/>
              <w:mirrorIndents/>
              <w:jc w:val="left"/>
              <w:rPr>
                <w:sz w:val="18"/>
                <w:szCs w:val="18"/>
              </w:rPr>
            </w:pPr>
            <w:r w:rsidRPr="00CD2E4B">
              <w:rPr>
                <w:sz w:val="18"/>
                <w:szCs w:val="18"/>
              </w:rPr>
              <w:t>insgesamt</w:t>
            </w:r>
            <w:r w:rsidRPr="00CD2E4B">
              <w:rPr>
                <w:sz w:val="18"/>
                <w:szCs w:val="18"/>
              </w:rPr>
              <w:br/>
              <w:t>%</w:t>
            </w:r>
          </w:p>
        </w:tc>
        <w:tc>
          <w:tcPr>
            <w:tcW w:w="1184" w:type="dxa"/>
            <w:shd w:val="clear" w:color="auto" w:fill="CDCDCE"/>
            <w:vAlign w:val="bottom"/>
            <w:hideMark/>
          </w:tcPr>
          <w:p w14:paraId="3E06043A" w14:textId="77777777" w:rsidR="002E4D4F" w:rsidRPr="00CD2E4B" w:rsidRDefault="002E4D4F" w:rsidP="00B06A1B">
            <w:pPr>
              <w:spacing w:before="0"/>
              <w:contextualSpacing/>
              <w:mirrorIndents/>
              <w:jc w:val="left"/>
              <w:rPr>
                <w:sz w:val="18"/>
                <w:szCs w:val="18"/>
              </w:rPr>
            </w:pPr>
            <w:r w:rsidRPr="00CD2E4B">
              <w:rPr>
                <w:sz w:val="18"/>
                <w:szCs w:val="18"/>
              </w:rPr>
              <w:t>Eigenkapital</w:t>
            </w:r>
            <w:r w:rsidRPr="00CD2E4B">
              <w:rPr>
                <w:sz w:val="18"/>
                <w:szCs w:val="18"/>
              </w:rPr>
              <w:br/>
              <w:t>TEUR</w:t>
            </w:r>
          </w:p>
        </w:tc>
        <w:tc>
          <w:tcPr>
            <w:tcW w:w="0" w:type="auto"/>
            <w:shd w:val="clear" w:color="auto" w:fill="CDCDCE"/>
            <w:vAlign w:val="bottom"/>
            <w:hideMark/>
          </w:tcPr>
          <w:p w14:paraId="07DD0AE7" w14:textId="77777777" w:rsidR="002E4D4F" w:rsidRPr="00CD2E4B" w:rsidRDefault="002E4D4F" w:rsidP="00B06A1B">
            <w:pPr>
              <w:spacing w:before="0"/>
              <w:contextualSpacing/>
              <w:mirrorIndents/>
              <w:jc w:val="left"/>
              <w:rPr>
                <w:sz w:val="18"/>
                <w:szCs w:val="18"/>
              </w:rPr>
            </w:pPr>
            <w:r w:rsidRPr="00CD2E4B">
              <w:rPr>
                <w:sz w:val="18"/>
                <w:szCs w:val="18"/>
              </w:rPr>
              <w:t>Jahresergebnis</w:t>
            </w:r>
            <w:r w:rsidRPr="00CD2E4B">
              <w:rPr>
                <w:sz w:val="18"/>
                <w:szCs w:val="18"/>
              </w:rPr>
              <w:br/>
              <w:t>TEUR</w:t>
            </w:r>
          </w:p>
        </w:tc>
      </w:tr>
      <w:tr w:rsidR="002E4D4F" w:rsidRPr="00CD2E4B" w14:paraId="61071137" w14:textId="77777777" w:rsidTr="0087068F">
        <w:trPr>
          <w:trHeight w:val="227"/>
          <w:tblCellSpacing w:w="0" w:type="dxa"/>
        </w:trPr>
        <w:tc>
          <w:tcPr>
            <w:tcW w:w="3574" w:type="dxa"/>
            <w:vAlign w:val="center"/>
            <w:hideMark/>
          </w:tcPr>
          <w:p w14:paraId="5363E552" w14:textId="77777777" w:rsidR="002E4D4F" w:rsidRPr="00CD2E4B" w:rsidRDefault="002E4D4F" w:rsidP="00B06A1B">
            <w:pPr>
              <w:spacing w:before="0"/>
              <w:contextualSpacing/>
              <w:mirrorIndents/>
              <w:jc w:val="left"/>
              <w:rPr>
                <w:sz w:val="18"/>
                <w:szCs w:val="18"/>
              </w:rPr>
            </w:pPr>
            <w:r w:rsidRPr="00CD2E4B">
              <w:rPr>
                <w:sz w:val="18"/>
                <w:szCs w:val="18"/>
              </w:rPr>
              <w:t>Verbundene Unternehmen</w:t>
            </w:r>
          </w:p>
        </w:tc>
        <w:tc>
          <w:tcPr>
            <w:tcW w:w="1701" w:type="dxa"/>
            <w:vAlign w:val="center"/>
            <w:hideMark/>
          </w:tcPr>
          <w:p w14:paraId="3A615E98" w14:textId="77777777" w:rsidR="002E4D4F" w:rsidRPr="00CD2E4B" w:rsidRDefault="002E4D4F" w:rsidP="00B06A1B">
            <w:pPr>
              <w:spacing w:before="0"/>
              <w:contextualSpacing/>
              <w:mirrorIndents/>
              <w:jc w:val="left"/>
              <w:rPr>
                <w:sz w:val="18"/>
                <w:szCs w:val="18"/>
              </w:rPr>
            </w:pPr>
          </w:p>
        </w:tc>
        <w:tc>
          <w:tcPr>
            <w:tcW w:w="1134" w:type="dxa"/>
            <w:vAlign w:val="center"/>
            <w:hideMark/>
          </w:tcPr>
          <w:p w14:paraId="4476C4F6" w14:textId="77777777" w:rsidR="002E4D4F" w:rsidRPr="00CD2E4B" w:rsidRDefault="002E4D4F" w:rsidP="00B06A1B">
            <w:pPr>
              <w:spacing w:before="0"/>
              <w:contextualSpacing/>
              <w:mirrorIndents/>
              <w:jc w:val="left"/>
              <w:rPr>
                <w:sz w:val="18"/>
                <w:szCs w:val="18"/>
              </w:rPr>
            </w:pPr>
          </w:p>
        </w:tc>
        <w:tc>
          <w:tcPr>
            <w:tcW w:w="1184" w:type="dxa"/>
            <w:vAlign w:val="center"/>
            <w:hideMark/>
          </w:tcPr>
          <w:p w14:paraId="1B6EDFBF" w14:textId="77777777" w:rsidR="002E4D4F" w:rsidRPr="00CD2E4B" w:rsidRDefault="002E4D4F" w:rsidP="00B06A1B">
            <w:pPr>
              <w:spacing w:before="0"/>
              <w:contextualSpacing/>
              <w:mirrorIndents/>
              <w:jc w:val="left"/>
              <w:rPr>
                <w:sz w:val="18"/>
                <w:szCs w:val="18"/>
              </w:rPr>
            </w:pPr>
          </w:p>
        </w:tc>
        <w:tc>
          <w:tcPr>
            <w:tcW w:w="0" w:type="auto"/>
            <w:vAlign w:val="center"/>
            <w:hideMark/>
          </w:tcPr>
          <w:p w14:paraId="078A55B7" w14:textId="77777777" w:rsidR="002E4D4F" w:rsidRPr="00CD2E4B" w:rsidRDefault="002E4D4F" w:rsidP="00B06A1B">
            <w:pPr>
              <w:spacing w:before="0"/>
              <w:contextualSpacing/>
              <w:mirrorIndents/>
              <w:jc w:val="left"/>
              <w:rPr>
                <w:sz w:val="18"/>
                <w:szCs w:val="18"/>
              </w:rPr>
            </w:pPr>
          </w:p>
        </w:tc>
      </w:tr>
      <w:tr w:rsidR="002E4D4F" w:rsidRPr="00CD2E4B" w14:paraId="662911B0" w14:textId="77777777" w:rsidTr="0087068F">
        <w:trPr>
          <w:trHeight w:val="227"/>
          <w:tblCellSpacing w:w="0" w:type="dxa"/>
        </w:trPr>
        <w:tc>
          <w:tcPr>
            <w:tcW w:w="3574" w:type="dxa"/>
            <w:shd w:val="clear" w:color="auto" w:fill="F0F0F0"/>
            <w:vAlign w:val="center"/>
            <w:hideMark/>
          </w:tcPr>
          <w:p w14:paraId="672C4C9C" w14:textId="1888054E" w:rsidR="002E4D4F" w:rsidRPr="00CD2E4B" w:rsidRDefault="002E4D4F" w:rsidP="00B06A1B">
            <w:pPr>
              <w:spacing w:before="0"/>
              <w:contextualSpacing/>
              <w:mirrorIndents/>
              <w:jc w:val="left"/>
              <w:rPr>
                <w:sz w:val="18"/>
                <w:szCs w:val="18"/>
              </w:rPr>
            </w:pPr>
            <w:r w:rsidRPr="00CD2E4B">
              <w:rPr>
                <w:sz w:val="18"/>
                <w:szCs w:val="18"/>
              </w:rPr>
              <w:t>VBU Verkehrsbau Union GmbH, Berlin</w:t>
            </w:r>
          </w:p>
        </w:tc>
        <w:tc>
          <w:tcPr>
            <w:tcW w:w="1701" w:type="dxa"/>
            <w:shd w:val="clear" w:color="auto" w:fill="F0F0F0"/>
            <w:vAlign w:val="center"/>
            <w:hideMark/>
          </w:tcPr>
          <w:p w14:paraId="2983F083" w14:textId="77777777" w:rsidR="002E4D4F" w:rsidRPr="00CD2E4B" w:rsidRDefault="002E4D4F" w:rsidP="00B06A1B">
            <w:pPr>
              <w:spacing w:before="0"/>
              <w:contextualSpacing/>
              <w:mirrorIndents/>
              <w:jc w:val="left"/>
              <w:rPr>
                <w:sz w:val="18"/>
                <w:szCs w:val="18"/>
              </w:rPr>
            </w:pPr>
            <w:r w:rsidRPr="00CD2E4B">
              <w:rPr>
                <w:sz w:val="18"/>
                <w:szCs w:val="18"/>
              </w:rPr>
              <w:t>100,0</w:t>
            </w:r>
          </w:p>
        </w:tc>
        <w:tc>
          <w:tcPr>
            <w:tcW w:w="1134" w:type="dxa"/>
            <w:shd w:val="clear" w:color="auto" w:fill="F0F0F0"/>
            <w:vAlign w:val="center"/>
            <w:hideMark/>
          </w:tcPr>
          <w:p w14:paraId="45AEA463" w14:textId="77777777" w:rsidR="002E4D4F" w:rsidRPr="00CD2E4B" w:rsidRDefault="002E4D4F" w:rsidP="00B06A1B">
            <w:pPr>
              <w:spacing w:before="0"/>
              <w:contextualSpacing/>
              <w:mirrorIndents/>
              <w:jc w:val="left"/>
              <w:rPr>
                <w:sz w:val="18"/>
                <w:szCs w:val="18"/>
              </w:rPr>
            </w:pPr>
            <w:r w:rsidRPr="00CD2E4B">
              <w:rPr>
                <w:sz w:val="18"/>
                <w:szCs w:val="18"/>
              </w:rPr>
              <w:t>100,0</w:t>
            </w:r>
          </w:p>
        </w:tc>
        <w:tc>
          <w:tcPr>
            <w:tcW w:w="1184" w:type="dxa"/>
            <w:shd w:val="clear" w:color="auto" w:fill="F0F0F0"/>
            <w:vAlign w:val="center"/>
            <w:hideMark/>
          </w:tcPr>
          <w:p w14:paraId="57E538CA" w14:textId="77777777" w:rsidR="002E4D4F" w:rsidRPr="00CD2E4B" w:rsidRDefault="002E4D4F" w:rsidP="00B06A1B">
            <w:pPr>
              <w:spacing w:before="0"/>
              <w:contextualSpacing/>
              <w:mirrorIndents/>
              <w:jc w:val="left"/>
              <w:rPr>
                <w:sz w:val="18"/>
                <w:szCs w:val="18"/>
              </w:rPr>
            </w:pPr>
            <w:r w:rsidRPr="00CD2E4B">
              <w:rPr>
                <w:sz w:val="18"/>
                <w:szCs w:val="18"/>
              </w:rPr>
              <w:t>19.530</w:t>
            </w:r>
          </w:p>
        </w:tc>
        <w:tc>
          <w:tcPr>
            <w:tcW w:w="0" w:type="auto"/>
            <w:shd w:val="clear" w:color="auto" w:fill="F0F0F0"/>
            <w:vAlign w:val="center"/>
            <w:hideMark/>
          </w:tcPr>
          <w:p w14:paraId="0FC07A86" w14:textId="77777777" w:rsidR="002E4D4F" w:rsidRPr="00CD2E4B" w:rsidRDefault="002E4D4F" w:rsidP="00B06A1B">
            <w:pPr>
              <w:spacing w:before="0"/>
              <w:contextualSpacing/>
              <w:mirrorIndents/>
              <w:jc w:val="left"/>
              <w:rPr>
                <w:sz w:val="18"/>
                <w:szCs w:val="18"/>
              </w:rPr>
            </w:pPr>
            <w:r w:rsidRPr="00CD2E4B">
              <w:rPr>
                <w:sz w:val="18"/>
                <w:szCs w:val="18"/>
              </w:rPr>
              <w:t>1.424</w:t>
            </w:r>
          </w:p>
        </w:tc>
      </w:tr>
    </w:tbl>
    <w:p w14:paraId="04BC4388" w14:textId="77777777" w:rsidR="0022375B" w:rsidRDefault="0022375B" w:rsidP="00484323">
      <w:pPr>
        <w:spacing w:before="0"/>
        <w:contextualSpacing/>
        <w:mirrorIndents/>
        <w:rPr>
          <w:b/>
          <w:bCs/>
          <w:sz w:val="18"/>
          <w:szCs w:val="18"/>
        </w:rPr>
      </w:pPr>
    </w:p>
    <w:p w14:paraId="509870D1" w14:textId="2D155F68" w:rsidR="002E4D4F" w:rsidRPr="0022375B" w:rsidRDefault="002E4D4F" w:rsidP="0022375B">
      <w:pPr>
        <w:pStyle w:val="Listenabsatz"/>
        <w:numPr>
          <w:ilvl w:val="0"/>
          <w:numId w:val="18"/>
        </w:numPr>
        <w:spacing w:before="0"/>
        <w:mirrorIndents/>
        <w:rPr>
          <w:sz w:val="18"/>
          <w:szCs w:val="18"/>
        </w:rPr>
      </w:pPr>
      <w:r w:rsidRPr="0022375B">
        <w:rPr>
          <w:b/>
          <w:bCs/>
          <w:sz w:val="18"/>
          <w:szCs w:val="18"/>
        </w:rPr>
        <w:t>Vorräte</w:t>
      </w:r>
      <w:r w:rsidRPr="0022375B">
        <w:rPr>
          <w:sz w:val="18"/>
          <w:szCs w:val="18"/>
        </w:rPr>
        <w:t xml:space="preserve"> </w:t>
      </w:r>
    </w:p>
    <w:p w14:paraId="2B245D20" w14:textId="77777777" w:rsidR="0022375B" w:rsidRPr="0022375B" w:rsidRDefault="0022375B" w:rsidP="0022375B">
      <w:pPr>
        <w:pStyle w:val="Listenabsatz"/>
        <w:spacing w:before="0"/>
        <w:mirrorIndents/>
        <w:rPr>
          <w:sz w:val="18"/>
          <w:szCs w:val="18"/>
        </w:rPr>
      </w:pPr>
    </w:p>
    <w:p w14:paraId="032CE0A4" w14:textId="19E34587" w:rsidR="002E4D4F" w:rsidRPr="0036796B" w:rsidRDefault="002E4D4F" w:rsidP="00484323">
      <w:pPr>
        <w:spacing w:before="0"/>
        <w:contextualSpacing/>
        <w:mirrorIndents/>
        <w:rPr>
          <w:spacing w:val="-4"/>
          <w:sz w:val="18"/>
          <w:szCs w:val="18"/>
        </w:rPr>
      </w:pPr>
      <w:r w:rsidRPr="0036796B">
        <w:rPr>
          <w:spacing w:val="-4"/>
          <w:sz w:val="18"/>
          <w:szCs w:val="18"/>
        </w:rPr>
        <w:t>Die erhaltenen Abschlagszahlungen werden je Einzelauftrag bis zur Höhe der Mittelbindung von den Vorräten offen abgesetzt; darüberhinausgehende Anzahlungen sind unter den Verbindlichkeiten ausgewiesen.</w:t>
      </w:r>
    </w:p>
    <w:p w14:paraId="3EEF1420" w14:textId="77777777" w:rsidR="0022375B" w:rsidRPr="00CD2E4B" w:rsidRDefault="0022375B" w:rsidP="00484323">
      <w:pPr>
        <w:spacing w:before="0"/>
        <w:contextualSpacing/>
        <w:mirrorIndents/>
        <w:rPr>
          <w:sz w:val="18"/>
          <w:szCs w:val="18"/>
        </w:rPr>
      </w:pPr>
    </w:p>
    <w:p w14:paraId="6BB29777" w14:textId="08CF9717" w:rsidR="002E4D4F" w:rsidRDefault="002E4D4F" w:rsidP="00484323">
      <w:pPr>
        <w:spacing w:before="0"/>
        <w:contextualSpacing/>
        <w:mirrorIndents/>
        <w:rPr>
          <w:sz w:val="18"/>
          <w:szCs w:val="18"/>
        </w:rPr>
      </w:pPr>
      <w:r w:rsidRPr="00CD2E4B">
        <w:rPr>
          <w:sz w:val="18"/>
          <w:szCs w:val="18"/>
        </w:rPr>
        <w:t>Im Rahmen der verlustfreien Bewertung sind auch die Verluste, die sich aus der Fortführung der zum Bilanzstichtag noch nicht fertiggestellten Baumaßnahmen voraussichtlich ergeben werden, aktivisch - soweit über die Bauaufwendungen abgedeckt - abgesetzt worden.</w:t>
      </w:r>
    </w:p>
    <w:p w14:paraId="1EE413CA" w14:textId="77777777" w:rsidR="0022375B" w:rsidRPr="00CD2E4B" w:rsidRDefault="0022375B" w:rsidP="00484323">
      <w:pPr>
        <w:spacing w:before="0"/>
        <w:contextualSpacing/>
        <w:mirrorIndents/>
        <w:rPr>
          <w:sz w:val="18"/>
          <w:szCs w:val="18"/>
        </w:rPr>
      </w:pPr>
    </w:p>
    <w:p w14:paraId="3D69B0A9" w14:textId="2ED7FC55" w:rsidR="002E4D4F" w:rsidRDefault="002E4D4F" w:rsidP="00484323">
      <w:pPr>
        <w:spacing w:before="0"/>
        <w:contextualSpacing/>
        <w:mirrorIndents/>
        <w:rPr>
          <w:sz w:val="18"/>
          <w:szCs w:val="18"/>
        </w:rPr>
      </w:pPr>
      <w:r w:rsidRPr="00CD2E4B">
        <w:rPr>
          <w:b/>
          <w:bCs/>
          <w:sz w:val="18"/>
          <w:szCs w:val="18"/>
        </w:rPr>
        <w:t>(3) Forderungen und sonstige Vermögensgegenstände</w:t>
      </w:r>
      <w:r w:rsidRPr="00CD2E4B">
        <w:rPr>
          <w:sz w:val="18"/>
          <w:szCs w:val="18"/>
        </w:rPr>
        <w:t xml:space="preserve"> </w:t>
      </w:r>
    </w:p>
    <w:p w14:paraId="2EF81B74" w14:textId="77777777" w:rsidR="0022375B" w:rsidRPr="00CD2E4B" w:rsidRDefault="0022375B" w:rsidP="00484323">
      <w:pPr>
        <w:spacing w:before="0"/>
        <w:contextualSpacing/>
        <w:mirrorIndents/>
        <w:rPr>
          <w:sz w:val="18"/>
          <w:szCs w:val="18"/>
        </w:rPr>
      </w:pPr>
    </w:p>
    <w:p w14:paraId="1AAB1AB0" w14:textId="7F41EB0F" w:rsidR="002E4D4F" w:rsidRDefault="002E4D4F" w:rsidP="00484323">
      <w:pPr>
        <w:spacing w:before="0"/>
        <w:contextualSpacing/>
        <w:mirrorIndents/>
        <w:rPr>
          <w:sz w:val="18"/>
          <w:szCs w:val="18"/>
        </w:rPr>
      </w:pPr>
      <w:r w:rsidRPr="00CD2E4B">
        <w:rPr>
          <w:sz w:val="18"/>
          <w:szCs w:val="18"/>
        </w:rPr>
        <w:t>Bei den Forderungen aus Lieferungen und Leistungen handelt es sich um Ansprüche aus teilschluss- und schlussgerechneten Projekten.</w:t>
      </w:r>
    </w:p>
    <w:p w14:paraId="1EE387F3" w14:textId="77777777" w:rsidR="0022375B" w:rsidRPr="00CD2E4B" w:rsidRDefault="0022375B" w:rsidP="00484323">
      <w:pPr>
        <w:spacing w:before="0"/>
        <w:contextualSpacing/>
        <w:mirrorIndents/>
        <w:rPr>
          <w:sz w:val="18"/>
          <w:szCs w:val="18"/>
        </w:rPr>
      </w:pPr>
    </w:p>
    <w:p w14:paraId="312B9CDE" w14:textId="74E3DF6C" w:rsidR="002E4D4F" w:rsidRDefault="002E4D4F" w:rsidP="00484323">
      <w:pPr>
        <w:spacing w:before="0"/>
        <w:contextualSpacing/>
        <w:mirrorIndents/>
        <w:rPr>
          <w:sz w:val="18"/>
          <w:szCs w:val="18"/>
        </w:rPr>
      </w:pPr>
      <w:r w:rsidRPr="00CD2E4B">
        <w:rPr>
          <w:sz w:val="18"/>
          <w:szCs w:val="18"/>
        </w:rPr>
        <w:t>Die Forderungen gegen Arbeitsgemeinschaften (TEUR 5.367; Vorjahr: TEUR 1.784) setzen sich aus Gesellschafterleistungen, Gewinnansprüchen und aus der Verrechnung mit Gemeinschaftsbaustellen, ggf. abzüglich drohender Verlustübernahmen, zusammen.</w:t>
      </w:r>
    </w:p>
    <w:p w14:paraId="64FF1D3B" w14:textId="77777777" w:rsidR="0022375B" w:rsidRPr="00CD2E4B" w:rsidRDefault="0022375B" w:rsidP="00484323">
      <w:pPr>
        <w:spacing w:before="0"/>
        <w:contextualSpacing/>
        <w:mirrorIndents/>
        <w:rPr>
          <w:sz w:val="18"/>
          <w:szCs w:val="18"/>
        </w:rPr>
      </w:pPr>
    </w:p>
    <w:p w14:paraId="712DBCB3" w14:textId="2A1148F6" w:rsidR="002E4D4F" w:rsidRDefault="002E4D4F" w:rsidP="00484323">
      <w:pPr>
        <w:spacing w:before="0"/>
        <w:contextualSpacing/>
        <w:mirrorIndents/>
        <w:rPr>
          <w:sz w:val="18"/>
          <w:szCs w:val="18"/>
        </w:rPr>
      </w:pPr>
      <w:r w:rsidRPr="00CD2E4B">
        <w:rPr>
          <w:sz w:val="18"/>
          <w:szCs w:val="18"/>
        </w:rPr>
        <w:t>Die Forderungen gegen verbundene Unternehmen (TEUR 611; Vorjahr: TEUR 600) betreffen vollumfänglich Forderungen aus dem Lieferungs- und Leistungsverkehr.</w:t>
      </w:r>
    </w:p>
    <w:p w14:paraId="7428C7C0" w14:textId="77777777" w:rsidR="0022375B" w:rsidRPr="00CD2E4B" w:rsidRDefault="0022375B" w:rsidP="00484323">
      <w:pPr>
        <w:spacing w:before="0"/>
        <w:contextualSpacing/>
        <w:mirrorIndents/>
        <w:rPr>
          <w:sz w:val="18"/>
          <w:szCs w:val="18"/>
        </w:rPr>
      </w:pPr>
    </w:p>
    <w:p w14:paraId="02AD06E2" w14:textId="5B840E67" w:rsidR="002E4D4F" w:rsidRDefault="002E4D4F" w:rsidP="00484323">
      <w:pPr>
        <w:spacing w:before="0"/>
        <w:contextualSpacing/>
        <w:mirrorIndents/>
        <w:rPr>
          <w:sz w:val="18"/>
          <w:szCs w:val="18"/>
        </w:rPr>
      </w:pPr>
      <w:r w:rsidRPr="00CD2E4B">
        <w:rPr>
          <w:sz w:val="18"/>
          <w:szCs w:val="18"/>
        </w:rPr>
        <w:t>Die Forderungen gegen Gesellschafter in Höhe von TEUR 119.507 (Vorjahr: TEUR 140.185) betreffen vollumfänglich Forderungen aus dem Cash-Pooling (TEUR 119.507; Vorjahr: TEUR 140.185).</w:t>
      </w:r>
    </w:p>
    <w:p w14:paraId="742976C8" w14:textId="77777777" w:rsidR="0022375B" w:rsidRPr="00CD2E4B" w:rsidRDefault="0022375B" w:rsidP="00484323">
      <w:pPr>
        <w:spacing w:before="0"/>
        <w:contextualSpacing/>
        <w:mirrorIndents/>
        <w:rPr>
          <w:sz w:val="18"/>
          <w:szCs w:val="18"/>
        </w:rPr>
      </w:pPr>
    </w:p>
    <w:p w14:paraId="42EDB649" w14:textId="75BED00A" w:rsidR="002E4D4F" w:rsidRDefault="002E4D4F" w:rsidP="00484323">
      <w:pPr>
        <w:spacing w:before="0"/>
        <w:contextualSpacing/>
        <w:mirrorIndents/>
        <w:rPr>
          <w:sz w:val="18"/>
          <w:szCs w:val="18"/>
        </w:rPr>
      </w:pPr>
      <w:r w:rsidRPr="00CD2E4B">
        <w:rPr>
          <w:sz w:val="18"/>
          <w:szCs w:val="18"/>
        </w:rPr>
        <w:t>Die sonstigen Vermögensgegenstände enthalten u.a. Forderungen im Rahmen der sozialen Sicherheit (TEUR 5.419; Vorjahr: TEUR 4.362), vor allem gegen die Urlaubskasse des deutschen Baugewerbes, sowie andere Forderungen außerhalb des Lieferungs- und Leistungsverkehrs.</w:t>
      </w:r>
    </w:p>
    <w:p w14:paraId="343FF35D" w14:textId="77777777" w:rsidR="0022375B" w:rsidRPr="00CD2E4B" w:rsidRDefault="0022375B" w:rsidP="00484323">
      <w:pPr>
        <w:spacing w:before="0"/>
        <w:contextualSpacing/>
        <w:mirrorIndents/>
        <w:rPr>
          <w:sz w:val="18"/>
          <w:szCs w:val="18"/>
        </w:rPr>
      </w:pPr>
    </w:p>
    <w:p w14:paraId="6CFFE46A" w14:textId="77777777" w:rsidR="00A360DC" w:rsidRDefault="002E4D4F" w:rsidP="00A360DC">
      <w:pPr>
        <w:spacing w:before="0"/>
        <w:contextualSpacing/>
        <w:mirrorIndents/>
        <w:rPr>
          <w:sz w:val="18"/>
          <w:szCs w:val="18"/>
        </w:rPr>
      </w:pPr>
      <w:r w:rsidRPr="00CD2E4B">
        <w:rPr>
          <w:sz w:val="18"/>
          <w:szCs w:val="18"/>
        </w:rPr>
        <w:t>Alle Forderungen und sonstigen Vermögensgegenstände haben wie im Vorjahr eine Restlaufzeit von bis zu einem Jahr.</w:t>
      </w:r>
    </w:p>
    <w:p w14:paraId="5B19CE4F" w14:textId="77777777" w:rsidR="00A360DC" w:rsidRDefault="00A360DC" w:rsidP="00A360DC">
      <w:pPr>
        <w:spacing w:before="0"/>
        <w:contextualSpacing/>
        <w:mirrorIndents/>
        <w:rPr>
          <w:b/>
          <w:bCs/>
          <w:sz w:val="18"/>
          <w:szCs w:val="18"/>
          <w:highlight w:val="yellow"/>
        </w:rPr>
      </w:pPr>
    </w:p>
    <w:p w14:paraId="524108A3" w14:textId="3A5BDDB7" w:rsidR="002E4D4F" w:rsidRPr="00A360DC" w:rsidRDefault="00A360DC" w:rsidP="00A360DC">
      <w:pPr>
        <w:spacing w:before="0"/>
        <w:contextualSpacing/>
        <w:mirrorIndents/>
        <w:rPr>
          <w:sz w:val="18"/>
          <w:szCs w:val="18"/>
        </w:rPr>
      </w:pPr>
      <w:r w:rsidRPr="00CD2E4B">
        <w:rPr>
          <w:b/>
          <w:bCs/>
          <w:sz w:val="18"/>
          <w:szCs w:val="18"/>
        </w:rPr>
        <w:t>(</w:t>
      </w:r>
      <w:r>
        <w:rPr>
          <w:b/>
          <w:bCs/>
          <w:sz w:val="18"/>
          <w:szCs w:val="18"/>
        </w:rPr>
        <w:t>4</w:t>
      </w:r>
      <w:r w:rsidRPr="00CD2E4B">
        <w:rPr>
          <w:b/>
          <w:bCs/>
          <w:sz w:val="18"/>
          <w:szCs w:val="18"/>
        </w:rPr>
        <w:t xml:space="preserve">) </w:t>
      </w:r>
      <w:r w:rsidR="002E4D4F" w:rsidRPr="00A360DC">
        <w:rPr>
          <w:b/>
          <w:bCs/>
          <w:sz w:val="18"/>
          <w:szCs w:val="18"/>
        </w:rPr>
        <w:t>Kassenbestand, Guthaben bei Kreditinstituten</w:t>
      </w:r>
      <w:r w:rsidR="002E4D4F" w:rsidRPr="00A360DC">
        <w:rPr>
          <w:sz w:val="18"/>
          <w:szCs w:val="18"/>
        </w:rPr>
        <w:t xml:space="preserve"> </w:t>
      </w:r>
    </w:p>
    <w:p w14:paraId="7A904F39" w14:textId="77777777" w:rsidR="0036796B" w:rsidRDefault="0036796B" w:rsidP="00484323">
      <w:pPr>
        <w:spacing w:before="0"/>
        <w:contextualSpacing/>
        <w:mirrorIndents/>
        <w:rPr>
          <w:sz w:val="18"/>
          <w:szCs w:val="18"/>
        </w:rPr>
      </w:pPr>
    </w:p>
    <w:p w14:paraId="23F538A6" w14:textId="2B6C734E" w:rsidR="002E4D4F" w:rsidRDefault="002E4D4F" w:rsidP="00484323">
      <w:pPr>
        <w:spacing w:before="0"/>
        <w:contextualSpacing/>
        <w:mirrorIndents/>
        <w:rPr>
          <w:sz w:val="18"/>
          <w:szCs w:val="18"/>
        </w:rPr>
      </w:pPr>
      <w:r w:rsidRPr="00CD2E4B">
        <w:rPr>
          <w:sz w:val="18"/>
          <w:szCs w:val="18"/>
        </w:rPr>
        <w:t>Hierunter sind Guthaben bei Kreditinstituten und Kassenbestände ausgewiesen.</w:t>
      </w:r>
    </w:p>
    <w:p w14:paraId="118AED35" w14:textId="01977A05" w:rsidR="002E4D4F" w:rsidRDefault="002E4D4F" w:rsidP="00484323">
      <w:pPr>
        <w:spacing w:before="0"/>
        <w:contextualSpacing/>
        <w:mirrorIndents/>
        <w:rPr>
          <w:sz w:val="18"/>
          <w:szCs w:val="18"/>
        </w:rPr>
      </w:pPr>
      <w:r w:rsidRPr="00CD2E4B">
        <w:rPr>
          <w:b/>
          <w:bCs/>
          <w:sz w:val="18"/>
          <w:szCs w:val="18"/>
        </w:rPr>
        <w:lastRenderedPageBreak/>
        <w:t>(5) Gezeichnetes Kapital</w:t>
      </w:r>
      <w:r w:rsidRPr="00CD2E4B">
        <w:rPr>
          <w:sz w:val="18"/>
          <w:szCs w:val="18"/>
        </w:rPr>
        <w:t xml:space="preserve"> </w:t>
      </w:r>
    </w:p>
    <w:p w14:paraId="2B30C658" w14:textId="77777777" w:rsidR="0022375B" w:rsidRPr="00CD2E4B" w:rsidRDefault="0022375B" w:rsidP="00484323">
      <w:pPr>
        <w:spacing w:before="0"/>
        <w:contextualSpacing/>
        <w:mirrorIndents/>
        <w:rPr>
          <w:sz w:val="18"/>
          <w:szCs w:val="18"/>
        </w:rPr>
      </w:pPr>
    </w:p>
    <w:p w14:paraId="19BAC6E0" w14:textId="746DA8F3" w:rsidR="002E4D4F" w:rsidRDefault="002E4D4F" w:rsidP="00484323">
      <w:pPr>
        <w:spacing w:before="0"/>
        <w:contextualSpacing/>
        <w:mirrorIndents/>
        <w:rPr>
          <w:sz w:val="18"/>
          <w:szCs w:val="18"/>
        </w:rPr>
      </w:pPr>
      <w:r w:rsidRPr="00CD2E4B">
        <w:rPr>
          <w:sz w:val="18"/>
          <w:szCs w:val="18"/>
        </w:rPr>
        <w:t>Das voll eingezahlte Stammkapital der EUROVIA Verkehrsbau GmbH beträgt unverändert TEUR 15.350 und wird zu 100 % von der VINCI Construction GmbH, Berlin, gehalten.</w:t>
      </w:r>
    </w:p>
    <w:p w14:paraId="2DF76957" w14:textId="77777777" w:rsidR="0022375B" w:rsidRPr="00CD2E4B" w:rsidRDefault="0022375B" w:rsidP="00484323">
      <w:pPr>
        <w:spacing w:before="0"/>
        <w:contextualSpacing/>
        <w:mirrorIndents/>
        <w:rPr>
          <w:sz w:val="18"/>
          <w:szCs w:val="18"/>
        </w:rPr>
      </w:pPr>
    </w:p>
    <w:p w14:paraId="2D6C30D4" w14:textId="0790FA36" w:rsidR="002E4D4F" w:rsidRDefault="002E4D4F" w:rsidP="00484323">
      <w:pPr>
        <w:spacing w:before="0"/>
        <w:contextualSpacing/>
        <w:mirrorIndents/>
        <w:rPr>
          <w:sz w:val="18"/>
          <w:szCs w:val="18"/>
        </w:rPr>
      </w:pPr>
      <w:r w:rsidRPr="00CD2E4B">
        <w:rPr>
          <w:sz w:val="18"/>
          <w:szCs w:val="18"/>
        </w:rPr>
        <w:t xml:space="preserve">Die Gesellschaft, die den Konzernabschluss für den größten und kleinsten Kreis von Unternehmen aufstellt, in den der Jahresabschluss der EUROVIA Verkehrsbau GmbH einbezogen wird, ist die VINCI S.A., 1973, </w:t>
      </w:r>
      <w:proofErr w:type="spellStart"/>
      <w:r w:rsidRPr="00CD2E4B">
        <w:rPr>
          <w:sz w:val="18"/>
          <w:szCs w:val="18"/>
        </w:rPr>
        <w:t>boulevard</w:t>
      </w:r>
      <w:proofErr w:type="spellEnd"/>
      <w:r w:rsidRPr="00CD2E4B">
        <w:rPr>
          <w:sz w:val="18"/>
          <w:szCs w:val="18"/>
        </w:rPr>
        <w:t xml:space="preserve"> de la Défense, 92500 Nanterre, Frankreich. Der nach den von der EU übernommenen IFRS aufgestellte Konzernabschluss wird in deutscher Sprache im Unternehmensregister (VINCI Deutschland GmbH, HRB 2995, Amtsgericht Ludwigshafen am Rhein) offengelegt werden. Aus diesem Grund ist die EUROVIA Verkehrsbau GmbH gemäß § 291 HGB von der Verpflichtung, einen Konzernabschluss und einen Konzernlagebericht aufzustellen, befreit.</w:t>
      </w:r>
    </w:p>
    <w:p w14:paraId="5FDBA7A8" w14:textId="77777777" w:rsidR="0022375B" w:rsidRPr="00CD2E4B" w:rsidRDefault="0022375B" w:rsidP="00484323">
      <w:pPr>
        <w:spacing w:before="0"/>
        <w:contextualSpacing/>
        <w:mirrorIndents/>
        <w:rPr>
          <w:sz w:val="18"/>
          <w:szCs w:val="18"/>
        </w:rPr>
      </w:pPr>
    </w:p>
    <w:p w14:paraId="2A9A0A5C" w14:textId="08BBC129" w:rsidR="002E4D4F" w:rsidRDefault="002E4D4F" w:rsidP="00484323">
      <w:pPr>
        <w:spacing w:before="0"/>
        <w:contextualSpacing/>
        <w:mirrorIndents/>
        <w:rPr>
          <w:sz w:val="18"/>
          <w:szCs w:val="18"/>
        </w:rPr>
      </w:pPr>
      <w:r w:rsidRPr="00CD2E4B">
        <w:rPr>
          <w:sz w:val="18"/>
          <w:szCs w:val="18"/>
        </w:rPr>
        <w:t>Der Ort der Offenlegung ist:</w:t>
      </w:r>
    </w:p>
    <w:p w14:paraId="728C40FD" w14:textId="77777777" w:rsidR="002E4D4F" w:rsidRPr="00CD2E4B" w:rsidRDefault="002E4D4F" w:rsidP="00484323">
      <w:pPr>
        <w:spacing w:before="0"/>
        <w:contextualSpacing/>
        <w:mirrorIndents/>
        <w:rPr>
          <w:sz w:val="18"/>
          <w:szCs w:val="18"/>
        </w:rPr>
      </w:pPr>
      <w:proofErr w:type="spellStart"/>
      <w:r w:rsidRPr="00CD2E4B">
        <w:rPr>
          <w:sz w:val="18"/>
          <w:szCs w:val="18"/>
        </w:rPr>
        <w:t>Greffe</w:t>
      </w:r>
      <w:proofErr w:type="spellEnd"/>
      <w:r w:rsidRPr="00CD2E4B">
        <w:rPr>
          <w:sz w:val="18"/>
          <w:szCs w:val="18"/>
        </w:rPr>
        <w:t xml:space="preserve"> du Tribunal de Commerce de Nanterre</w:t>
      </w:r>
    </w:p>
    <w:p w14:paraId="09A61463" w14:textId="77777777" w:rsidR="002E4D4F" w:rsidRPr="00CD2E4B" w:rsidRDefault="002E4D4F" w:rsidP="00484323">
      <w:pPr>
        <w:spacing w:before="0"/>
        <w:contextualSpacing/>
        <w:mirrorIndents/>
        <w:rPr>
          <w:sz w:val="18"/>
          <w:szCs w:val="18"/>
        </w:rPr>
      </w:pPr>
      <w:r w:rsidRPr="00CD2E4B">
        <w:rPr>
          <w:sz w:val="18"/>
          <w:szCs w:val="18"/>
        </w:rPr>
        <w:t xml:space="preserve">4, </w:t>
      </w:r>
      <w:proofErr w:type="spellStart"/>
      <w:r w:rsidRPr="00CD2E4B">
        <w:rPr>
          <w:sz w:val="18"/>
          <w:szCs w:val="18"/>
        </w:rPr>
        <w:t>rue</w:t>
      </w:r>
      <w:proofErr w:type="spellEnd"/>
      <w:r w:rsidRPr="00CD2E4B">
        <w:rPr>
          <w:sz w:val="18"/>
          <w:szCs w:val="18"/>
        </w:rPr>
        <w:t xml:space="preserve"> Pablo Neruda</w:t>
      </w:r>
    </w:p>
    <w:p w14:paraId="4368D1C9" w14:textId="77777777" w:rsidR="002E4D4F" w:rsidRPr="00CD2E4B" w:rsidRDefault="002E4D4F" w:rsidP="00484323">
      <w:pPr>
        <w:spacing w:before="0"/>
        <w:contextualSpacing/>
        <w:mirrorIndents/>
        <w:rPr>
          <w:sz w:val="18"/>
          <w:szCs w:val="18"/>
        </w:rPr>
      </w:pPr>
      <w:r w:rsidRPr="00CD2E4B">
        <w:rPr>
          <w:sz w:val="18"/>
          <w:szCs w:val="18"/>
        </w:rPr>
        <w:t xml:space="preserve">92020 Nanterre </w:t>
      </w:r>
      <w:proofErr w:type="spellStart"/>
      <w:r w:rsidRPr="00CD2E4B">
        <w:rPr>
          <w:sz w:val="18"/>
          <w:szCs w:val="18"/>
        </w:rPr>
        <w:t>Cedex</w:t>
      </w:r>
      <w:proofErr w:type="spellEnd"/>
      <w:r w:rsidRPr="00CD2E4B">
        <w:rPr>
          <w:sz w:val="18"/>
          <w:szCs w:val="18"/>
        </w:rPr>
        <w:t xml:space="preserve"> - Frankreich</w:t>
      </w:r>
    </w:p>
    <w:p w14:paraId="2744F239" w14:textId="7FCEB55D" w:rsidR="002E4D4F" w:rsidRDefault="002E4D4F" w:rsidP="00484323">
      <w:pPr>
        <w:spacing w:before="0"/>
        <w:contextualSpacing/>
        <w:mirrorIndents/>
        <w:rPr>
          <w:sz w:val="18"/>
          <w:szCs w:val="18"/>
        </w:rPr>
      </w:pPr>
      <w:r w:rsidRPr="00CD2E4B">
        <w:rPr>
          <w:sz w:val="18"/>
          <w:szCs w:val="18"/>
        </w:rPr>
        <w:t>RCS B 552 037 806 Nanterre</w:t>
      </w:r>
    </w:p>
    <w:p w14:paraId="3810B688" w14:textId="77777777" w:rsidR="0022375B" w:rsidRPr="00CD2E4B" w:rsidRDefault="0022375B" w:rsidP="00484323">
      <w:pPr>
        <w:spacing w:before="0"/>
        <w:contextualSpacing/>
        <w:mirrorIndents/>
        <w:rPr>
          <w:sz w:val="18"/>
          <w:szCs w:val="18"/>
        </w:rPr>
      </w:pPr>
    </w:p>
    <w:p w14:paraId="1B0D4542" w14:textId="03EFC9AD" w:rsidR="002E4D4F" w:rsidRDefault="002E4D4F" w:rsidP="00484323">
      <w:pPr>
        <w:spacing w:before="0"/>
        <w:contextualSpacing/>
        <w:mirrorIndents/>
        <w:rPr>
          <w:sz w:val="18"/>
          <w:szCs w:val="18"/>
        </w:rPr>
      </w:pPr>
      <w:r w:rsidRPr="00CD2E4B">
        <w:rPr>
          <w:b/>
          <w:bCs/>
          <w:sz w:val="18"/>
          <w:szCs w:val="18"/>
        </w:rPr>
        <w:t>(6) Kapitalrücklage</w:t>
      </w:r>
      <w:r w:rsidRPr="00CD2E4B">
        <w:rPr>
          <w:sz w:val="18"/>
          <w:szCs w:val="18"/>
        </w:rPr>
        <w:t xml:space="preserve"> </w:t>
      </w:r>
    </w:p>
    <w:p w14:paraId="2118AF4B" w14:textId="77777777" w:rsidR="0022375B" w:rsidRPr="00CD2E4B" w:rsidRDefault="0022375B" w:rsidP="00484323">
      <w:pPr>
        <w:spacing w:before="0"/>
        <w:contextualSpacing/>
        <w:mirrorIndents/>
        <w:rPr>
          <w:sz w:val="18"/>
          <w:szCs w:val="18"/>
        </w:rPr>
      </w:pPr>
    </w:p>
    <w:p w14:paraId="6726B291" w14:textId="74376215" w:rsidR="002E4D4F" w:rsidRDefault="002E4D4F" w:rsidP="00484323">
      <w:pPr>
        <w:spacing w:before="0"/>
        <w:contextualSpacing/>
        <w:mirrorIndents/>
        <w:rPr>
          <w:sz w:val="18"/>
          <w:szCs w:val="18"/>
        </w:rPr>
      </w:pPr>
      <w:r w:rsidRPr="00CD2E4B">
        <w:rPr>
          <w:sz w:val="18"/>
          <w:szCs w:val="18"/>
        </w:rPr>
        <w:t>Die nach § 272 Abs. 2 Nrn. 1 und 4 HGB gebildete Kapitalrücklage in Höhe von EUR 5.014.889,90 blieb zum Vorjahr unverändert.</w:t>
      </w:r>
    </w:p>
    <w:p w14:paraId="0BBAC84D" w14:textId="77777777" w:rsidR="0022375B" w:rsidRPr="00CD2E4B" w:rsidRDefault="0022375B" w:rsidP="00484323">
      <w:pPr>
        <w:spacing w:before="0"/>
        <w:contextualSpacing/>
        <w:mirrorIndents/>
        <w:rPr>
          <w:sz w:val="18"/>
          <w:szCs w:val="18"/>
        </w:rPr>
      </w:pPr>
    </w:p>
    <w:p w14:paraId="529D4A5A" w14:textId="4B0981A0" w:rsidR="002E4D4F" w:rsidRDefault="002E4D4F" w:rsidP="00484323">
      <w:pPr>
        <w:spacing w:before="0"/>
        <w:contextualSpacing/>
        <w:mirrorIndents/>
        <w:rPr>
          <w:sz w:val="18"/>
          <w:szCs w:val="18"/>
        </w:rPr>
      </w:pPr>
      <w:r w:rsidRPr="00CD2E4B">
        <w:rPr>
          <w:b/>
          <w:bCs/>
          <w:sz w:val="18"/>
          <w:szCs w:val="18"/>
        </w:rPr>
        <w:t>(7) Andere Gewinnrücklagen</w:t>
      </w:r>
      <w:r w:rsidRPr="00CD2E4B">
        <w:rPr>
          <w:sz w:val="18"/>
          <w:szCs w:val="18"/>
        </w:rPr>
        <w:t xml:space="preserve"> </w:t>
      </w:r>
    </w:p>
    <w:p w14:paraId="46BEA580" w14:textId="77777777" w:rsidR="0022375B" w:rsidRPr="00CD2E4B" w:rsidRDefault="0022375B" w:rsidP="00484323">
      <w:pPr>
        <w:spacing w:before="0"/>
        <w:contextualSpacing/>
        <w:mirrorIndents/>
        <w:rPr>
          <w:sz w:val="18"/>
          <w:szCs w:val="18"/>
        </w:rPr>
      </w:pPr>
    </w:p>
    <w:p w14:paraId="773A4B30" w14:textId="17A2F171" w:rsidR="002E4D4F" w:rsidRDefault="002E4D4F" w:rsidP="00484323">
      <w:pPr>
        <w:spacing w:before="0"/>
        <w:contextualSpacing/>
        <w:mirrorIndents/>
        <w:rPr>
          <w:sz w:val="18"/>
          <w:szCs w:val="18"/>
        </w:rPr>
      </w:pPr>
      <w:r w:rsidRPr="00CD2E4B">
        <w:rPr>
          <w:sz w:val="18"/>
          <w:szCs w:val="18"/>
        </w:rPr>
        <w:t>Die anderen Gewinnrücklagen (EUR 244.770,01) ergaben sich aus der erstmaligen Anwendung des BilMoG und resultieren aus Abzinsungseffekten zum 1. Januar 2010.</w:t>
      </w:r>
    </w:p>
    <w:p w14:paraId="611529C1" w14:textId="77777777" w:rsidR="0022375B" w:rsidRPr="00CD2E4B" w:rsidRDefault="0022375B" w:rsidP="00484323">
      <w:pPr>
        <w:spacing w:before="0"/>
        <w:contextualSpacing/>
        <w:mirrorIndents/>
        <w:rPr>
          <w:sz w:val="18"/>
          <w:szCs w:val="18"/>
        </w:rPr>
      </w:pPr>
    </w:p>
    <w:p w14:paraId="79CD36AD" w14:textId="1401EFA2" w:rsidR="00011542" w:rsidRDefault="002E4D4F" w:rsidP="00484323">
      <w:pPr>
        <w:spacing w:before="0"/>
        <w:contextualSpacing/>
        <w:mirrorIndents/>
        <w:rPr>
          <w:sz w:val="18"/>
          <w:szCs w:val="18"/>
        </w:rPr>
      </w:pPr>
      <w:r w:rsidRPr="00CD2E4B">
        <w:rPr>
          <w:b/>
          <w:bCs/>
          <w:sz w:val="18"/>
          <w:szCs w:val="18"/>
        </w:rPr>
        <w:t xml:space="preserve">(8) Sonderrücklagen nach den Vorschriften des </w:t>
      </w:r>
      <w:proofErr w:type="spellStart"/>
      <w:r w:rsidRPr="00CD2E4B">
        <w:rPr>
          <w:b/>
          <w:bCs/>
          <w:sz w:val="18"/>
          <w:szCs w:val="18"/>
        </w:rPr>
        <w:t>DMBilG</w:t>
      </w:r>
      <w:proofErr w:type="spellEnd"/>
      <w:r w:rsidRPr="00CD2E4B">
        <w:rPr>
          <w:sz w:val="18"/>
          <w:szCs w:val="18"/>
        </w:rPr>
        <w:t xml:space="preserve"> </w:t>
      </w:r>
    </w:p>
    <w:p w14:paraId="2952DE1D" w14:textId="77777777" w:rsidR="002C6479" w:rsidRPr="00CD2E4B" w:rsidRDefault="002C6479" w:rsidP="00484323">
      <w:pPr>
        <w:spacing w:before="0"/>
        <w:contextualSpacing/>
        <w:mirrorIndents/>
        <w:rPr>
          <w:sz w:val="18"/>
          <w:szCs w:val="18"/>
        </w:rPr>
      </w:pPr>
    </w:p>
    <w:p w14:paraId="0BFC144B" w14:textId="1ADFF931" w:rsidR="002E4D4F" w:rsidRDefault="002E4D4F" w:rsidP="00484323">
      <w:pPr>
        <w:spacing w:before="0"/>
        <w:contextualSpacing/>
        <w:mirrorIndents/>
        <w:rPr>
          <w:sz w:val="18"/>
          <w:szCs w:val="18"/>
        </w:rPr>
      </w:pPr>
      <w:r w:rsidRPr="00CD2E4B">
        <w:rPr>
          <w:sz w:val="18"/>
          <w:szCs w:val="18"/>
        </w:rPr>
        <w:t xml:space="preserve">Es handelt sich unverändert um eine Sonderrücklage in Höhe von EUR 1.022.583,76, die auf der Grundlage des § 17 Abs. 4 </w:t>
      </w:r>
      <w:proofErr w:type="spellStart"/>
      <w:r w:rsidRPr="00CD2E4B">
        <w:rPr>
          <w:sz w:val="18"/>
          <w:szCs w:val="18"/>
        </w:rPr>
        <w:t>DMBilG</w:t>
      </w:r>
      <w:proofErr w:type="spellEnd"/>
      <w:r w:rsidRPr="00CD2E4B">
        <w:rPr>
          <w:sz w:val="18"/>
          <w:szCs w:val="18"/>
        </w:rPr>
        <w:t xml:space="preserve"> gebildet wurde, und um eine Sonderrücklage in Höhe von EUR 11.547.449,05, die auf der Grundlage des § 27 Abs. 2 </w:t>
      </w:r>
      <w:proofErr w:type="spellStart"/>
      <w:r w:rsidRPr="00CD2E4B">
        <w:rPr>
          <w:sz w:val="18"/>
          <w:szCs w:val="18"/>
        </w:rPr>
        <w:t>DMBilG</w:t>
      </w:r>
      <w:proofErr w:type="spellEnd"/>
      <w:r w:rsidRPr="00CD2E4B">
        <w:rPr>
          <w:sz w:val="18"/>
          <w:szCs w:val="18"/>
        </w:rPr>
        <w:t xml:space="preserve"> gebildet wurde.</w:t>
      </w:r>
    </w:p>
    <w:p w14:paraId="1D67908A" w14:textId="77777777" w:rsidR="0022375B" w:rsidRPr="00CD2E4B" w:rsidRDefault="0022375B" w:rsidP="00484323">
      <w:pPr>
        <w:spacing w:before="0"/>
        <w:contextualSpacing/>
        <w:mirrorIndents/>
        <w:rPr>
          <w:sz w:val="18"/>
          <w:szCs w:val="18"/>
        </w:rPr>
      </w:pPr>
    </w:p>
    <w:p w14:paraId="60A340A2" w14:textId="2920B967" w:rsidR="002E4D4F" w:rsidRDefault="002E4D4F" w:rsidP="00484323">
      <w:pPr>
        <w:spacing w:before="0"/>
        <w:contextualSpacing/>
        <w:mirrorIndents/>
        <w:rPr>
          <w:sz w:val="18"/>
          <w:szCs w:val="18"/>
        </w:rPr>
      </w:pPr>
      <w:r w:rsidRPr="00CD2E4B">
        <w:rPr>
          <w:b/>
          <w:bCs/>
          <w:sz w:val="18"/>
          <w:szCs w:val="18"/>
        </w:rPr>
        <w:t>(9) Rückstellungen</w:t>
      </w:r>
      <w:r w:rsidRPr="00CD2E4B">
        <w:rPr>
          <w:sz w:val="18"/>
          <w:szCs w:val="18"/>
        </w:rPr>
        <w:t xml:space="preserve"> </w:t>
      </w:r>
    </w:p>
    <w:p w14:paraId="677571E4" w14:textId="77777777" w:rsidR="0022375B" w:rsidRPr="00CD2E4B" w:rsidRDefault="0022375B" w:rsidP="00484323">
      <w:pPr>
        <w:spacing w:before="0"/>
        <w:contextualSpacing/>
        <w:mirrorIndents/>
        <w:rPr>
          <w:sz w:val="18"/>
          <w:szCs w:val="18"/>
        </w:rPr>
      </w:pPr>
    </w:p>
    <w:p w14:paraId="71F37A50" w14:textId="1F9F30FD" w:rsidR="002E4D4F" w:rsidRDefault="002E4D4F" w:rsidP="00484323">
      <w:pPr>
        <w:spacing w:before="0"/>
        <w:contextualSpacing/>
        <w:mirrorIndents/>
        <w:rPr>
          <w:sz w:val="18"/>
          <w:szCs w:val="18"/>
        </w:rPr>
      </w:pPr>
      <w:r w:rsidRPr="00CD2E4B">
        <w:rPr>
          <w:sz w:val="18"/>
          <w:szCs w:val="18"/>
        </w:rPr>
        <w:t xml:space="preserve">Die Rückstellungen für Pensionen wurden nach der im Konzern geltenden versicherungsmathematischen </w:t>
      </w:r>
      <w:proofErr w:type="spellStart"/>
      <w:r w:rsidRPr="00CD2E4B">
        <w:rPr>
          <w:sz w:val="18"/>
          <w:szCs w:val="18"/>
        </w:rPr>
        <w:t>Projected</w:t>
      </w:r>
      <w:proofErr w:type="spellEnd"/>
      <w:r w:rsidRPr="00CD2E4B">
        <w:rPr>
          <w:sz w:val="18"/>
          <w:szCs w:val="18"/>
        </w:rPr>
        <w:t>-Unit-</w:t>
      </w:r>
      <w:proofErr w:type="spellStart"/>
      <w:r w:rsidRPr="00CD2E4B">
        <w:rPr>
          <w:sz w:val="18"/>
          <w:szCs w:val="18"/>
        </w:rPr>
        <w:t>Credit</w:t>
      </w:r>
      <w:proofErr w:type="spellEnd"/>
      <w:r w:rsidRPr="00CD2E4B">
        <w:rPr>
          <w:sz w:val="18"/>
          <w:szCs w:val="18"/>
        </w:rPr>
        <w:t>-Methode gebildet.</w:t>
      </w:r>
    </w:p>
    <w:p w14:paraId="392728BC" w14:textId="77777777" w:rsidR="0022375B" w:rsidRPr="00CD2E4B" w:rsidRDefault="0022375B" w:rsidP="00484323">
      <w:pPr>
        <w:spacing w:before="0"/>
        <w:contextualSpacing/>
        <w:mirrorIndents/>
        <w:rPr>
          <w:sz w:val="18"/>
          <w:szCs w:val="18"/>
        </w:rPr>
      </w:pPr>
    </w:p>
    <w:p w14:paraId="24A84BBF" w14:textId="2E52916F" w:rsidR="002E4D4F" w:rsidRDefault="002E4D4F" w:rsidP="00484323">
      <w:pPr>
        <w:spacing w:before="0"/>
        <w:contextualSpacing/>
        <w:mirrorIndents/>
        <w:rPr>
          <w:sz w:val="18"/>
          <w:szCs w:val="18"/>
        </w:rPr>
      </w:pPr>
      <w:r w:rsidRPr="00CD2E4B">
        <w:rPr>
          <w:sz w:val="18"/>
          <w:szCs w:val="18"/>
        </w:rPr>
        <w:t>Die sonstigen Rückstellungen setzen sich wie folgt zusammen:</w:t>
      </w:r>
    </w:p>
    <w:p w14:paraId="30A220B3" w14:textId="77777777" w:rsidR="0022375B" w:rsidRPr="00CD2E4B" w:rsidRDefault="0022375B" w:rsidP="00484323">
      <w:pPr>
        <w:spacing w:before="0"/>
        <w:contextualSpacing/>
        <w:mirrorIndents/>
        <w:rPr>
          <w:sz w:val="18"/>
          <w:szCs w:val="18"/>
        </w:rPr>
      </w:pPr>
    </w:p>
    <w:tbl>
      <w:tblPr>
        <w:tblW w:w="9095" w:type="dxa"/>
        <w:tblCellSpacing w:w="0" w:type="dxa"/>
        <w:tblCellMar>
          <w:top w:w="30" w:type="dxa"/>
          <w:left w:w="30" w:type="dxa"/>
          <w:bottom w:w="30" w:type="dxa"/>
          <w:right w:w="30" w:type="dxa"/>
        </w:tblCellMar>
        <w:tblLook w:val="04A0" w:firstRow="1" w:lastRow="0" w:firstColumn="1" w:lastColumn="0" w:noHBand="0" w:noVBand="1"/>
      </w:tblPr>
      <w:tblGrid>
        <w:gridCol w:w="4992"/>
        <w:gridCol w:w="2268"/>
        <w:gridCol w:w="1835"/>
      </w:tblGrid>
      <w:tr w:rsidR="002E4D4F" w:rsidRPr="00CD2E4B" w14:paraId="7899D6DE" w14:textId="77777777" w:rsidTr="00011542">
        <w:trPr>
          <w:trHeight w:val="483"/>
          <w:tblHeader/>
          <w:tblCellSpacing w:w="0" w:type="dxa"/>
        </w:trPr>
        <w:tc>
          <w:tcPr>
            <w:tcW w:w="4992" w:type="dxa"/>
            <w:shd w:val="clear" w:color="auto" w:fill="CDCDCE"/>
            <w:vAlign w:val="bottom"/>
            <w:hideMark/>
          </w:tcPr>
          <w:p w14:paraId="676E9B74" w14:textId="77777777" w:rsidR="002E4D4F" w:rsidRPr="00CD2E4B" w:rsidRDefault="002E4D4F" w:rsidP="00484323">
            <w:pPr>
              <w:spacing w:before="0"/>
              <w:contextualSpacing/>
              <w:mirrorIndents/>
              <w:rPr>
                <w:sz w:val="18"/>
                <w:szCs w:val="18"/>
              </w:rPr>
            </w:pPr>
          </w:p>
        </w:tc>
        <w:tc>
          <w:tcPr>
            <w:tcW w:w="2268" w:type="dxa"/>
            <w:shd w:val="clear" w:color="auto" w:fill="CDCDCE"/>
            <w:vAlign w:val="bottom"/>
            <w:hideMark/>
          </w:tcPr>
          <w:p w14:paraId="194E8C68" w14:textId="77777777" w:rsidR="002E4D4F" w:rsidRPr="00CD2E4B" w:rsidRDefault="002E4D4F" w:rsidP="0022375B">
            <w:pPr>
              <w:spacing w:before="0"/>
              <w:contextualSpacing/>
              <w:mirrorIndents/>
              <w:jc w:val="right"/>
              <w:rPr>
                <w:sz w:val="18"/>
                <w:szCs w:val="18"/>
              </w:rPr>
            </w:pPr>
            <w:r w:rsidRPr="00CD2E4B">
              <w:rPr>
                <w:sz w:val="18"/>
                <w:szCs w:val="18"/>
              </w:rPr>
              <w:t>31.12.2022</w:t>
            </w:r>
            <w:r w:rsidRPr="00CD2E4B">
              <w:rPr>
                <w:sz w:val="18"/>
                <w:szCs w:val="18"/>
              </w:rPr>
              <w:br/>
              <w:t>TEUR</w:t>
            </w:r>
          </w:p>
        </w:tc>
        <w:tc>
          <w:tcPr>
            <w:tcW w:w="1835" w:type="dxa"/>
            <w:shd w:val="clear" w:color="auto" w:fill="CDCDCE"/>
            <w:vAlign w:val="bottom"/>
            <w:hideMark/>
          </w:tcPr>
          <w:p w14:paraId="756D2E65" w14:textId="77777777" w:rsidR="002E4D4F" w:rsidRPr="00CD2E4B" w:rsidRDefault="002E4D4F" w:rsidP="0022375B">
            <w:pPr>
              <w:spacing w:before="0"/>
              <w:contextualSpacing/>
              <w:mirrorIndents/>
              <w:jc w:val="right"/>
              <w:rPr>
                <w:sz w:val="18"/>
                <w:szCs w:val="18"/>
              </w:rPr>
            </w:pPr>
            <w:r w:rsidRPr="00CD2E4B">
              <w:rPr>
                <w:sz w:val="18"/>
                <w:szCs w:val="18"/>
              </w:rPr>
              <w:t>31.12.2021</w:t>
            </w:r>
            <w:r w:rsidRPr="00CD2E4B">
              <w:rPr>
                <w:sz w:val="18"/>
                <w:szCs w:val="18"/>
              </w:rPr>
              <w:br/>
              <w:t>TEUR</w:t>
            </w:r>
          </w:p>
        </w:tc>
      </w:tr>
      <w:tr w:rsidR="002E4D4F" w:rsidRPr="00CD2E4B" w14:paraId="3EA23795" w14:textId="77777777" w:rsidTr="00011542">
        <w:trPr>
          <w:trHeight w:val="232"/>
          <w:tblCellSpacing w:w="0" w:type="dxa"/>
        </w:trPr>
        <w:tc>
          <w:tcPr>
            <w:tcW w:w="4992" w:type="dxa"/>
            <w:vAlign w:val="center"/>
            <w:hideMark/>
          </w:tcPr>
          <w:p w14:paraId="40D4FE5B" w14:textId="77777777" w:rsidR="002E4D4F" w:rsidRPr="00CD2E4B" w:rsidRDefault="002E4D4F" w:rsidP="00484323">
            <w:pPr>
              <w:spacing w:before="0"/>
              <w:contextualSpacing/>
              <w:mirrorIndents/>
              <w:rPr>
                <w:sz w:val="18"/>
                <w:szCs w:val="18"/>
              </w:rPr>
            </w:pPr>
            <w:r w:rsidRPr="00CD2E4B">
              <w:rPr>
                <w:sz w:val="18"/>
                <w:szCs w:val="18"/>
              </w:rPr>
              <w:t>Personal- und Sozialbereich</w:t>
            </w:r>
          </w:p>
        </w:tc>
        <w:tc>
          <w:tcPr>
            <w:tcW w:w="2268" w:type="dxa"/>
            <w:vAlign w:val="center"/>
            <w:hideMark/>
          </w:tcPr>
          <w:p w14:paraId="462EBEB4" w14:textId="77777777" w:rsidR="002E4D4F" w:rsidRPr="00CD2E4B" w:rsidRDefault="002E4D4F" w:rsidP="0022375B">
            <w:pPr>
              <w:spacing w:before="0"/>
              <w:contextualSpacing/>
              <w:mirrorIndents/>
              <w:jc w:val="right"/>
              <w:rPr>
                <w:sz w:val="18"/>
                <w:szCs w:val="18"/>
              </w:rPr>
            </w:pPr>
            <w:r w:rsidRPr="00CD2E4B">
              <w:rPr>
                <w:sz w:val="18"/>
                <w:szCs w:val="18"/>
              </w:rPr>
              <w:t>11.048</w:t>
            </w:r>
          </w:p>
        </w:tc>
        <w:tc>
          <w:tcPr>
            <w:tcW w:w="1835" w:type="dxa"/>
            <w:vAlign w:val="center"/>
            <w:hideMark/>
          </w:tcPr>
          <w:p w14:paraId="0A56CA79" w14:textId="77777777" w:rsidR="002E4D4F" w:rsidRPr="00CD2E4B" w:rsidRDefault="002E4D4F" w:rsidP="0022375B">
            <w:pPr>
              <w:spacing w:before="0"/>
              <w:contextualSpacing/>
              <w:mirrorIndents/>
              <w:jc w:val="right"/>
              <w:rPr>
                <w:sz w:val="18"/>
                <w:szCs w:val="18"/>
              </w:rPr>
            </w:pPr>
            <w:r w:rsidRPr="00CD2E4B">
              <w:rPr>
                <w:sz w:val="18"/>
                <w:szCs w:val="18"/>
              </w:rPr>
              <w:t>9.645</w:t>
            </w:r>
          </w:p>
        </w:tc>
      </w:tr>
      <w:tr w:rsidR="002E4D4F" w:rsidRPr="00CD2E4B" w14:paraId="21B5C7EE" w14:textId="77777777" w:rsidTr="00011542">
        <w:trPr>
          <w:trHeight w:val="232"/>
          <w:tblCellSpacing w:w="0" w:type="dxa"/>
        </w:trPr>
        <w:tc>
          <w:tcPr>
            <w:tcW w:w="4992" w:type="dxa"/>
            <w:shd w:val="clear" w:color="auto" w:fill="F0F0F0"/>
            <w:vAlign w:val="center"/>
            <w:hideMark/>
          </w:tcPr>
          <w:p w14:paraId="703B2EBC" w14:textId="77777777" w:rsidR="002E4D4F" w:rsidRPr="00CD2E4B" w:rsidRDefault="002E4D4F" w:rsidP="00484323">
            <w:pPr>
              <w:spacing w:before="0"/>
              <w:contextualSpacing/>
              <w:mirrorIndents/>
              <w:rPr>
                <w:sz w:val="18"/>
                <w:szCs w:val="18"/>
              </w:rPr>
            </w:pPr>
            <w:r w:rsidRPr="00CD2E4B">
              <w:rPr>
                <w:sz w:val="18"/>
                <w:szCs w:val="18"/>
              </w:rPr>
              <w:t>Drohende Verluste</w:t>
            </w:r>
          </w:p>
        </w:tc>
        <w:tc>
          <w:tcPr>
            <w:tcW w:w="2268" w:type="dxa"/>
            <w:shd w:val="clear" w:color="auto" w:fill="F0F0F0"/>
            <w:vAlign w:val="center"/>
            <w:hideMark/>
          </w:tcPr>
          <w:p w14:paraId="297CD9CF" w14:textId="77777777" w:rsidR="002E4D4F" w:rsidRPr="00CD2E4B" w:rsidRDefault="002E4D4F" w:rsidP="0022375B">
            <w:pPr>
              <w:spacing w:before="0"/>
              <w:contextualSpacing/>
              <w:mirrorIndents/>
              <w:jc w:val="right"/>
              <w:rPr>
                <w:sz w:val="18"/>
                <w:szCs w:val="18"/>
              </w:rPr>
            </w:pPr>
            <w:r w:rsidRPr="00CD2E4B">
              <w:rPr>
                <w:sz w:val="18"/>
                <w:szCs w:val="18"/>
              </w:rPr>
              <w:t>10.767</w:t>
            </w:r>
          </w:p>
        </w:tc>
        <w:tc>
          <w:tcPr>
            <w:tcW w:w="1835" w:type="dxa"/>
            <w:shd w:val="clear" w:color="auto" w:fill="F0F0F0"/>
            <w:vAlign w:val="center"/>
            <w:hideMark/>
          </w:tcPr>
          <w:p w14:paraId="35BCA940" w14:textId="77777777" w:rsidR="002E4D4F" w:rsidRPr="00CD2E4B" w:rsidRDefault="002E4D4F" w:rsidP="0022375B">
            <w:pPr>
              <w:spacing w:before="0"/>
              <w:contextualSpacing/>
              <w:mirrorIndents/>
              <w:jc w:val="right"/>
              <w:rPr>
                <w:sz w:val="18"/>
                <w:szCs w:val="18"/>
              </w:rPr>
            </w:pPr>
            <w:r w:rsidRPr="00CD2E4B">
              <w:rPr>
                <w:sz w:val="18"/>
                <w:szCs w:val="18"/>
              </w:rPr>
              <w:t>8.103</w:t>
            </w:r>
          </w:p>
        </w:tc>
      </w:tr>
      <w:tr w:rsidR="002E4D4F" w:rsidRPr="00CD2E4B" w14:paraId="608C57BC" w14:textId="77777777" w:rsidTr="00011542">
        <w:trPr>
          <w:trHeight w:val="232"/>
          <w:tblCellSpacing w:w="0" w:type="dxa"/>
        </w:trPr>
        <w:tc>
          <w:tcPr>
            <w:tcW w:w="4992" w:type="dxa"/>
            <w:vAlign w:val="center"/>
            <w:hideMark/>
          </w:tcPr>
          <w:p w14:paraId="55C3BA78" w14:textId="77777777" w:rsidR="002E4D4F" w:rsidRPr="00CD2E4B" w:rsidRDefault="002E4D4F" w:rsidP="00484323">
            <w:pPr>
              <w:spacing w:before="0"/>
              <w:contextualSpacing/>
              <w:mirrorIndents/>
              <w:rPr>
                <w:sz w:val="18"/>
                <w:szCs w:val="18"/>
              </w:rPr>
            </w:pPr>
            <w:r w:rsidRPr="00CD2E4B">
              <w:rPr>
                <w:sz w:val="18"/>
                <w:szCs w:val="18"/>
              </w:rPr>
              <w:t>Gewährleistung</w:t>
            </w:r>
          </w:p>
        </w:tc>
        <w:tc>
          <w:tcPr>
            <w:tcW w:w="2268" w:type="dxa"/>
            <w:vAlign w:val="center"/>
            <w:hideMark/>
          </w:tcPr>
          <w:p w14:paraId="50D57299" w14:textId="77777777" w:rsidR="002E4D4F" w:rsidRPr="00CD2E4B" w:rsidRDefault="002E4D4F" w:rsidP="0022375B">
            <w:pPr>
              <w:spacing w:before="0"/>
              <w:contextualSpacing/>
              <w:mirrorIndents/>
              <w:jc w:val="right"/>
              <w:rPr>
                <w:sz w:val="18"/>
                <w:szCs w:val="18"/>
              </w:rPr>
            </w:pPr>
            <w:r w:rsidRPr="00CD2E4B">
              <w:rPr>
                <w:sz w:val="18"/>
                <w:szCs w:val="18"/>
              </w:rPr>
              <w:t>9.763</w:t>
            </w:r>
          </w:p>
        </w:tc>
        <w:tc>
          <w:tcPr>
            <w:tcW w:w="1835" w:type="dxa"/>
            <w:vAlign w:val="center"/>
            <w:hideMark/>
          </w:tcPr>
          <w:p w14:paraId="279A2BBA" w14:textId="77777777" w:rsidR="002E4D4F" w:rsidRPr="00CD2E4B" w:rsidRDefault="002E4D4F" w:rsidP="0022375B">
            <w:pPr>
              <w:spacing w:before="0"/>
              <w:contextualSpacing/>
              <w:mirrorIndents/>
              <w:jc w:val="right"/>
              <w:rPr>
                <w:sz w:val="18"/>
                <w:szCs w:val="18"/>
              </w:rPr>
            </w:pPr>
            <w:r w:rsidRPr="00CD2E4B">
              <w:rPr>
                <w:sz w:val="18"/>
                <w:szCs w:val="18"/>
              </w:rPr>
              <w:t>10.796</w:t>
            </w:r>
          </w:p>
        </w:tc>
      </w:tr>
      <w:tr w:rsidR="002E4D4F" w:rsidRPr="00CD2E4B" w14:paraId="4873401A" w14:textId="77777777" w:rsidTr="00011542">
        <w:trPr>
          <w:trHeight w:val="232"/>
          <w:tblCellSpacing w:w="0" w:type="dxa"/>
        </w:trPr>
        <w:tc>
          <w:tcPr>
            <w:tcW w:w="4992" w:type="dxa"/>
            <w:shd w:val="clear" w:color="auto" w:fill="F0F0F0"/>
            <w:vAlign w:val="center"/>
            <w:hideMark/>
          </w:tcPr>
          <w:p w14:paraId="030EA6FC" w14:textId="77777777" w:rsidR="002E4D4F" w:rsidRPr="00CD2E4B" w:rsidRDefault="002E4D4F" w:rsidP="00484323">
            <w:pPr>
              <w:spacing w:before="0"/>
              <w:contextualSpacing/>
              <w:mirrorIndents/>
              <w:rPr>
                <w:sz w:val="18"/>
                <w:szCs w:val="18"/>
              </w:rPr>
            </w:pPr>
            <w:r w:rsidRPr="00CD2E4B">
              <w:rPr>
                <w:sz w:val="18"/>
                <w:szCs w:val="18"/>
              </w:rPr>
              <w:t>Rückzahlungen</w:t>
            </w:r>
          </w:p>
        </w:tc>
        <w:tc>
          <w:tcPr>
            <w:tcW w:w="2268" w:type="dxa"/>
            <w:shd w:val="clear" w:color="auto" w:fill="F0F0F0"/>
            <w:vAlign w:val="center"/>
            <w:hideMark/>
          </w:tcPr>
          <w:p w14:paraId="6428C34C" w14:textId="77777777" w:rsidR="002E4D4F" w:rsidRPr="00CD2E4B" w:rsidRDefault="002E4D4F" w:rsidP="0022375B">
            <w:pPr>
              <w:spacing w:before="0"/>
              <w:contextualSpacing/>
              <w:mirrorIndents/>
              <w:jc w:val="right"/>
              <w:rPr>
                <w:sz w:val="18"/>
                <w:szCs w:val="18"/>
              </w:rPr>
            </w:pPr>
            <w:r w:rsidRPr="00CD2E4B">
              <w:rPr>
                <w:sz w:val="18"/>
                <w:szCs w:val="18"/>
              </w:rPr>
              <w:t>2.102</w:t>
            </w:r>
          </w:p>
        </w:tc>
        <w:tc>
          <w:tcPr>
            <w:tcW w:w="1835" w:type="dxa"/>
            <w:shd w:val="clear" w:color="auto" w:fill="F0F0F0"/>
            <w:vAlign w:val="center"/>
            <w:hideMark/>
          </w:tcPr>
          <w:p w14:paraId="0AD92BD5" w14:textId="77777777" w:rsidR="002E4D4F" w:rsidRPr="00CD2E4B" w:rsidRDefault="002E4D4F" w:rsidP="0022375B">
            <w:pPr>
              <w:spacing w:before="0"/>
              <w:contextualSpacing/>
              <w:mirrorIndents/>
              <w:jc w:val="right"/>
              <w:rPr>
                <w:sz w:val="18"/>
                <w:szCs w:val="18"/>
              </w:rPr>
            </w:pPr>
            <w:r w:rsidRPr="00CD2E4B">
              <w:rPr>
                <w:sz w:val="18"/>
                <w:szCs w:val="18"/>
              </w:rPr>
              <w:t>1.415</w:t>
            </w:r>
          </w:p>
        </w:tc>
      </w:tr>
      <w:tr w:rsidR="002E4D4F" w:rsidRPr="00CD2E4B" w14:paraId="1C062890" w14:textId="77777777" w:rsidTr="00011542">
        <w:trPr>
          <w:trHeight w:val="232"/>
          <w:tblCellSpacing w:w="0" w:type="dxa"/>
        </w:trPr>
        <w:tc>
          <w:tcPr>
            <w:tcW w:w="4992" w:type="dxa"/>
            <w:vAlign w:val="center"/>
            <w:hideMark/>
          </w:tcPr>
          <w:p w14:paraId="086F085B" w14:textId="77777777" w:rsidR="002E4D4F" w:rsidRPr="00CD2E4B" w:rsidRDefault="002E4D4F" w:rsidP="00484323">
            <w:pPr>
              <w:spacing w:before="0"/>
              <w:contextualSpacing/>
              <w:mirrorIndents/>
              <w:rPr>
                <w:sz w:val="18"/>
                <w:szCs w:val="18"/>
              </w:rPr>
            </w:pPr>
            <w:r w:rsidRPr="00CD2E4B">
              <w:rPr>
                <w:sz w:val="18"/>
                <w:szCs w:val="18"/>
              </w:rPr>
              <w:t>Liefer- und Leistungsverkehr</w:t>
            </w:r>
          </w:p>
        </w:tc>
        <w:tc>
          <w:tcPr>
            <w:tcW w:w="2268" w:type="dxa"/>
            <w:vAlign w:val="center"/>
            <w:hideMark/>
          </w:tcPr>
          <w:p w14:paraId="26A0358B" w14:textId="77777777" w:rsidR="002E4D4F" w:rsidRPr="00CD2E4B" w:rsidRDefault="002E4D4F" w:rsidP="0022375B">
            <w:pPr>
              <w:spacing w:before="0"/>
              <w:contextualSpacing/>
              <w:mirrorIndents/>
              <w:jc w:val="right"/>
              <w:rPr>
                <w:sz w:val="18"/>
                <w:szCs w:val="18"/>
              </w:rPr>
            </w:pPr>
            <w:r w:rsidRPr="00CD2E4B">
              <w:rPr>
                <w:sz w:val="18"/>
                <w:szCs w:val="18"/>
              </w:rPr>
              <w:t>1.426</w:t>
            </w:r>
          </w:p>
        </w:tc>
        <w:tc>
          <w:tcPr>
            <w:tcW w:w="1835" w:type="dxa"/>
            <w:vAlign w:val="center"/>
            <w:hideMark/>
          </w:tcPr>
          <w:p w14:paraId="6B32EEF5" w14:textId="77777777" w:rsidR="002E4D4F" w:rsidRPr="00CD2E4B" w:rsidRDefault="002E4D4F" w:rsidP="0022375B">
            <w:pPr>
              <w:spacing w:before="0"/>
              <w:contextualSpacing/>
              <w:mirrorIndents/>
              <w:jc w:val="right"/>
              <w:rPr>
                <w:sz w:val="18"/>
                <w:szCs w:val="18"/>
              </w:rPr>
            </w:pPr>
            <w:r w:rsidRPr="00CD2E4B">
              <w:rPr>
                <w:sz w:val="18"/>
                <w:szCs w:val="18"/>
              </w:rPr>
              <w:t>1.680</w:t>
            </w:r>
          </w:p>
        </w:tc>
      </w:tr>
      <w:tr w:rsidR="002E4D4F" w:rsidRPr="00CD2E4B" w14:paraId="1F07B15F" w14:textId="77777777" w:rsidTr="00011542">
        <w:trPr>
          <w:trHeight w:val="232"/>
          <w:tblCellSpacing w:w="0" w:type="dxa"/>
        </w:trPr>
        <w:tc>
          <w:tcPr>
            <w:tcW w:w="4992" w:type="dxa"/>
            <w:shd w:val="clear" w:color="auto" w:fill="F0F0F0"/>
            <w:vAlign w:val="center"/>
            <w:hideMark/>
          </w:tcPr>
          <w:p w14:paraId="334EE405" w14:textId="77777777" w:rsidR="002E4D4F" w:rsidRPr="00CD2E4B" w:rsidRDefault="002E4D4F" w:rsidP="00484323">
            <w:pPr>
              <w:spacing w:before="0"/>
              <w:contextualSpacing/>
              <w:mirrorIndents/>
              <w:rPr>
                <w:sz w:val="18"/>
                <w:szCs w:val="18"/>
              </w:rPr>
            </w:pPr>
            <w:r w:rsidRPr="00CD2E4B">
              <w:rPr>
                <w:sz w:val="18"/>
                <w:szCs w:val="18"/>
              </w:rPr>
              <w:t>Schadenersatz- und Prozesskosten</w:t>
            </w:r>
          </w:p>
        </w:tc>
        <w:tc>
          <w:tcPr>
            <w:tcW w:w="2268" w:type="dxa"/>
            <w:shd w:val="clear" w:color="auto" w:fill="F0F0F0"/>
            <w:vAlign w:val="center"/>
            <w:hideMark/>
          </w:tcPr>
          <w:p w14:paraId="748E6722" w14:textId="77777777" w:rsidR="002E4D4F" w:rsidRPr="00CD2E4B" w:rsidRDefault="002E4D4F" w:rsidP="0022375B">
            <w:pPr>
              <w:spacing w:before="0"/>
              <w:contextualSpacing/>
              <w:mirrorIndents/>
              <w:jc w:val="right"/>
              <w:rPr>
                <w:sz w:val="18"/>
                <w:szCs w:val="18"/>
              </w:rPr>
            </w:pPr>
            <w:r w:rsidRPr="00CD2E4B">
              <w:rPr>
                <w:sz w:val="18"/>
                <w:szCs w:val="18"/>
              </w:rPr>
              <w:t>413</w:t>
            </w:r>
          </w:p>
        </w:tc>
        <w:tc>
          <w:tcPr>
            <w:tcW w:w="1835" w:type="dxa"/>
            <w:shd w:val="clear" w:color="auto" w:fill="F0F0F0"/>
            <w:vAlign w:val="center"/>
            <w:hideMark/>
          </w:tcPr>
          <w:p w14:paraId="161782F5" w14:textId="77777777" w:rsidR="002E4D4F" w:rsidRPr="00CD2E4B" w:rsidRDefault="002E4D4F" w:rsidP="0022375B">
            <w:pPr>
              <w:spacing w:before="0"/>
              <w:contextualSpacing/>
              <w:mirrorIndents/>
              <w:jc w:val="right"/>
              <w:rPr>
                <w:sz w:val="18"/>
                <w:szCs w:val="18"/>
              </w:rPr>
            </w:pPr>
            <w:r w:rsidRPr="00CD2E4B">
              <w:rPr>
                <w:sz w:val="18"/>
                <w:szCs w:val="18"/>
              </w:rPr>
              <w:t>346</w:t>
            </w:r>
          </w:p>
        </w:tc>
      </w:tr>
      <w:tr w:rsidR="002E4D4F" w:rsidRPr="00CD2E4B" w14:paraId="51AFC795" w14:textId="77777777" w:rsidTr="00011542">
        <w:trPr>
          <w:trHeight w:val="232"/>
          <w:tblCellSpacing w:w="0" w:type="dxa"/>
        </w:trPr>
        <w:tc>
          <w:tcPr>
            <w:tcW w:w="4992" w:type="dxa"/>
            <w:vAlign w:val="center"/>
            <w:hideMark/>
          </w:tcPr>
          <w:p w14:paraId="052C3E1E" w14:textId="77777777" w:rsidR="002E4D4F" w:rsidRPr="00CD2E4B" w:rsidRDefault="002E4D4F" w:rsidP="00484323">
            <w:pPr>
              <w:spacing w:before="0"/>
              <w:contextualSpacing/>
              <w:mirrorIndents/>
              <w:rPr>
                <w:sz w:val="18"/>
                <w:szCs w:val="18"/>
              </w:rPr>
            </w:pPr>
            <w:r w:rsidRPr="00CD2E4B">
              <w:rPr>
                <w:sz w:val="18"/>
                <w:szCs w:val="18"/>
              </w:rPr>
              <w:t>Übrige</w:t>
            </w:r>
          </w:p>
        </w:tc>
        <w:tc>
          <w:tcPr>
            <w:tcW w:w="2268" w:type="dxa"/>
            <w:vAlign w:val="center"/>
            <w:hideMark/>
          </w:tcPr>
          <w:p w14:paraId="0D57A5A5" w14:textId="77777777" w:rsidR="002E4D4F" w:rsidRPr="00CD2E4B" w:rsidRDefault="002E4D4F" w:rsidP="0022375B">
            <w:pPr>
              <w:spacing w:before="0"/>
              <w:contextualSpacing/>
              <w:mirrorIndents/>
              <w:jc w:val="right"/>
              <w:rPr>
                <w:sz w:val="18"/>
                <w:szCs w:val="18"/>
              </w:rPr>
            </w:pPr>
            <w:r w:rsidRPr="00CD2E4B">
              <w:rPr>
                <w:sz w:val="18"/>
                <w:szCs w:val="18"/>
              </w:rPr>
              <w:t>112</w:t>
            </w:r>
          </w:p>
        </w:tc>
        <w:tc>
          <w:tcPr>
            <w:tcW w:w="1835" w:type="dxa"/>
            <w:vAlign w:val="center"/>
            <w:hideMark/>
          </w:tcPr>
          <w:p w14:paraId="767A6CE0" w14:textId="77777777" w:rsidR="002E4D4F" w:rsidRPr="00CD2E4B" w:rsidRDefault="002E4D4F" w:rsidP="0022375B">
            <w:pPr>
              <w:spacing w:before="0"/>
              <w:contextualSpacing/>
              <w:mirrorIndents/>
              <w:jc w:val="right"/>
              <w:rPr>
                <w:sz w:val="18"/>
                <w:szCs w:val="18"/>
              </w:rPr>
            </w:pPr>
            <w:r w:rsidRPr="00CD2E4B">
              <w:rPr>
                <w:sz w:val="18"/>
                <w:szCs w:val="18"/>
              </w:rPr>
              <w:t>437</w:t>
            </w:r>
          </w:p>
        </w:tc>
      </w:tr>
      <w:tr w:rsidR="002E4D4F" w:rsidRPr="00CD2E4B" w14:paraId="5A1AB335" w14:textId="77777777" w:rsidTr="00011542">
        <w:trPr>
          <w:trHeight w:val="235"/>
          <w:tblCellSpacing w:w="0" w:type="dxa"/>
        </w:trPr>
        <w:tc>
          <w:tcPr>
            <w:tcW w:w="4992" w:type="dxa"/>
            <w:shd w:val="clear" w:color="auto" w:fill="F0F0F0"/>
            <w:vAlign w:val="center"/>
            <w:hideMark/>
          </w:tcPr>
          <w:p w14:paraId="5F8882DB" w14:textId="77777777" w:rsidR="002E4D4F" w:rsidRPr="00CD2E4B" w:rsidRDefault="002E4D4F" w:rsidP="00484323">
            <w:pPr>
              <w:spacing w:before="0"/>
              <w:contextualSpacing/>
              <w:mirrorIndents/>
              <w:rPr>
                <w:sz w:val="18"/>
                <w:szCs w:val="18"/>
              </w:rPr>
            </w:pPr>
          </w:p>
        </w:tc>
        <w:tc>
          <w:tcPr>
            <w:tcW w:w="2268" w:type="dxa"/>
            <w:shd w:val="clear" w:color="auto" w:fill="F0F0F0"/>
            <w:vAlign w:val="center"/>
            <w:hideMark/>
          </w:tcPr>
          <w:p w14:paraId="131102B3" w14:textId="77777777" w:rsidR="002E4D4F" w:rsidRPr="00CD2E4B" w:rsidRDefault="002E4D4F" w:rsidP="0022375B">
            <w:pPr>
              <w:spacing w:before="0"/>
              <w:contextualSpacing/>
              <w:mirrorIndents/>
              <w:jc w:val="right"/>
              <w:rPr>
                <w:sz w:val="18"/>
                <w:szCs w:val="18"/>
              </w:rPr>
            </w:pPr>
            <w:r w:rsidRPr="00CD2E4B">
              <w:rPr>
                <w:sz w:val="18"/>
                <w:szCs w:val="18"/>
              </w:rPr>
              <w:t>35.631</w:t>
            </w:r>
          </w:p>
        </w:tc>
        <w:tc>
          <w:tcPr>
            <w:tcW w:w="1835" w:type="dxa"/>
            <w:shd w:val="clear" w:color="auto" w:fill="F0F0F0"/>
            <w:vAlign w:val="center"/>
            <w:hideMark/>
          </w:tcPr>
          <w:p w14:paraId="0EA1392A" w14:textId="77777777" w:rsidR="002E4D4F" w:rsidRPr="00CD2E4B" w:rsidRDefault="002E4D4F" w:rsidP="0022375B">
            <w:pPr>
              <w:spacing w:before="0"/>
              <w:contextualSpacing/>
              <w:mirrorIndents/>
              <w:jc w:val="right"/>
              <w:rPr>
                <w:sz w:val="18"/>
                <w:szCs w:val="18"/>
              </w:rPr>
            </w:pPr>
            <w:r w:rsidRPr="00CD2E4B">
              <w:rPr>
                <w:sz w:val="18"/>
                <w:szCs w:val="18"/>
              </w:rPr>
              <w:t>32.422</w:t>
            </w:r>
          </w:p>
        </w:tc>
      </w:tr>
    </w:tbl>
    <w:p w14:paraId="18CC2335" w14:textId="77777777" w:rsidR="0022375B" w:rsidRDefault="0022375B" w:rsidP="00484323">
      <w:pPr>
        <w:spacing w:before="0"/>
        <w:contextualSpacing/>
        <w:mirrorIndents/>
        <w:rPr>
          <w:sz w:val="18"/>
          <w:szCs w:val="18"/>
        </w:rPr>
      </w:pPr>
    </w:p>
    <w:p w14:paraId="4D59E5E0" w14:textId="6A6F7281" w:rsidR="002E4D4F" w:rsidRPr="002C6479" w:rsidRDefault="002E4D4F" w:rsidP="00484323">
      <w:pPr>
        <w:spacing w:before="0"/>
        <w:contextualSpacing/>
        <w:mirrorIndents/>
        <w:rPr>
          <w:spacing w:val="-2"/>
          <w:sz w:val="18"/>
          <w:szCs w:val="18"/>
        </w:rPr>
      </w:pPr>
      <w:r w:rsidRPr="002C6479">
        <w:rPr>
          <w:spacing w:val="-2"/>
          <w:sz w:val="18"/>
          <w:szCs w:val="18"/>
        </w:rPr>
        <w:t>In den Rückstellungen für drohende Verluste sind die voraussichtlichen Verluste aus der Fortführung der am Bilanzstichtag noch nicht fertiggestellten Baumaßnahmen enthalten, soweit sie die aktivierten Bauaufwendungen übersteigen, sowie für drohende Verluste aus Arbeitsgemeinschaften. Insbesondere für die Baumaßnahme ARGE PPP A7 II und ARGE EUROVIA Oberbau B 247 sind Verlusterwartungen enthalten.</w:t>
      </w:r>
    </w:p>
    <w:p w14:paraId="0CD49241" w14:textId="6B1FC437" w:rsidR="002E4D4F" w:rsidRDefault="002E4D4F" w:rsidP="00484323">
      <w:pPr>
        <w:spacing w:before="0"/>
        <w:contextualSpacing/>
        <w:mirrorIndents/>
        <w:rPr>
          <w:sz w:val="18"/>
          <w:szCs w:val="18"/>
        </w:rPr>
      </w:pPr>
      <w:r w:rsidRPr="00CD2E4B">
        <w:rPr>
          <w:sz w:val="18"/>
          <w:szCs w:val="18"/>
        </w:rPr>
        <w:lastRenderedPageBreak/>
        <w:t>Die Rückstellung für Gewährleistung enthält einerseits die Abgrenzung für einzelne Gewährleistungsansprüche sowie andererseits die Pauschalgewährleistungsrückstellung in Höhe von 0,3 % der Leistung der letzten beiden Jahre.</w:t>
      </w:r>
    </w:p>
    <w:p w14:paraId="33C45BE5" w14:textId="77777777" w:rsidR="0022375B" w:rsidRPr="00CD2E4B" w:rsidRDefault="0022375B" w:rsidP="00484323">
      <w:pPr>
        <w:spacing w:before="0"/>
        <w:contextualSpacing/>
        <w:mirrorIndents/>
        <w:rPr>
          <w:sz w:val="18"/>
          <w:szCs w:val="18"/>
        </w:rPr>
      </w:pPr>
    </w:p>
    <w:p w14:paraId="51FB6CDA" w14:textId="0F062F8B" w:rsidR="002E4D4F" w:rsidRDefault="002E4D4F" w:rsidP="00484323">
      <w:pPr>
        <w:spacing w:before="0"/>
        <w:contextualSpacing/>
        <w:mirrorIndents/>
        <w:rPr>
          <w:sz w:val="18"/>
          <w:szCs w:val="18"/>
        </w:rPr>
      </w:pPr>
      <w:r w:rsidRPr="00CD2E4B">
        <w:rPr>
          <w:b/>
          <w:bCs/>
          <w:sz w:val="18"/>
          <w:szCs w:val="18"/>
        </w:rPr>
        <w:t>(10) Verbindlichkeiten</w:t>
      </w:r>
      <w:r w:rsidRPr="00CD2E4B">
        <w:rPr>
          <w:sz w:val="18"/>
          <w:szCs w:val="18"/>
        </w:rPr>
        <w:t xml:space="preserve"> </w:t>
      </w:r>
    </w:p>
    <w:p w14:paraId="7B5AA8AE" w14:textId="77777777" w:rsidR="0022375B" w:rsidRPr="00CD2E4B" w:rsidRDefault="0022375B" w:rsidP="00484323">
      <w:pPr>
        <w:spacing w:before="0"/>
        <w:contextualSpacing/>
        <w:mirrorIndents/>
        <w:rPr>
          <w:sz w:val="18"/>
          <w:szCs w:val="18"/>
        </w:rPr>
      </w:pPr>
    </w:p>
    <w:p w14:paraId="358BCB9A" w14:textId="60061C76" w:rsidR="002E4D4F" w:rsidRDefault="002E4D4F" w:rsidP="00484323">
      <w:pPr>
        <w:spacing w:before="0"/>
        <w:contextualSpacing/>
        <w:mirrorIndents/>
        <w:rPr>
          <w:sz w:val="18"/>
          <w:szCs w:val="18"/>
        </w:rPr>
      </w:pPr>
      <w:r w:rsidRPr="00CD2E4B">
        <w:rPr>
          <w:sz w:val="18"/>
          <w:szCs w:val="18"/>
        </w:rPr>
        <w:t>Unter den erhaltenen Anzahlungen auf Bestellungen sind Vorauszahlungen für von uns noch zu erbringende Leistungen passiviert. Daneben werden hier erhaltene Abschlagszahlungen ausgewiesen, soweit sie im Einzelfall die aktivierten Herstellungskosten der nicht abgerechneten Bauleistungen übersteigen.</w:t>
      </w:r>
    </w:p>
    <w:p w14:paraId="657EC171" w14:textId="77777777" w:rsidR="0022375B" w:rsidRPr="00CD2E4B" w:rsidRDefault="0022375B" w:rsidP="00484323">
      <w:pPr>
        <w:spacing w:before="0"/>
        <w:contextualSpacing/>
        <w:mirrorIndents/>
        <w:rPr>
          <w:sz w:val="18"/>
          <w:szCs w:val="18"/>
        </w:rPr>
      </w:pPr>
    </w:p>
    <w:p w14:paraId="4F0E95B5" w14:textId="77777777" w:rsidR="002E4D4F" w:rsidRPr="00CD2E4B" w:rsidRDefault="002E4D4F" w:rsidP="00484323">
      <w:pPr>
        <w:spacing w:before="0"/>
        <w:contextualSpacing/>
        <w:mirrorIndents/>
        <w:rPr>
          <w:sz w:val="18"/>
          <w:szCs w:val="18"/>
        </w:rPr>
      </w:pPr>
      <w:r w:rsidRPr="00CD2E4B">
        <w:rPr>
          <w:sz w:val="18"/>
          <w:szCs w:val="18"/>
        </w:rPr>
        <w:t>Die Verbindlichkeiten gegenüber Arbeitsgemeinschaften (TEUR 4.528; Vorjahr: TEUR 16.041) setzen sich aus der Verrechnung mit Gemeinschaftsbaustellen abzüglich Gesellschafterleistungen zusammen.</w:t>
      </w:r>
    </w:p>
    <w:p w14:paraId="7D921485" w14:textId="4ACFFF71" w:rsidR="002E4D4F" w:rsidRDefault="002E4D4F" w:rsidP="00484323">
      <w:pPr>
        <w:spacing w:before="0"/>
        <w:contextualSpacing/>
        <w:mirrorIndents/>
        <w:rPr>
          <w:sz w:val="18"/>
          <w:szCs w:val="18"/>
        </w:rPr>
      </w:pPr>
      <w:r w:rsidRPr="00CD2E4B">
        <w:rPr>
          <w:sz w:val="18"/>
          <w:szCs w:val="18"/>
        </w:rPr>
        <w:t>Die Verbindlichkeiten gegenüber verbundenen Unternehmen (TEUR 24.459; Vorjahr: TEUR 22.413) betreffen Verbindlichkeiten aus dem Cash-Pooling mit Tochtergesellschaften (TEUR 12.740; Vorjahr: TEUR 11.577), aus der umsatzsteuerlichen Organschaft mit der VINCI Deutschland GmbH (TEUR 10.706; Vorjahr: TEUR 10.016) sowie dem Lieferungs- und Leistungsverkehr (TEUR 1.013; Vorjahr: TEUR 820).</w:t>
      </w:r>
    </w:p>
    <w:p w14:paraId="28876167" w14:textId="77777777" w:rsidR="0022375B" w:rsidRPr="00CD2E4B" w:rsidRDefault="0022375B" w:rsidP="00484323">
      <w:pPr>
        <w:spacing w:before="0"/>
        <w:contextualSpacing/>
        <w:mirrorIndents/>
        <w:rPr>
          <w:sz w:val="18"/>
          <w:szCs w:val="18"/>
        </w:rPr>
      </w:pPr>
    </w:p>
    <w:p w14:paraId="682A355D" w14:textId="6CB06D9A" w:rsidR="002E4D4F" w:rsidRDefault="002E4D4F" w:rsidP="00484323">
      <w:pPr>
        <w:spacing w:before="0"/>
        <w:contextualSpacing/>
        <w:mirrorIndents/>
        <w:rPr>
          <w:sz w:val="18"/>
          <w:szCs w:val="18"/>
        </w:rPr>
      </w:pPr>
      <w:r w:rsidRPr="00CD2E4B">
        <w:rPr>
          <w:sz w:val="18"/>
          <w:szCs w:val="18"/>
        </w:rPr>
        <w:t>Die Verbindlichkeiten gegenüber Gesellschaftern (TEUR 19; Vorjahr: TEUR 211), die zugleich Verbindlichkeiten gegenüber verbundenen Unternehmen sind, betreffen vollumfänglich Verbindlichkeiten aus dem Lieferungs- und Leistungsverkehr.</w:t>
      </w:r>
    </w:p>
    <w:p w14:paraId="4769AE32" w14:textId="77777777" w:rsidR="0022375B" w:rsidRPr="00CD2E4B" w:rsidRDefault="0022375B" w:rsidP="00484323">
      <w:pPr>
        <w:spacing w:before="0"/>
        <w:contextualSpacing/>
        <w:mirrorIndents/>
        <w:rPr>
          <w:sz w:val="18"/>
          <w:szCs w:val="18"/>
        </w:rPr>
      </w:pPr>
    </w:p>
    <w:p w14:paraId="364E2526" w14:textId="3C4C9ABE" w:rsidR="002E4D4F" w:rsidRDefault="002E4D4F" w:rsidP="00484323">
      <w:pPr>
        <w:spacing w:before="0"/>
        <w:contextualSpacing/>
        <w:mirrorIndents/>
        <w:rPr>
          <w:sz w:val="18"/>
          <w:szCs w:val="18"/>
        </w:rPr>
      </w:pPr>
      <w:r w:rsidRPr="00CD2E4B">
        <w:rPr>
          <w:sz w:val="18"/>
          <w:szCs w:val="18"/>
        </w:rPr>
        <w:t>Die sonstigen Verbindlichkeiten enthalten neben den Verpflichtungen aus der Lohn- und Gehaltsabrechnung (TEUR 3.159; Vorjahr: TEUR 3.270), Verbindlichkeiten im Rahmen der sozialen Sicherheit (TEUR 5.569; Vorjahr: TEUR 4.450) und Steuerschulden (TEUR 676; Vorjahr: TEUR 751) sowie andere kurzfristig fällige Beträge.</w:t>
      </w:r>
    </w:p>
    <w:p w14:paraId="61D9380C" w14:textId="77777777" w:rsidR="0022375B" w:rsidRPr="00CD2E4B" w:rsidRDefault="0022375B" w:rsidP="00484323">
      <w:pPr>
        <w:spacing w:before="0"/>
        <w:contextualSpacing/>
        <w:mirrorIndents/>
        <w:rPr>
          <w:sz w:val="18"/>
          <w:szCs w:val="18"/>
        </w:rPr>
      </w:pPr>
    </w:p>
    <w:p w14:paraId="6EF40003" w14:textId="65481A12" w:rsidR="002E4D4F" w:rsidRDefault="002E4D4F" w:rsidP="00484323">
      <w:pPr>
        <w:spacing w:before="0"/>
        <w:contextualSpacing/>
        <w:mirrorIndents/>
        <w:rPr>
          <w:sz w:val="18"/>
          <w:szCs w:val="18"/>
        </w:rPr>
      </w:pPr>
      <w:r w:rsidRPr="00CD2E4B">
        <w:rPr>
          <w:sz w:val="18"/>
          <w:szCs w:val="18"/>
        </w:rPr>
        <w:t>Die sonstigen Verbindlichkeiten haben mit TEUR 756 (Vorjahr: TEUR 683) eine Restlaufzeit von über einem Jahr und sind mit TEUR 10.641 (Vorjahr: TEUR 9.619) ansonsten kurzfristig. Alle übrigen Verbindlichkeiten haben wie im Vorjahr eine Restlaufzeit von bis zu einem Jahr.</w:t>
      </w:r>
    </w:p>
    <w:p w14:paraId="1A1D0C18" w14:textId="77777777" w:rsidR="0022375B" w:rsidRPr="00CD2E4B" w:rsidRDefault="0022375B" w:rsidP="00484323">
      <w:pPr>
        <w:spacing w:before="0"/>
        <w:contextualSpacing/>
        <w:mirrorIndents/>
        <w:rPr>
          <w:sz w:val="18"/>
          <w:szCs w:val="18"/>
        </w:rPr>
      </w:pPr>
    </w:p>
    <w:p w14:paraId="21B171CC" w14:textId="1924A4D2" w:rsidR="002E4D4F" w:rsidRPr="00B52927" w:rsidRDefault="002E4D4F" w:rsidP="00484323">
      <w:pPr>
        <w:spacing w:before="0"/>
        <w:contextualSpacing/>
        <w:mirrorIndents/>
        <w:rPr>
          <w:spacing w:val="-2"/>
          <w:sz w:val="18"/>
          <w:szCs w:val="18"/>
        </w:rPr>
      </w:pPr>
      <w:r w:rsidRPr="00B52927">
        <w:rPr>
          <w:b/>
          <w:bCs/>
          <w:spacing w:val="-2"/>
          <w:sz w:val="18"/>
          <w:szCs w:val="18"/>
        </w:rPr>
        <w:t>(11) Haftungsverhältnisse, nicht in der Bilanz enthaltene Geschäfte u</w:t>
      </w:r>
      <w:r w:rsidR="00A360DC" w:rsidRPr="00B52927">
        <w:rPr>
          <w:b/>
          <w:bCs/>
          <w:spacing w:val="-2"/>
          <w:sz w:val="18"/>
          <w:szCs w:val="18"/>
        </w:rPr>
        <w:t>nd</w:t>
      </w:r>
      <w:r w:rsidRPr="00B52927">
        <w:rPr>
          <w:b/>
          <w:bCs/>
          <w:spacing w:val="-2"/>
          <w:sz w:val="18"/>
          <w:szCs w:val="18"/>
        </w:rPr>
        <w:t xml:space="preserve"> sonstige finanzielle Verpflichtungen</w:t>
      </w:r>
      <w:r w:rsidRPr="00B52927">
        <w:rPr>
          <w:spacing w:val="-2"/>
          <w:sz w:val="18"/>
          <w:szCs w:val="18"/>
        </w:rPr>
        <w:t xml:space="preserve"> </w:t>
      </w:r>
    </w:p>
    <w:p w14:paraId="421A9607" w14:textId="77777777" w:rsidR="0022375B" w:rsidRPr="00CD2E4B" w:rsidRDefault="0022375B" w:rsidP="00484323">
      <w:pPr>
        <w:spacing w:before="0"/>
        <w:contextualSpacing/>
        <w:mirrorIndents/>
        <w:rPr>
          <w:sz w:val="18"/>
          <w:szCs w:val="18"/>
        </w:rPr>
      </w:pPr>
    </w:p>
    <w:p w14:paraId="2F675895" w14:textId="10FA509B" w:rsidR="002E4D4F" w:rsidRDefault="002E4D4F" w:rsidP="00484323">
      <w:pPr>
        <w:spacing w:before="0"/>
        <w:contextualSpacing/>
        <w:mirrorIndents/>
        <w:rPr>
          <w:sz w:val="18"/>
          <w:szCs w:val="18"/>
        </w:rPr>
      </w:pPr>
      <w:r w:rsidRPr="00CD2E4B">
        <w:rPr>
          <w:sz w:val="18"/>
          <w:szCs w:val="18"/>
        </w:rPr>
        <w:t>Haftungsverhältnisse</w:t>
      </w:r>
    </w:p>
    <w:p w14:paraId="6DF2F76A" w14:textId="77777777" w:rsidR="0022375B" w:rsidRPr="00CD2E4B" w:rsidRDefault="0022375B" w:rsidP="00484323">
      <w:pPr>
        <w:spacing w:before="0"/>
        <w:contextualSpacing/>
        <w:mirrorIndents/>
        <w:rPr>
          <w:sz w:val="18"/>
          <w:szCs w:val="18"/>
        </w:rPr>
      </w:pPr>
    </w:p>
    <w:p w14:paraId="2ABE0BD2" w14:textId="1D0A84B0" w:rsidR="002E4D4F" w:rsidRDefault="002E4D4F" w:rsidP="00484323">
      <w:pPr>
        <w:spacing w:before="0"/>
        <w:contextualSpacing/>
        <w:mirrorIndents/>
        <w:rPr>
          <w:sz w:val="18"/>
          <w:szCs w:val="18"/>
        </w:rPr>
      </w:pPr>
      <w:r w:rsidRPr="00CD2E4B">
        <w:rPr>
          <w:sz w:val="18"/>
          <w:szCs w:val="18"/>
        </w:rPr>
        <w:t>Als Gesellschafter von Arbeitsgemeinschaften haften wir gesamtschuldnerisch. Aus diesen Haftungsverhältnissen werden wir aufgrund des Einblicks in die wirtschaftliche Situation der Arbeitsgemeinschaften mit überwiegender Wahrscheinlichkeit nicht in Anspruch genommen.</w:t>
      </w:r>
    </w:p>
    <w:p w14:paraId="37910C0F" w14:textId="77777777" w:rsidR="0022375B" w:rsidRPr="00CD2E4B" w:rsidRDefault="0022375B" w:rsidP="00484323">
      <w:pPr>
        <w:spacing w:before="0"/>
        <w:contextualSpacing/>
        <w:mirrorIndents/>
        <w:rPr>
          <w:sz w:val="18"/>
          <w:szCs w:val="18"/>
        </w:rPr>
      </w:pPr>
    </w:p>
    <w:p w14:paraId="57D839E6" w14:textId="52887729" w:rsidR="002E4D4F" w:rsidRDefault="002E4D4F" w:rsidP="00484323">
      <w:pPr>
        <w:spacing w:before="0"/>
        <w:contextualSpacing/>
        <w:mirrorIndents/>
        <w:rPr>
          <w:sz w:val="18"/>
          <w:szCs w:val="18"/>
        </w:rPr>
      </w:pPr>
      <w:r w:rsidRPr="00CD2E4B">
        <w:rPr>
          <w:sz w:val="18"/>
          <w:szCs w:val="18"/>
        </w:rPr>
        <w:t>Nicht in der Bilanz enthaltene Geschäfte und sonstige finanzielle Verpflichtungen</w:t>
      </w:r>
    </w:p>
    <w:p w14:paraId="58504652" w14:textId="77777777" w:rsidR="0022375B" w:rsidRPr="00CD2E4B" w:rsidRDefault="0022375B" w:rsidP="00484323">
      <w:pPr>
        <w:spacing w:before="0"/>
        <w:contextualSpacing/>
        <w:mirrorIndents/>
        <w:rPr>
          <w:sz w:val="18"/>
          <w:szCs w:val="18"/>
        </w:rPr>
      </w:pPr>
    </w:p>
    <w:p w14:paraId="1D3218C1" w14:textId="5998E429" w:rsidR="002E4D4F" w:rsidRDefault="002E4D4F" w:rsidP="00484323">
      <w:pPr>
        <w:spacing w:before="0"/>
        <w:contextualSpacing/>
        <w:mirrorIndents/>
        <w:rPr>
          <w:sz w:val="18"/>
          <w:szCs w:val="18"/>
        </w:rPr>
      </w:pPr>
      <w:r w:rsidRPr="00CD2E4B">
        <w:rPr>
          <w:sz w:val="18"/>
          <w:szCs w:val="18"/>
        </w:rPr>
        <w:t>Der Nutzung eines Teils unserer Sachanlagen liegen Operating-Leasingverträge zugrunde; sie sind daher nicht in der Bilanz enthalten. Dies trägt auch zur Verringerung der Kapitalbindung bei und belässt das Investitionsrisiko beim Leasinggeber. Die Leasingverträge haben im Durchschnitt eine Restlaufzeit von drei bis fünf Jahren und führen zu einem jährlichen Leasingaufwand in Höhe von Mio. EUR 2,3.</w:t>
      </w:r>
    </w:p>
    <w:p w14:paraId="5975EE28" w14:textId="77777777" w:rsidR="004927D2" w:rsidRPr="00CD2E4B" w:rsidRDefault="004927D2" w:rsidP="00484323">
      <w:pPr>
        <w:spacing w:before="0"/>
        <w:contextualSpacing/>
        <w:mirrorIndents/>
        <w:rPr>
          <w:sz w:val="18"/>
          <w:szCs w:val="18"/>
        </w:rPr>
      </w:pPr>
    </w:p>
    <w:p w14:paraId="25EC62AE" w14:textId="1AA69D3F" w:rsidR="002E4D4F" w:rsidRPr="004927D2" w:rsidRDefault="002E4D4F" w:rsidP="00484323">
      <w:pPr>
        <w:spacing w:before="0"/>
        <w:contextualSpacing/>
        <w:mirrorIndents/>
        <w:rPr>
          <w:spacing w:val="-3"/>
          <w:sz w:val="18"/>
          <w:szCs w:val="18"/>
        </w:rPr>
      </w:pPr>
      <w:r w:rsidRPr="004927D2">
        <w:rPr>
          <w:spacing w:val="-3"/>
          <w:sz w:val="18"/>
          <w:szCs w:val="18"/>
        </w:rPr>
        <w:t>Weitere Verpflichtungen ergeben sich aus offenen Bestellungen zum Bilanzstichtag in Höhe von TEUR 1.487.</w:t>
      </w:r>
    </w:p>
    <w:p w14:paraId="04EB2B1E" w14:textId="77777777" w:rsidR="0022375B" w:rsidRPr="00CD2E4B" w:rsidRDefault="0022375B" w:rsidP="00484323">
      <w:pPr>
        <w:spacing w:before="0"/>
        <w:contextualSpacing/>
        <w:mirrorIndents/>
        <w:rPr>
          <w:sz w:val="18"/>
          <w:szCs w:val="18"/>
        </w:rPr>
      </w:pPr>
    </w:p>
    <w:p w14:paraId="78927A62" w14:textId="4CE1DE56" w:rsidR="002E4D4F" w:rsidRDefault="002E4D4F" w:rsidP="00484323">
      <w:pPr>
        <w:spacing w:before="0"/>
        <w:contextualSpacing/>
        <w:mirrorIndents/>
        <w:rPr>
          <w:sz w:val="18"/>
          <w:szCs w:val="18"/>
        </w:rPr>
      </w:pPr>
      <w:r w:rsidRPr="00CD2E4B">
        <w:rPr>
          <w:sz w:val="18"/>
          <w:szCs w:val="18"/>
        </w:rPr>
        <w:t>Sonstige finanzielle Verpflichtungen bestehen wie folgt:</w:t>
      </w:r>
    </w:p>
    <w:p w14:paraId="101B6B2D" w14:textId="77777777" w:rsidR="0022375B" w:rsidRPr="00CD2E4B" w:rsidRDefault="0022375B" w:rsidP="00484323">
      <w:pPr>
        <w:spacing w:before="0"/>
        <w:contextualSpacing/>
        <w:mirrorIndents/>
        <w:rPr>
          <w:sz w:val="18"/>
          <w:szCs w:val="18"/>
        </w:rPr>
      </w:pPr>
    </w:p>
    <w:tbl>
      <w:tblPr>
        <w:tblW w:w="9105" w:type="dxa"/>
        <w:tblCellSpacing w:w="0" w:type="dxa"/>
        <w:tblCellMar>
          <w:top w:w="30" w:type="dxa"/>
          <w:left w:w="30" w:type="dxa"/>
          <w:bottom w:w="30" w:type="dxa"/>
          <w:right w:w="30" w:type="dxa"/>
        </w:tblCellMar>
        <w:tblLook w:val="04A0" w:firstRow="1" w:lastRow="0" w:firstColumn="1" w:lastColumn="0" w:noHBand="0" w:noVBand="1"/>
      </w:tblPr>
      <w:tblGrid>
        <w:gridCol w:w="5984"/>
        <w:gridCol w:w="1559"/>
        <w:gridCol w:w="1562"/>
      </w:tblGrid>
      <w:tr w:rsidR="002E4D4F" w:rsidRPr="00CD2E4B" w14:paraId="328307D8" w14:textId="77777777" w:rsidTr="004927D2">
        <w:trPr>
          <w:trHeight w:val="493"/>
          <w:tblHeader/>
          <w:tblCellSpacing w:w="0" w:type="dxa"/>
        </w:trPr>
        <w:tc>
          <w:tcPr>
            <w:tcW w:w="5984" w:type="dxa"/>
            <w:shd w:val="clear" w:color="auto" w:fill="CDCDCE"/>
            <w:vAlign w:val="bottom"/>
            <w:hideMark/>
          </w:tcPr>
          <w:p w14:paraId="266E0541" w14:textId="77777777" w:rsidR="002E4D4F" w:rsidRPr="00CD2E4B" w:rsidRDefault="002E4D4F" w:rsidP="00484323">
            <w:pPr>
              <w:spacing w:before="0"/>
              <w:contextualSpacing/>
              <w:mirrorIndents/>
              <w:rPr>
                <w:sz w:val="18"/>
                <w:szCs w:val="18"/>
              </w:rPr>
            </w:pPr>
          </w:p>
        </w:tc>
        <w:tc>
          <w:tcPr>
            <w:tcW w:w="1559" w:type="dxa"/>
            <w:shd w:val="clear" w:color="auto" w:fill="CDCDCE"/>
            <w:vAlign w:val="bottom"/>
            <w:hideMark/>
          </w:tcPr>
          <w:p w14:paraId="65CC47A2" w14:textId="77777777" w:rsidR="002E4D4F" w:rsidRPr="00CD2E4B" w:rsidRDefault="002E4D4F" w:rsidP="00484323">
            <w:pPr>
              <w:spacing w:before="0"/>
              <w:contextualSpacing/>
              <w:mirrorIndents/>
              <w:rPr>
                <w:sz w:val="18"/>
                <w:szCs w:val="18"/>
              </w:rPr>
            </w:pPr>
            <w:r w:rsidRPr="00CD2E4B">
              <w:rPr>
                <w:sz w:val="18"/>
                <w:szCs w:val="18"/>
              </w:rPr>
              <w:t>31.12.2022</w:t>
            </w:r>
            <w:r w:rsidRPr="00CD2E4B">
              <w:rPr>
                <w:sz w:val="18"/>
                <w:szCs w:val="18"/>
              </w:rPr>
              <w:br/>
              <w:t>TEUR</w:t>
            </w:r>
          </w:p>
        </w:tc>
        <w:tc>
          <w:tcPr>
            <w:tcW w:w="1562" w:type="dxa"/>
            <w:shd w:val="clear" w:color="auto" w:fill="CDCDCE"/>
            <w:vAlign w:val="bottom"/>
            <w:hideMark/>
          </w:tcPr>
          <w:p w14:paraId="68E4F474" w14:textId="77777777" w:rsidR="002E4D4F" w:rsidRPr="00CD2E4B" w:rsidRDefault="002E4D4F" w:rsidP="00484323">
            <w:pPr>
              <w:spacing w:before="0"/>
              <w:contextualSpacing/>
              <w:mirrorIndents/>
              <w:rPr>
                <w:sz w:val="18"/>
                <w:szCs w:val="18"/>
              </w:rPr>
            </w:pPr>
            <w:r w:rsidRPr="00CD2E4B">
              <w:rPr>
                <w:sz w:val="18"/>
                <w:szCs w:val="18"/>
              </w:rPr>
              <w:t>31.12.2021</w:t>
            </w:r>
            <w:r w:rsidRPr="00CD2E4B">
              <w:rPr>
                <w:sz w:val="18"/>
                <w:szCs w:val="18"/>
              </w:rPr>
              <w:br/>
              <w:t>TEUR</w:t>
            </w:r>
          </w:p>
        </w:tc>
      </w:tr>
      <w:tr w:rsidR="002E4D4F" w:rsidRPr="00CD2E4B" w14:paraId="506AB7EC" w14:textId="77777777" w:rsidTr="004927D2">
        <w:trPr>
          <w:trHeight w:val="239"/>
          <w:tblCellSpacing w:w="0" w:type="dxa"/>
        </w:trPr>
        <w:tc>
          <w:tcPr>
            <w:tcW w:w="5984" w:type="dxa"/>
            <w:vAlign w:val="center"/>
            <w:hideMark/>
          </w:tcPr>
          <w:p w14:paraId="67D0AD0D" w14:textId="77777777" w:rsidR="002E4D4F" w:rsidRPr="00CD2E4B" w:rsidRDefault="002E4D4F" w:rsidP="00484323">
            <w:pPr>
              <w:spacing w:before="0"/>
              <w:contextualSpacing/>
              <w:mirrorIndents/>
              <w:rPr>
                <w:sz w:val="18"/>
                <w:szCs w:val="18"/>
              </w:rPr>
            </w:pPr>
            <w:r w:rsidRPr="00CD2E4B">
              <w:rPr>
                <w:sz w:val="18"/>
                <w:szCs w:val="18"/>
              </w:rPr>
              <w:t>Verpflichtungen aus Leasing-, Miet- und Pachtverträgen</w:t>
            </w:r>
          </w:p>
        </w:tc>
        <w:tc>
          <w:tcPr>
            <w:tcW w:w="1559" w:type="dxa"/>
            <w:vAlign w:val="center"/>
            <w:hideMark/>
          </w:tcPr>
          <w:p w14:paraId="4B8BC5C8" w14:textId="77777777" w:rsidR="002E4D4F" w:rsidRPr="00CD2E4B" w:rsidRDefault="002E4D4F" w:rsidP="00484323">
            <w:pPr>
              <w:spacing w:before="0"/>
              <w:contextualSpacing/>
              <w:mirrorIndents/>
              <w:rPr>
                <w:sz w:val="18"/>
                <w:szCs w:val="18"/>
              </w:rPr>
            </w:pPr>
          </w:p>
        </w:tc>
        <w:tc>
          <w:tcPr>
            <w:tcW w:w="1562" w:type="dxa"/>
            <w:vAlign w:val="center"/>
            <w:hideMark/>
          </w:tcPr>
          <w:p w14:paraId="4C2F5F60" w14:textId="77777777" w:rsidR="002E4D4F" w:rsidRPr="00CD2E4B" w:rsidRDefault="002E4D4F" w:rsidP="00484323">
            <w:pPr>
              <w:spacing w:before="0"/>
              <w:contextualSpacing/>
              <w:mirrorIndents/>
              <w:rPr>
                <w:sz w:val="18"/>
                <w:szCs w:val="18"/>
              </w:rPr>
            </w:pPr>
          </w:p>
        </w:tc>
      </w:tr>
      <w:tr w:rsidR="002E4D4F" w:rsidRPr="00CD2E4B" w14:paraId="03A5F5BB" w14:textId="77777777" w:rsidTr="004927D2">
        <w:trPr>
          <w:trHeight w:val="239"/>
          <w:tblCellSpacing w:w="0" w:type="dxa"/>
        </w:trPr>
        <w:tc>
          <w:tcPr>
            <w:tcW w:w="5984" w:type="dxa"/>
            <w:shd w:val="clear" w:color="auto" w:fill="F0F0F0"/>
            <w:vAlign w:val="center"/>
            <w:hideMark/>
          </w:tcPr>
          <w:p w14:paraId="291EAE9B" w14:textId="77777777" w:rsidR="002E4D4F" w:rsidRPr="00CD2E4B" w:rsidRDefault="002E4D4F" w:rsidP="00484323">
            <w:pPr>
              <w:spacing w:before="0"/>
              <w:contextualSpacing/>
              <w:mirrorIndents/>
              <w:rPr>
                <w:sz w:val="18"/>
                <w:szCs w:val="18"/>
              </w:rPr>
            </w:pPr>
            <w:r w:rsidRPr="00CD2E4B">
              <w:rPr>
                <w:sz w:val="18"/>
                <w:szCs w:val="18"/>
              </w:rPr>
              <w:t>fällig im 1. Folgejahr</w:t>
            </w:r>
          </w:p>
        </w:tc>
        <w:tc>
          <w:tcPr>
            <w:tcW w:w="1559" w:type="dxa"/>
            <w:shd w:val="clear" w:color="auto" w:fill="F0F0F0"/>
            <w:vAlign w:val="center"/>
            <w:hideMark/>
          </w:tcPr>
          <w:p w14:paraId="191D29EE" w14:textId="77777777" w:rsidR="002E4D4F" w:rsidRPr="00CD2E4B" w:rsidRDefault="002E4D4F" w:rsidP="00484323">
            <w:pPr>
              <w:spacing w:before="0"/>
              <w:contextualSpacing/>
              <w:mirrorIndents/>
              <w:rPr>
                <w:sz w:val="18"/>
                <w:szCs w:val="18"/>
              </w:rPr>
            </w:pPr>
            <w:r w:rsidRPr="00CD2E4B">
              <w:rPr>
                <w:sz w:val="18"/>
                <w:szCs w:val="18"/>
              </w:rPr>
              <w:t>3.168</w:t>
            </w:r>
          </w:p>
        </w:tc>
        <w:tc>
          <w:tcPr>
            <w:tcW w:w="1562" w:type="dxa"/>
            <w:shd w:val="clear" w:color="auto" w:fill="F0F0F0"/>
            <w:vAlign w:val="center"/>
            <w:hideMark/>
          </w:tcPr>
          <w:p w14:paraId="0EDE5D17" w14:textId="77777777" w:rsidR="002E4D4F" w:rsidRPr="00CD2E4B" w:rsidRDefault="002E4D4F" w:rsidP="00484323">
            <w:pPr>
              <w:spacing w:before="0"/>
              <w:contextualSpacing/>
              <w:mirrorIndents/>
              <w:rPr>
                <w:sz w:val="18"/>
                <w:szCs w:val="18"/>
              </w:rPr>
            </w:pPr>
            <w:r w:rsidRPr="00CD2E4B">
              <w:rPr>
                <w:sz w:val="18"/>
                <w:szCs w:val="18"/>
              </w:rPr>
              <w:t>2.827</w:t>
            </w:r>
          </w:p>
        </w:tc>
      </w:tr>
      <w:tr w:rsidR="002E4D4F" w:rsidRPr="00CD2E4B" w14:paraId="7CD16389" w14:textId="77777777" w:rsidTr="004927D2">
        <w:trPr>
          <w:trHeight w:val="252"/>
          <w:tblCellSpacing w:w="0" w:type="dxa"/>
        </w:trPr>
        <w:tc>
          <w:tcPr>
            <w:tcW w:w="5984" w:type="dxa"/>
            <w:vAlign w:val="center"/>
            <w:hideMark/>
          </w:tcPr>
          <w:p w14:paraId="10D0A728" w14:textId="77777777" w:rsidR="002E4D4F" w:rsidRPr="00CD2E4B" w:rsidRDefault="002E4D4F" w:rsidP="00484323">
            <w:pPr>
              <w:spacing w:before="0"/>
              <w:contextualSpacing/>
              <w:mirrorIndents/>
              <w:rPr>
                <w:sz w:val="18"/>
                <w:szCs w:val="18"/>
              </w:rPr>
            </w:pPr>
            <w:r w:rsidRPr="00CD2E4B">
              <w:rPr>
                <w:sz w:val="18"/>
                <w:szCs w:val="18"/>
              </w:rPr>
              <w:t>fällig im 2. bis 5. Folgejahr</w:t>
            </w:r>
          </w:p>
        </w:tc>
        <w:tc>
          <w:tcPr>
            <w:tcW w:w="1559" w:type="dxa"/>
            <w:vAlign w:val="center"/>
            <w:hideMark/>
          </w:tcPr>
          <w:p w14:paraId="2FA9610E" w14:textId="77777777" w:rsidR="002E4D4F" w:rsidRPr="00CD2E4B" w:rsidRDefault="002E4D4F" w:rsidP="00484323">
            <w:pPr>
              <w:spacing w:before="0"/>
              <w:contextualSpacing/>
              <w:mirrorIndents/>
              <w:rPr>
                <w:sz w:val="18"/>
                <w:szCs w:val="18"/>
              </w:rPr>
            </w:pPr>
            <w:r w:rsidRPr="00CD2E4B">
              <w:rPr>
                <w:sz w:val="18"/>
                <w:szCs w:val="18"/>
              </w:rPr>
              <w:t>4.112</w:t>
            </w:r>
          </w:p>
        </w:tc>
        <w:tc>
          <w:tcPr>
            <w:tcW w:w="1562" w:type="dxa"/>
            <w:vAlign w:val="center"/>
            <w:hideMark/>
          </w:tcPr>
          <w:p w14:paraId="0FFD206B" w14:textId="77777777" w:rsidR="002E4D4F" w:rsidRPr="00CD2E4B" w:rsidRDefault="002E4D4F" w:rsidP="00484323">
            <w:pPr>
              <w:spacing w:before="0"/>
              <w:contextualSpacing/>
              <w:mirrorIndents/>
              <w:rPr>
                <w:sz w:val="18"/>
                <w:szCs w:val="18"/>
              </w:rPr>
            </w:pPr>
            <w:r w:rsidRPr="00CD2E4B">
              <w:rPr>
                <w:sz w:val="18"/>
                <w:szCs w:val="18"/>
              </w:rPr>
              <w:t>2.704</w:t>
            </w:r>
          </w:p>
        </w:tc>
      </w:tr>
      <w:tr w:rsidR="002E4D4F" w:rsidRPr="00CD2E4B" w14:paraId="2BE61990" w14:textId="77777777" w:rsidTr="004927D2">
        <w:trPr>
          <w:trHeight w:val="239"/>
          <w:tblCellSpacing w:w="0" w:type="dxa"/>
        </w:trPr>
        <w:tc>
          <w:tcPr>
            <w:tcW w:w="5984" w:type="dxa"/>
            <w:shd w:val="clear" w:color="auto" w:fill="F0F0F0"/>
            <w:vAlign w:val="center"/>
            <w:hideMark/>
          </w:tcPr>
          <w:p w14:paraId="07E48798" w14:textId="77777777" w:rsidR="002E4D4F" w:rsidRPr="00CD2E4B" w:rsidRDefault="002E4D4F" w:rsidP="00484323">
            <w:pPr>
              <w:spacing w:before="0"/>
              <w:contextualSpacing/>
              <w:mirrorIndents/>
              <w:rPr>
                <w:sz w:val="18"/>
                <w:szCs w:val="18"/>
              </w:rPr>
            </w:pPr>
            <w:r w:rsidRPr="00CD2E4B">
              <w:rPr>
                <w:sz w:val="18"/>
                <w:szCs w:val="18"/>
              </w:rPr>
              <w:t>fällig nach dem 5. Folgejahr</w:t>
            </w:r>
          </w:p>
        </w:tc>
        <w:tc>
          <w:tcPr>
            <w:tcW w:w="1559" w:type="dxa"/>
            <w:shd w:val="clear" w:color="auto" w:fill="F0F0F0"/>
            <w:vAlign w:val="center"/>
            <w:hideMark/>
          </w:tcPr>
          <w:p w14:paraId="65327968" w14:textId="77777777" w:rsidR="002E4D4F" w:rsidRPr="00CD2E4B" w:rsidRDefault="002E4D4F" w:rsidP="00484323">
            <w:pPr>
              <w:spacing w:before="0"/>
              <w:contextualSpacing/>
              <w:mirrorIndents/>
              <w:rPr>
                <w:sz w:val="18"/>
                <w:szCs w:val="18"/>
              </w:rPr>
            </w:pPr>
            <w:r w:rsidRPr="00CD2E4B">
              <w:rPr>
                <w:sz w:val="18"/>
                <w:szCs w:val="18"/>
              </w:rPr>
              <w:t>235</w:t>
            </w:r>
          </w:p>
        </w:tc>
        <w:tc>
          <w:tcPr>
            <w:tcW w:w="1562" w:type="dxa"/>
            <w:shd w:val="clear" w:color="auto" w:fill="F0F0F0"/>
            <w:vAlign w:val="center"/>
            <w:hideMark/>
          </w:tcPr>
          <w:p w14:paraId="5C68648B" w14:textId="77777777" w:rsidR="002E4D4F" w:rsidRPr="00CD2E4B" w:rsidRDefault="002E4D4F" w:rsidP="00484323">
            <w:pPr>
              <w:spacing w:before="0"/>
              <w:contextualSpacing/>
              <w:mirrorIndents/>
              <w:rPr>
                <w:sz w:val="18"/>
                <w:szCs w:val="18"/>
              </w:rPr>
            </w:pPr>
            <w:r w:rsidRPr="00CD2E4B">
              <w:rPr>
                <w:sz w:val="18"/>
                <w:szCs w:val="18"/>
              </w:rPr>
              <w:t>147</w:t>
            </w:r>
          </w:p>
        </w:tc>
      </w:tr>
      <w:tr w:rsidR="002E4D4F" w:rsidRPr="00CD2E4B" w14:paraId="0E919D4D" w14:textId="77777777" w:rsidTr="004927D2">
        <w:trPr>
          <w:trHeight w:val="252"/>
          <w:tblCellSpacing w:w="0" w:type="dxa"/>
        </w:trPr>
        <w:tc>
          <w:tcPr>
            <w:tcW w:w="5984" w:type="dxa"/>
            <w:vAlign w:val="center"/>
            <w:hideMark/>
          </w:tcPr>
          <w:p w14:paraId="356F86D3" w14:textId="77777777" w:rsidR="002E4D4F" w:rsidRPr="00CD2E4B" w:rsidRDefault="002E4D4F" w:rsidP="00484323">
            <w:pPr>
              <w:spacing w:before="0"/>
              <w:contextualSpacing/>
              <w:mirrorIndents/>
              <w:rPr>
                <w:sz w:val="18"/>
                <w:szCs w:val="18"/>
              </w:rPr>
            </w:pPr>
          </w:p>
        </w:tc>
        <w:tc>
          <w:tcPr>
            <w:tcW w:w="1559" w:type="dxa"/>
            <w:vAlign w:val="center"/>
            <w:hideMark/>
          </w:tcPr>
          <w:p w14:paraId="12941A82" w14:textId="77777777" w:rsidR="002E4D4F" w:rsidRPr="00CD2E4B" w:rsidRDefault="002E4D4F" w:rsidP="00484323">
            <w:pPr>
              <w:spacing w:before="0"/>
              <w:contextualSpacing/>
              <w:mirrorIndents/>
              <w:rPr>
                <w:sz w:val="18"/>
                <w:szCs w:val="18"/>
              </w:rPr>
            </w:pPr>
            <w:r w:rsidRPr="00CD2E4B">
              <w:rPr>
                <w:sz w:val="18"/>
                <w:szCs w:val="18"/>
              </w:rPr>
              <w:t>7.515</w:t>
            </w:r>
          </w:p>
        </w:tc>
        <w:tc>
          <w:tcPr>
            <w:tcW w:w="1562" w:type="dxa"/>
            <w:vAlign w:val="center"/>
            <w:hideMark/>
          </w:tcPr>
          <w:p w14:paraId="56C99623" w14:textId="77777777" w:rsidR="002E4D4F" w:rsidRPr="00CD2E4B" w:rsidRDefault="002E4D4F" w:rsidP="00484323">
            <w:pPr>
              <w:spacing w:before="0"/>
              <w:contextualSpacing/>
              <w:mirrorIndents/>
              <w:rPr>
                <w:sz w:val="18"/>
                <w:szCs w:val="18"/>
              </w:rPr>
            </w:pPr>
            <w:r w:rsidRPr="00CD2E4B">
              <w:rPr>
                <w:sz w:val="18"/>
                <w:szCs w:val="18"/>
              </w:rPr>
              <w:t>5.678</w:t>
            </w:r>
          </w:p>
        </w:tc>
      </w:tr>
      <w:tr w:rsidR="002E4D4F" w:rsidRPr="00CD2E4B" w14:paraId="560F28D7" w14:textId="77777777" w:rsidTr="004927D2">
        <w:trPr>
          <w:trHeight w:val="239"/>
          <w:tblCellSpacing w:w="0" w:type="dxa"/>
        </w:trPr>
        <w:tc>
          <w:tcPr>
            <w:tcW w:w="5984" w:type="dxa"/>
            <w:shd w:val="clear" w:color="auto" w:fill="F0F0F0"/>
            <w:vAlign w:val="center"/>
            <w:hideMark/>
          </w:tcPr>
          <w:p w14:paraId="034C4B9F" w14:textId="77777777" w:rsidR="002E4D4F" w:rsidRPr="00CD2E4B" w:rsidRDefault="002E4D4F" w:rsidP="00484323">
            <w:pPr>
              <w:spacing w:before="0"/>
              <w:contextualSpacing/>
              <w:mirrorIndents/>
              <w:rPr>
                <w:sz w:val="18"/>
                <w:szCs w:val="18"/>
              </w:rPr>
            </w:pPr>
            <w:r w:rsidRPr="00CD2E4B">
              <w:rPr>
                <w:sz w:val="18"/>
                <w:szCs w:val="18"/>
              </w:rPr>
              <w:t>davon gegenüber verbundenen Unternehmen</w:t>
            </w:r>
          </w:p>
        </w:tc>
        <w:tc>
          <w:tcPr>
            <w:tcW w:w="1559" w:type="dxa"/>
            <w:shd w:val="clear" w:color="auto" w:fill="F0F0F0"/>
            <w:vAlign w:val="center"/>
            <w:hideMark/>
          </w:tcPr>
          <w:p w14:paraId="20FDD287" w14:textId="77777777" w:rsidR="002E4D4F" w:rsidRPr="00CD2E4B" w:rsidRDefault="002E4D4F" w:rsidP="00484323">
            <w:pPr>
              <w:spacing w:before="0"/>
              <w:contextualSpacing/>
              <w:mirrorIndents/>
              <w:rPr>
                <w:sz w:val="18"/>
                <w:szCs w:val="18"/>
              </w:rPr>
            </w:pPr>
            <w:r w:rsidRPr="00CD2E4B">
              <w:rPr>
                <w:sz w:val="18"/>
                <w:szCs w:val="18"/>
              </w:rPr>
              <w:t>558</w:t>
            </w:r>
          </w:p>
        </w:tc>
        <w:tc>
          <w:tcPr>
            <w:tcW w:w="1562" w:type="dxa"/>
            <w:shd w:val="clear" w:color="auto" w:fill="F0F0F0"/>
            <w:vAlign w:val="center"/>
            <w:hideMark/>
          </w:tcPr>
          <w:p w14:paraId="44824EA0" w14:textId="77777777" w:rsidR="002E4D4F" w:rsidRPr="00CD2E4B" w:rsidRDefault="002E4D4F" w:rsidP="00484323">
            <w:pPr>
              <w:spacing w:before="0"/>
              <w:contextualSpacing/>
              <w:mirrorIndents/>
              <w:rPr>
                <w:sz w:val="18"/>
                <w:szCs w:val="18"/>
              </w:rPr>
            </w:pPr>
            <w:r w:rsidRPr="00CD2E4B">
              <w:rPr>
                <w:sz w:val="18"/>
                <w:szCs w:val="18"/>
              </w:rPr>
              <w:t>700</w:t>
            </w:r>
          </w:p>
        </w:tc>
      </w:tr>
    </w:tbl>
    <w:p w14:paraId="0EDB858F" w14:textId="1BE45558" w:rsidR="0022375B" w:rsidRDefault="0022375B" w:rsidP="00484323">
      <w:pPr>
        <w:spacing w:before="0"/>
        <w:contextualSpacing/>
        <w:mirrorIndents/>
        <w:rPr>
          <w:b/>
          <w:bCs/>
          <w:sz w:val="18"/>
          <w:szCs w:val="18"/>
        </w:rPr>
      </w:pPr>
    </w:p>
    <w:p w14:paraId="1E9E9C58" w14:textId="3A2A709D" w:rsidR="002E4D4F" w:rsidRDefault="002E4D4F" w:rsidP="00484323">
      <w:pPr>
        <w:spacing w:before="0"/>
        <w:contextualSpacing/>
        <w:mirrorIndents/>
        <w:rPr>
          <w:sz w:val="18"/>
          <w:szCs w:val="18"/>
        </w:rPr>
      </w:pPr>
      <w:r w:rsidRPr="00CD2E4B">
        <w:rPr>
          <w:b/>
          <w:bCs/>
          <w:sz w:val="18"/>
          <w:szCs w:val="18"/>
        </w:rPr>
        <w:lastRenderedPageBreak/>
        <w:t>Erläuterungen zur Gewinn- und Verlustrechnung</w:t>
      </w:r>
      <w:r w:rsidRPr="00CD2E4B">
        <w:rPr>
          <w:sz w:val="18"/>
          <w:szCs w:val="18"/>
        </w:rPr>
        <w:t xml:space="preserve"> </w:t>
      </w:r>
    </w:p>
    <w:p w14:paraId="092F00EB" w14:textId="77777777" w:rsidR="0022375B" w:rsidRPr="004927D2" w:rsidRDefault="0022375B" w:rsidP="00484323">
      <w:pPr>
        <w:spacing w:before="0"/>
        <w:contextualSpacing/>
        <w:mirrorIndents/>
        <w:rPr>
          <w:sz w:val="14"/>
          <w:szCs w:val="18"/>
        </w:rPr>
      </w:pPr>
    </w:p>
    <w:p w14:paraId="45E0A673" w14:textId="26793877" w:rsidR="002E4D4F" w:rsidRDefault="002E4D4F" w:rsidP="00484323">
      <w:pPr>
        <w:spacing w:before="0"/>
        <w:contextualSpacing/>
        <w:mirrorIndents/>
        <w:rPr>
          <w:sz w:val="18"/>
          <w:szCs w:val="18"/>
        </w:rPr>
      </w:pPr>
      <w:r w:rsidRPr="00CD2E4B">
        <w:rPr>
          <w:b/>
          <w:bCs/>
          <w:sz w:val="18"/>
          <w:szCs w:val="18"/>
        </w:rPr>
        <w:t>(12) Umsatzerlöse</w:t>
      </w:r>
      <w:r w:rsidRPr="00CD2E4B">
        <w:rPr>
          <w:sz w:val="18"/>
          <w:szCs w:val="18"/>
        </w:rPr>
        <w:t xml:space="preserve"> </w:t>
      </w:r>
    </w:p>
    <w:p w14:paraId="1377FBD5" w14:textId="77777777" w:rsidR="0022375B" w:rsidRPr="004927D2" w:rsidRDefault="0022375B" w:rsidP="00484323">
      <w:pPr>
        <w:spacing w:before="0"/>
        <w:contextualSpacing/>
        <w:mirrorIndents/>
        <w:rPr>
          <w:sz w:val="12"/>
          <w:szCs w:val="18"/>
        </w:rPr>
      </w:pPr>
    </w:p>
    <w:p w14:paraId="565E5262" w14:textId="7D04E29B" w:rsidR="002E4D4F" w:rsidRPr="004927D2" w:rsidRDefault="002E4D4F" w:rsidP="00484323">
      <w:pPr>
        <w:spacing w:before="0"/>
        <w:contextualSpacing/>
        <w:mirrorIndents/>
        <w:rPr>
          <w:sz w:val="18"/>
          <w:szCs w:val="18"/>
        </w:rPr>
      </w:pPr>
      <w:r w:rsidRPr="004927D2">
        <w:rPr>
          <w:sz w:val="18"/>
          <w:szCs w:val="18"/>
        </w:rPr>
        <w:t>Die Umsatzerlöse sind wie im Vorjahr vollumfänglich in Deutschland erbracht worden und gliedern sich wie folgt:</w:t>
      </w:r>
    </w:p>
    <w:p w14:paraId="3F765868" w14:textId="77777777" w:rsidR="0022375B" w:rsidRPr="004927D2" w:rsidRDefault="0022375B" w:rsidP="00484323">
      <w:pPr>
        <w:spacing w:before="0"/>
        <w:contextualSpacing/>
        <w:mirrorIndents/>
        <w:rPr>
          <w:sz w:val="8"/>
          <w:szCs w:val="18"/>
        </w:rPr>
      </w:pPr>
    </w:p>
    <w:tbl>
      <w:tblPr>
        <w:tblW w:w="9118" w:type="dxa"/>
        <w:tblCellSpacing w:w="0" w:type="dxa"/>
        <w:tblCellMar>
          <w:top w:w="30" w:type="dxa"/>
          <w:left w:w="30" w:type="dxa"/>
          <w:bottom w:w="30" w:type="dxa"/>
          <w:right w:w="30" w:type="dxa"/>
        </w:tblCellMar>
        <w:tblLook w:val="04A0" w:firstRow="1" w:lastRow="0" w:firstColumn="1" w:lastColumn="0" w:noHBand="0" w:noVBand="1"/>
      </w:tblPr>
      <w:tblGrid>
        <w:gridCol w:w="5984"/>
        <w:gridCol w:w="1417"/>
        <w:gridCol w:w="1717"/>
      </w:tblGrid>
      <w:tr w:rsidR="002E4D4F" w:rsidRPr="00CD2E4B" w14:paraId="3BB995B1" w14:textId="77777777" w:rsidTr="004927D2">
        <w:trPr>
          <w:trHeight w:val="482"/>
          <w:tblHeader/>
          <w:tblCellSpacing w:w="0" w:type="dxa"/>
        </w:trPr>
        <w:tc>
          <w:tcPr>
            <w:tcW w:w="5984" w:type="dxa"/>
            <w:shd w:val="clear" w:color="auto" w:fill="CDCDCE"/>
            <w:vAlign w:val="bottom"/>
            <w:hideMark/>
          </w:tcPr>
          <w:p w14:paraId="7B8B53D0" w14:textId="77777777" w:rsidR="002E4D4F" w:rsidRPr="00CD2E4B" w:rsidRDefault="002E4D4F" w:rsidP="00484323">
            <w:pPr>
              <w:spacing w:before="0"/>
              <w:contextualSpacing/>
              <w:mirrorIndents/>
              <w:rPr>
                <w:sz w:val="18"/>
                <w:szCs w:val="18"/>
              </w:rPr>
            </w:pPr>
          </w:p>
        </w:tc>
        <w:tc>
          <w:tcPr>
            <w:tcW w:w="1417" w:type="dxa"/>
            <w:shd w:val="clear" w:color="auto" w:fill="CDCDCE"/>
            <w:vAlign w:val="bottom"/>
            <w:hideMark/>
          </w:tcPr>
          <w:p w14:paraId="2B1B4714" w14:textId="77777777" w:rsidR="002E4D4F" w:rsidRPr="00CD2E4B" w:rsidRDefault="002E4D4F" w:rsidP="0022375B">
            <w:pPr>
              <w:spacing w:before="0"/>
              <w:contextualSpacing/>
              <w:mirrorIndents/>
              <w:jc w:val="right"/>
              <w:rPr>
                <w:sz w:val="18"/>
                <w:szCs w:val="18"/>
              </w:rPr>
            </w:pPr>
            <w:r w:rsidRPr="00CD2E4B">
              <w:rPr>
                <w:sz w:val="18"/>
                <w:szCs w:val="18"/>
              </w:rPr>
              <w:t>31.12.2022</w:t>
            </w:r>
            <w:r w:rsidRPr="00CD2E4B">
              <w:rPr>
                <w:sz w:val="18"/>
                <w:szCs w:val="18"/>
              </w:rPr>
              <w:br/>
              <w:t>TEUR</w:t>
            </w:r>
          </w:p>
        </w:tc>
        <w:tc>
          <w:tcPr>
            <w:tcW w:w="1717" w:type="dxa"/>
            <w:shd w:val="clear" w:color="auto" w:fill="CDCDCE"/>
            <w:vAlign w:val="bottom"/>
            <w:hideMark/>
          </w:tcPr>
          <w:p w14:paraId="50828F20" w14:textId="77777777" w:rsidR="002E4D4F" w:rsidRPr="00CD2E4B" w:rsidRDefault="002E4D4F" w:rsidP="0022375B">
            <w:pPr>
              <w:spacing w:before="0"/>
              <w:contextualSpacing/>
              <w:mirrorIndents/>
              <w:jc w:val="right"/>
              <w:rPr>
                <w:sz w:val="18"/>
                <w:szCs w:val="18"/>
              </w:rPr>
            </w:pPr>
            <w:r w:rsidRPr="00CD2E4B">
              <w:rPr>
                <w:sz w:val="18"/>
                <w:szCs w:val="18"/>
              </w:rPr>
              <w:t>Vorjahr</w:t>
            </w:r>
            <w:r w:rsidRPr="00CD2E4B">
              <w:rPr>
                <w:sz w:val="18"/>
                <w:szCs w:val="18"/>
              </w:rPr>
              <w:br/>
              <w:t>TEUR</w:t>
            </w:r>
          </w:p>
        </w:tc>
      </w:tr>
      <w:tr w:rsidR="002E4D4F" w:rsidRPr="00CD2E4B" w14:paraId="0C528833" w14:textId="77777777" w:rsidTr="004927D2">
        <w:trPr>
          <w:trHeight w:val="234"/>
          <w:tblCellSpacing w:w="0" w:type="dxa"/>
        </w:trPr>
        <w:tc>
          <w:tcPr>
            <w:tcW w:w="5984" w:type="dxa"/>
            <w:vAlign w:val="center"/>
            <w:hideMark/>
          </w:tcPr>
          <w:p w14:paraId="59B083B0" w14:textId="77777777" w:rsidR="002E4D4F" w:rsidRPr="00CD2E4B" w:rsidRDefault="002E4D4F" w:rsidP="00484323">
            <w:pPr>
              <w:spacing w:before="0"/>
              <w:contextualSpacing/>
              <w:mirrorIndents/>
              <w:rPr>
                <w:sz w:val="18"/>
                <w:szCs w:val="18"/>
              </w:rPr>
            </w:pPr>
            <w:r w:rsidRPr="00CD2E4B">
              <w:rPr>
                <w:sz w:val="18"/>
                <w:szCs w:val="18"/>
              </w:rPr>
              <w:t>Abgerechnete Bauaufträge</w:t>
            </w:r>
          </w:p>
        </w:tc>
        <w:tc>
          <w:tcPr>
            <w:tcW w:w="1417" w:type="dxa"/>
            <w:vAlign w:val="center"/>
            <w:hideMark/>
          </w:tcPr>
          <w:p w14:paraId="63B8CF5A" w14:textId="77777777" w:rsidR="002E4D4F" w:rsidRPr="00CD2E4B" w:rsidRDefault="002E4D4F" w:rsidP="0022375B">
            <w:pPr>
              <w:spacing w:before="0"/>
              <w:contextualSpacing/>
              <w:mirrorIndents/>
              <w:jc w:val="right"/>
              <w:rPr>
                <w:sz w:val="18"/>
                <w:szCs w:val="18"/>
              </w:rPr>
            </w:pPr>
            <w:r w:rsidRPr="00CD2E4B">
              <w:rPr>
                <w:sz w:val="18"/>
                <w:szCs w:val="18"/>
              </w:rPr>
              <w:t>226.406</w:t>
            </w:r>
          </w:p>
        </w:tc>
        <w:tc>
          <w:tcPr>
            <w:tcW w:w="1717" w:type="dxa"/>
            <w:vAlign w:val="center"/>
            <w:hideMark/>
          </w:tcPr>
          <w:p w14:paraId="43F7966C" w14:textId="77777777" w:rsidR="002E4D4F" w:rsidRPr="00CD2E4B" w:rsidRDefault="002E4D4F" w:rsidP="0022375B">
            <w:pPr>
              <w:spacing w:before="0"/>
              <w:contextualSpacing/>
              <w:mirrorIndents/>
              <w:jc w:val="right"/>
              <w:rPr>
                <w:sz w:val="18"/>
                <w:szCs w:val="18"/>
              </w:rPr>
            </w:pPr>
            <w:r w:rsidRPr="00CD2E4B">
              <w:rPr>
                <w:sz w:val="18"/>
                <w:szCs w:val="18"/>
              </w:rPr>
              <w:t>249.938</w:t>
            </w:r>
          </w:p>
        </w:tc>
      </w:tr>
      <w:tr w:rsidR="002E4D4F" w:rsidRPr="00CD2E4B" w14:paraId="7B59D8BE" w14:textId="77777777" w:rsidTr="004927D2">
        <w:trPr>
          <w:trHeight w:val="234"/>
          <w:tblCellSpacing w:w="0" w:type="dxa"/>
        </w:trPr>
        <w:tc>
          <w:tcPr>
            <w:tcW w:w="5984" w:type="dxa"/>
            <w:shd w:val="clear" w:color="auto" w:fill="F0F0F0"/>
            <w:vAlign w:val="center"/>
            <w:hideMark/>
          </w:tcPr>
          <w:p w14:paraId="553FD3A2" w14:textId="77777777" w:rsidR="002E4D4F" w:rsidRPr="00CD2E4B" w:rsidRDefault="002E4D4F" w:rsidP="00484323">
            <w:pPr>
              <w:spacing w:before="0"/>
              <w:contextualSpacing/>
              <w:mirrorIndents/>
              <w:rPr>
                <w:sz w:val="18"/>
                <w:szCs w:val="18"/>
              </w:rPr>
            </w:pPr>
            <w:r w:rsidRPr="00CD2E4B">
              <w:rPr>
                <w:sz w:val="18"/>
                <w:szCs w:val="18"/>
              </w:rPr>
              <w:t>Weiterberechnungen an und Erlöse aus Arbeitsgemeinschaften</w:t>
            </w:r>
          </w:p>
        </w:tc>
        <w:tc>
          <w:tcPr>
            <w:tcW w:w="1417" w:type="dxa"/>
            <w:shd w:val="clear" w:color="auto" w:fill="F0F0F0"/>
            <w:vAlign w:val="center"/>
            <w:hideMark/>
          </w:tcPr>
          <w:p w14:paraId="0CA6D628" w14:textId="77777777" w:rsidR="002E4D4F" w:rsidRPr="00CD2E4B" w:rsidRDefault="002E4D4F" w:rsidP="0022375B">
            <w:pPr>
              <w:spacing w:before="0"/>
              <w:contextualSpacing/>
              <w:mirrorIndents/>
              <w:jc w:val="right"/>
              <w:rPr>
                <w:sz w:val="18"/>
                <w:szCs w:val="18"/>
              </w:rPr>
            </w:pPr>
            <w:r w:rsidRPr="00CD2E4B">
              <w:rPr>
                <w:sz w:val="18"/>
                <w:szCs w:val="18"/>
              </w:rPr>
              <w:t>17.732</w:t>
            </w:r>
          </w:p>
        </w:tc>
        <w:tc>
          <w:tcPr>
            <w:tcW w:w="1717" w:type="dxa"/>
            <w:shd w:val="clear" w:color="auto" w:fill="F0F0F0"/>
            <w:vAlign w:val="center"/>
            <w:hideMark/>
          </w:tcPr>
          <w:p w14:paraId="77726A02" w14:textId="77777777" w:rsidR="002E4D4F" w:rsidRPr="00CD2E4B" w:rsidRDefault="002E4D4F" w:rsidP="0022375B">
            <w:pPr>
              <w:spacing w:before="0"/>
              <w:contextualSpacing/>
              <w:mirrorIndents/>
              <w:jc w:val="right"/>
              <w:rPr>
                <w:sz w:val="18"/>
                <w:szCs w:val="18"/>
              </w:rPr>
            </w:pPr>
            <w:r w:rsidRPr="00CD2E4B">
              <w:rPr>
                <w:sz w:val="18"/>
                <w:szCs w:val="18"/>
              </w:rPr>
              <w:t>12.632</w:t>
            </w:r>
          </w:p>
        </w:tc>
      </w:tr>
      <w:tr w:rsidR="002E4D4F" w:rsidRPr="00CD2E4B" w14:paraId="74D540C9" w14:textId="77777777" w:rsidTr="004927D2">
        <w:trPr>
          <w:trHeight w:val="247"/>
          <w:tblCellSpacing w:w="0" w:type="dxa"/>
        </w:trPr>
        <w:tc>
          <w:tcPr>
            <w:tcW w:w="5984" w:type="dxa"/>
            <w:vAlign w:val="center"/>
            <w:hideMark/>
          </w:tcPr>
          <w:p w14:paraId="40DCE157" w14:textId="77777777" w:rsidR="002E4D4F" w:rsidRPr="00CD2E4B" w:rsidRDefault="002E4D4F" w:rsidP="00484323">
            <w:pPr>
              <w:spacing w:before="0"/>
              <w:contextualSpacing/>
              <w:mirrorIndents/>
              <w:rPr>
                <w:sz w:val="18"/>
                <w:szCs w:val="18"/>
              </w:rPr>
            </w:pPr>
            <w:r w:rsidRPr="00CD2E4B">
              <w:rPr>
                <w:sz w:val="18"/>
                <w:szCs w:val="18"/>
              </w:rPr>
              <w:t>Recycling</w:t>
            </w:r>
          </w:p>
        </w:tc>
        <w:tc>
          <w:tcPr>
            <w:tcW w:w="1417" w:type="dxa"/>
            <w:vAlign w:val="center"/>
            <w:hideMark/>
          </w:tcPr>
          <w:p w14:paraId="74BDAB3B" w14:textId="77777777" w:rsidR="002E4D4F" w:rsidRPr="00CD2E4B" w:rsidRDefault="002E4D4F" w:rsidP="0022375B">
            <w:pPr>
              <w:spacing w:before="0"/>
              <w:contextualSpacing/>
              <w:mirrorIndents/>
              <w:jc w:val="right"/>
              <w:rPr>
                <w:sz w:val="18"/>
                <w:szCs w:val="18"/>
              </w:rPr>
            </w:pPr>
            <w:r w:rsidRPr="00CD2E4B">
              <w:rPr>
                <w:sz w:val="18"/>
                <w:szCs w:val="18"/>
              </w:rPr>
              <w:t>2.211</w:t>
            </w:r>
          </w:p>
        </w:tc>
        <w:tc>
          <w:tcPr>
            <w:tcW w:w="1717" w:type="dxa"/>
            <w:vAlign w:val="center"/>
            <w:hideMark/>
          </w:tcPr>
          <w:p w14:paraId="2B5EF477" w14:textId="77777777" w:rsidR="002E4D4F" w:rsidRPr="00CD2E4B" w:rsidRDefault="002E4D4F" w:rsidP="0022375B">
            <w:pPr>
              <w:spacing w:before="0"/>
              <w:contextualSpacing/>
              <w:mirrorIndents/>
              <w:jc w:val="right"/>
              <w:rPr>
                <w:sz w:val="18"/>
                <w:szCs w:val="18"/>
              </w:rPr>
            </w:pPr>
            <w:r w:rsidRPr="00CD2E4B">
              <w:rPr>
                <w:sz w:val="18"/>
                <w:szCs w:val="18"/>
              </w:rPr>
              <w:t>1.723</w:t>
            </w:r>
          </w:p>
        </w:tc>
      </w:tr>
      <w:tr w:rsidR="002E4D4F" w:rsidRPr="00CD2E4B" w14:paraId="7D68EC23" w14:textId="77777777" w:rsidTr="004927D2">
        <w:trPr>
          <w:trHeight w:val="234"/>
          <w:tblCellSpacing w:w="0" w:type="dxa"/>
        </w:trPr>
        <w:tc>
          <w:tcPr>
            <w:tcW w:w="5984" w:type="dxa"/>
            <w:shd w:val="clear" w:color="auto" w:fill="F0F0F0"/>
            <w:vAlign w:val="center"/>
            <w:hideMark/>
          </w:tcPr>
          <w:p w14:paraId="34234AC4" w14:textId="77777777" w:rsidR="002E4D4F" w:rsidRPr="00CD2E4B" w:rsidRDefault="002E4D4F" w:rsidP="00484323">
            <w:pPr>
              <w:spacing w:before="0"/>
              <w:contextualSpacing/>
              <w:mirrorIndents/>
              <w:rPr>
                <w:sz w:val="18"/>
                <w:szCs w:val="18"/>
              </w:rPr>
            </w:pPr>
            <w:r w:rsidRPr="00CD2E4B">
              <w:rPr>
                <w:sz w:val="18"/>
                <w:szCs w:val="18"/>
              </w:rPr>
              <w:t>Sonstige</w:t>
            </w:r>
          </w:p>
        </w:tc>
        <w:tc>
          <w:tcPr>
            <w:tcW w:w="1417" w:type="dxa"/>
            <w:shd w:val="clear" w:color="auto" w:fill="F0F0F0"/>
            <w:vAlign w:val="center"/>
            <w:hideMark/>
          </w:tcPr>
          <w:p w14:paraId="48F822D6" w14:textId="77777777" w:rsidR="002E4D4F" w:rsidRPr="00CD2E4B" w:rsidRDefault="002E4D4F" w:rsidP="0022375B">
            <w:pPr>
              <w:spacing w:before="0"/>
              <w:contextualSpacing/>
              <w:mirrorIndents/>
              <w:jc w:val="right"/>
              <w:rPr>
                <w:sz w:val="18"/>
                <w:szCs w:val="18"/>
              </w:rPr>
            </w:pPr>
            <w:r w:rsidRPr="00CD2E4B">
              <w:rPr>
                <w:sz w:val="18"/>
                <w:szCs w:val="18"/>
              </w:rPr>
              <w:t>1.459</w:t>
            </w:r>
          </w:p>
        </w:tc>
        <w:tc>
          <w:tcPr>
            <w:tcW w:w="1717" w:type="dxa"/>
            <w:shd w:val="clear" w:color="auto" w:fill="F0F0F0"/>
            <w:vAlign w:val="center"/>
            <w:hideMark/>
          </w:tcPr>
          <w:p w14:paraId="725D3937" w14:textId="77777777" w:rsidR="002E4D4F" w:rsidRPr="00CD2E4B" w:rsidRDefault="002E4D4F" w:rsidP="0022375B">
            <w:pPr>
              <w:spacing w:before="0"/>
              <w:contextualSpacing/>
              <w:mirrorIndents/>
              <w:jc w:val="right"/>
              <w:rPr>
                <w:sz w:val="18"/>
                <w:szCs w:val="18"/>
              </w:rPr>
            </w:pPr>
            <w:r w:rsidRPr="00CD2E4B">
              <w:rPr>
                <w:sz w:val="18"/>
                <w:szCs w:val="18"/>
              </w:rPr>
              <w:t>958</w:t>
            </w:r>
          </w:p>
        </w:tc>
      </w:tr>
      <w:tr w:rsidR="002E4D4F" w:rsidRPr="00CD2E4B" w14:paraId="24BE667B" w14:textId="77777777" w:rsidTr="004927D2">
        <w:trPr>
          <w:trHeight w:val="247"/>
          <w:tblCellSpacing w:w="0" w:type="dxa"/>
        </w:trPr>
        <w:tc>
          <w:tcPr>
            <w:tcW w:w="5984" w:type="dxa"/>
            <w:vAlign w:val="center"/>
            <w:hideMark/>
          </w:tcPr>
          <w:p w14:paraId="3D37EFFA" w14:textId="77777777" w:rsidR="002E4D4F" w:rsidRPr="00CD2E4B" w:rsidRDefault="002E4D4F" w:rsidP="00484323">
            <w:pPr>
              <w:spacing w:before="0"/>
              <w:contextualSpacing/>
              <w:mirrorIndents/>
              <w:rPr>
                <w:sz w:val="18"/>
                <w:szCs w:val="18"/>
              </w:rPr>
            </w:pPr>
          </w:p>
        </w:tc>
        <w:tc>
          <w:tcPr>
            <w:tcW w:w="1417" w:type="dxa"/>
            <w:vAlign w:val="center"/>
            <w:hideMark/>
          </w:tcPr>
          <w:p w14:paraId="25FE2E00" w14:textId="77777777" w:rsidR="002E4D4F" w:rsidRPr="00CD2E4B" w:rsidRDefault="002E4D4F" w:rsidP="0022375B">
            <w:pPr>
              <w:spacing w:before="0"/>
              <w:contextualSpacing/>
              <w:mirrorIndents/>
              <w:jc w:val="right"/>
              <w:rPr>
                <w:sz w:val="18"/>
                <w:szCs w:val="18"/>
              </w:rPr>
            </w:pPr>
            <w:r w:rsidRPr="00CD2E4B">
              <w:rPr>
                <w:sz w:val="18"/>
                <w:szCs w:val="18"/>
              </w:rPr>
              <w:t>247.808</w:t>
            </w:r>
          </w:p>
        </w:tc>
        <w:tc>
          <w:tcPr>
            <w:tcW w:w="1717" w:type="dxa"/>
            <w:vAlign w:val="center"/>
            <w:hideMark/>
          </w:tcPr>
          <w:p w14:paraId="23378A39" w14:textId="77777777" w:rsidR="002E4D4F" w:rsidRPr="00CD2E4B" w:rsidRDefault="002E4D4F" w:rsidP="0022375B">
            <w:pPr>
              <w:spacing w:before="0"/>
              <w:contextualSpacing/>
              <w:mirrorIndents/>
              <w:jc w:val="right"/>
              <w:rPr>
                <w:sz w:val="18"/>
                <w:szCs w:val="18"/>
              </w:rPr>
            </w:pPr>
            <w:r w:rsidRPr="00CD2E4B">
              <w:rPr>
                <w:sz w:val="18"/>
                <w:szCs w:val="18"/>
              </w:rPr>
              <w:t>265.251</w:t>
            </w:r>
          </w:p>
        </w:tc>
      </w:tr>
    </w:tbl>
    <w:p w14:paraId="7C6776C3" w14:textId="77777777" w:rsidR="004927D2" w:rsidRPr="004927D2" w:rsidRDefault="004927D2" w:rsidP="00484323">
      <w:pPr>
        <w:spacing w:before="0"/>
        <w:contextualSpacing/>
        <w:mirrorIndents/>
        <w:rPr>
          <w:b/>
          <w:bCs/>
          <w:sz w:val="12"/>
          <w:szCs w:val="18"/>
        </w:rPr>
      </w:pPr>
    </w:p>
    <w:p w14:paraId="376E31E2" w14:textId="540FC78E" w:rsidR="002E4D4F" w:rsidRDefault="002E4D4F" w:rsidP="00484323">
      <w:pPr>
        <w:spacing w:before="0"/>
        <w:contextualSpacing/>
        <w:mirrorIndents/>
        <w:rPr>
          <w:sz w:val="18"/>
          <w:szCs w:val="18"/>
        </w:rPr>
      </w:pPr>
      <w:r w:rsidRPr="00CD2E4B">
        <w:rPr>
          <w:b/>
          <w:bCs/>
          <w:sz w:val="18"/>
          <w:szCs w:val="18"/>
        </w:rPr>
        <w:t>(13) Sonstige betriebliche Erträge</w:t>
      </w:r>
      <w:r w:rsidRPr="00CD2E4B">
        <w:rPr>
          <w:sz w:val="18"/>
          <w:szCs w:val="18"/>
        </w:rPr>
        <w:t xml:space="preserve"> </w:t>
      </w:r>
    </w:p>
    <w:p w14:paraId="01C8120B" w14:textId="77777777" w:rsidR="0022375B" w:rsidRPr="004927D2" w:rsidRDefault="0022375B" w:rsidP="00484323">
      <w:pPr>
        <w:spacing w:before="0"/>
        <w:contextualSpacing/>
        <w:mirrorIndents/>
        <w:rPr>
          <w:sz w:val="12"/>
          <w:szCs w:val="18"/>
        </w:rPr>
      </w:pPr>
    </w:p>
    <w:p w14:paraId="197C8398" w14:textId="7368D4C8" w:rsidR="002E4D4F" w:rsidRDefault="002E4D4F" w:rsidP="00484323">
      <w:pPr>
        <w:spacing w:before="0"/>
        <w:contextualSpacing/>
        <w:mirrorIndents/>
        <w:rPr>
          <w:sz w:val="18"/>
          <w:szCs w:val="18"/>
        </w:rPr>
      </w:pPr>
      <w:r w:rsidRPr="00CD2E4B">
        <w:rPr>
          <w:sz w:val="18"/>
          <w:szCs w:val="18"/>
        </w:rPr>
        <w:t>In diesem Posten sind periodenfremde Erträge aus der Auflösung bzw. Veränderung von Rückstellungen (TEUR 1.332; Vorjahr: TEUR 2.323) und Wertberichtigungen (TEUR 1.082; Vorjahr: TEUR 1.047), Erträge aus Versicherungsentschädigungen (TEUR 387; Vorjahr: TEUR 361), Erträge aus dem Abgang von Gegenständen des Anlagevermögens (TEUR 431; Vorjahr: TEUR 276), Erträge aus der Ausbuchung von Verbindlichkeiten (TEUR 528; Vorjahr: TEUR 63) sowie Erträge aus dem Eingang abgeschriebener Forderungen (TEUR 11; Vorjahr: TEUR 2) ausgewiesen.</w:t>
      </w:r>
    </w:p>
    <w:p w14:paraId="17B803FB" w14:textId="77777777" w:rsidR="0022375B" w:rsidRPr="00CD2E4B" w:rsidRDefault="0022375B" w:rsidP="00484323">
      <w:pPr>
        <w:spacing w:before="0"/>
        <w:contextualSpacing/>
        <w:mirrorIndents/>
        <w:rPr>
          <w:sz w:val="18"/>
          <w:szCs w:val="18"/>
        </w:rPr>
      </w:pPr>
    </w:p>
    <w:p w14:paraId="58D1258D" w14:textId="097D8064" w:rsidR="002E4D4F" w:rsidRDefault="002E4D4F" w:rsidP="00484323">
      <w:pPr>
        <w:spacing w:before="0"/>
        <w:contextualSpacing/>
        <w:mirrorIndents/>
        <w:rPr>
          <w:sz w:val="18"/>
          <w:szCs w:val="18"/>
        </w:rPr>
      </w:pPr>
      <w:r w:rsidRPr="00CD2E4B">
        <w:rPr>
          <w:b/>
          <w:bCs/>
          <w:sz w:val="18"/>
          <w:szCs w:val="18"/>
        </w:rPr>
        <w:t>(14) Materialaufwand</w:t>
      </w:r>
      <w:r w:rsidRPr="00CD2E4B">
        <w:rPr>
          <w:sz w:val="18"/>
          <w:szCs w:val="18"/>
        </w:rPr>
        <w:t xml:space="preserve"> </w:t>
      </w:r>
    </w:p>
    <w:p w14:paraId="2EB32564" w14:textId="77777777" w:rsidR="0022375B" w:rsidRPr="004927D2" w:rsidRDefault="0022375B" w:rsidP="00484323">
      <w:pPr>
        <w:spacing w:before="0"/>
        <w:contextualSpacing/>
        <w:mirrorIndents/>
        <w:rPr>
          <w:sz w:val="12"/>
          <w:szCs w:val="18"/>
        </w:rPr>
      </w:pPr>
    </w:p>
    <w:p w14:paraId="6A9A6910" w14:textId="2CD82AB9" w:rsidR="002E4D4F" w:rsidRDefault="002E4D4F" w:rsidP="00484323">
      <w:pPr>
        <w:spacing w:before="0"/>
        <w:contextualSpacing/>
        <w:mirrorIndents/>
        <w:rPr>
          <w:sz w:val="18"/>
          <w:szCs w:val="18"/>
        </w:rPr>
      </w:pPr>
      <w:r w:rsidRPr="00CD2E4B">
        <w:rPr>
          <w:sz w:val="18"/>
          <w:szCs w:val="18"/>
        </w:rPr>
        <w:t>Im Materialaufwand sind die Aufwendungen für Roh-, Hilfs- und Betriebsstoffe sowie Aufwendungen für bezogene Leistungen enthalten. Unter den bezogenen Leistungen werden insbesondere Gerätemieten und Nachunternehmer- und Hilfsleistungen ausgewiesen. Aufgrund der jederzeitig guten Bonität der Gesellschaft konnten Skontoerträge von TEUR 1.748 (im Vorjahr: TEUR 1.843) erfasst werden.</w:t>
      </w:r>
    </w:p>
    <w:p w14:paraId="7BEBC981" w14:textId="77777777" w:rsidR="0022375B" w:rsidRPr="00CD2E4B" w:rsidRDefault="0022375B" w:rsidP="00484323">
      <w:pPr>
        <w:spacing w:before="0"/>
        <w:contextualSpacing/>
        <w:mirrorIndents/>
        <w:rPr>
          <w:sz w:val="18"/>
          <w:szCs w:val="18"/>
        </w:rPr>
      </w:pPr>
    </w:p>
    <w:p w14:paraId="40BD78A8" w14:textId="29AE357C" w:rsidR="002E4D4F" w:rsidRDefault="002E4D4F" w:rsidP="00484323">
      <w:pPr>
        <w:spacing w:before="0"/>
        <w:contextualSpacing/>
        <w:mirrorIndents/>
        <w:rPr>
          <w:sz w:val="18"/>
          <w:szCs w:val="18"/>
        </w:rPr>
      </w:pPr>
      <w:r w:rsidRPr="00CD2E4B">
        <w:rPr>
          <w:b/>
          <w:bCs/>
          <w:sz w:val="18"/>
          <w:szCs w:val="18"/>
        </w:rPr>
        <w:t>(15) Personalaufwand/Mitarbeiter</w:t>
      </w:r>
      <w:r w:rsidRPr="00CD2E4B">
        <w:rPr>
          <w:sz w:val="18"/>
          <w:szCs w:val="18"/>
        </w:rPr>
        <w:t xml:space="preserve"> </w:t>
      </w:r>
    </w:p>
    <w:p w14:paraId="1B46ACD1" w14:textId="77777777" w:rsidR="0022375B" w:rsidRPr="004927D2" w:rsidRDefault="0022375B" w:rsidP="00484323">
      <w:pPr>
        <w:spacing w:before="0"/>
        <w:contextualSpacing/>
        <w:mirrorIndents/>
        <w:rPr>
          <w:sz w:val="12"/>
          <w:szCs w:val="18"/>
        </w:rPr>
      </w:pPr>
    </w:p>
    <w:p w14:paraId="3FCAA9CF" w14:textId="01608E71" w:rsidR="002E4D4F" w:rsidRDefault="002E4D4F" w:rsidP="00484323">
      <w:pPr>
        <w:spacing w:before="0"/>
        <w:contextualSpacing/>
        <w:mirrorIndents/>
        <w:rPr>
          <w:sz w:val="18"/>
          <w:szCs w:val="18"/>
        </w:rPr>
      </w:pPr>
      <w:r w:rsidRPr="00CD2E4B">
        <w:rPr>
          <w:sz w:val="18"/>
          <w:szCs w:val="18"/>
        </w:rPr>
        <w:t>Mitarbeiteranzahl (Quartalsdurchschnitt)</w:t>
      </w:r>
    </w:p>
    <w:p w14:paraId="435DE69F" w14:textId="51E1BDB6" w:rsidR="0022375B" w:rsidRPr="004927D2" w:rsidRDefault="0022375B" w:rsidP="004927D2">
      <w:pPr>
        <w:tabs>
          <w:tab w:val="left" w:pos="3899"/>
        </w:tabs>
        <w:spacing w:before="0"/>
        <w:contextualSpacing/>
        <w:mirrorIndents/>
        <w:rPr>
          <w:sz w:val="8"/>
          <w:szCs w:val="18"/>
        </w:rPr>
      </w:pPr>
    </w:p>
    <w:tbl>
      <w:tblPr>
        <w:tblW w:w="9134" w:type="dxa"/>
        <w:tblCellSpacing w:w="0" w:type="dxa"/>
        <w:tblCellMar>
          <w:top w:w="30" w:type="dxa"/>
          <w:left w:w="30" w:type="dxa"/>
          <w:bottom w:w="30" w:type="dxa"/>
          <w:right w:w="30" w:type="dxa"/>
        </w:tblCellMar>
        <w:tblLook w:val="04A0" w:firstRow="1" w:lastRow="0" w:firstColumn="1" w:lastColumn="0" w:noHBand="0" w:noVBand="1"/>
      </w:tblPr>
      <w:tblGrid>
        <w:gridCol w:w="5842"/>
        <w:gridCol w:w="1559"/>
        <w:gridCol w:w="1733"/>
      </w:tblGrid>
      <w:tr w:rsidR="002E4D4F" w:rsidRPr="00CD2E4B" w14:paraId="35C68FA1" w14:textId="77777777" w:rsidTr="004927D2">
        <w:trPr>
          <w:trHeight w:val="215"/>
          <w:tblHeader/>
          <w:tblCellSpacing w:w="0" w:type="dxa"/>
        </w:trPr>
        <w:tc>
          <w:tcPr>
            <w:tcW w:w="5842" w:type="dxa"/>
            <w:shd w:val="clear" w:color="auto" w:fill="CDCDCE"/>
            <w:vAlign w:val="bottom"/>
            <w:hideMark/>
          </w:tcPr>
          <w:p w14:paraId="5CE14FCD" w14:textId="77777777" w:rsidR="002E4D4F" w:rsidRPr="00CD2E4B" w:rsidRDefault="002E4D4F" w:rsidP="00484323">
            <w:pPr>
              <w:spacing w:before="0"/>
              <w:contextualSpacing/>
              <w:mirrorIndents/>
              <w:rPr>
                <w:sz w:val="18"/>
                <w:szCs w:val="18"/>
              </w:rPr>
            </w:pPr>
          </w:p>
        </w:tc>
        <w:tc>
          <w:tcPr>
            <w:tcW w:w="1559" w:type="dxa"/>
            <w:shd w:val="clear" w:color="auto" w:fill="CDCDCE"/>
            <w:vAlign w:val="bottom"/>
            <w:hideMark/>
          </w:tcPr>
          <w:p w14:paraId="4ABF5100" w14:textId="77777777" w:rsidR="002E4D4F" w:rsidRPr="00CD2E4B" w:rsidRDefault="002E4D4F" w:rsidP="0022375B">
            <w:pPr>
              <w:spacing w:before="0"/>
              <w:contextualSpacing/>
              <w:mirrorIndents/>
              <w:jc w:val="right"/>
              <w:rPr>
                <w:sz w:val="18"/>
                <w:szCs w:val="18"/>
              </w:rPr>
            </w:pPr>
            <w:r w:rsidRPr="00CD2E4B">
              <w:rPr>
                <w:sz w:val="18"/>
                <w:szCs w:val="18"/>
              </w:rPr>
              <w:t>2022</w:t>
            </w:r>
          </w:p>
        </w:tc>
        <w:tc>
          <w:tcPr>
            <w:tcW w:w="1733" w:type="dxa"/>
            <w:shd w:val="clear" w:color="auto" w:fill="CDCDCE"/>
            <w:vAlign w:val="bottom"/>
            <w:hideMark/>
          </w:tcPr>
          <w:p w14:paraId="28934B90" w14:textId="77777777" w:rsidR="002E4D4F" w:rsidRPr="00CD2E4B" w:rsidRDefault="002E4D4F" w:rsidP="0022375B">
            <w:pPr>
              <w:spacing w:before="0"/>
              <w:contextualSpacing/>
              <w:mirrorIndents/>
              <w:jc w:val="right"/>
              <w:rPr>
                <w:sz w:val="18"/>
                <w:szCs w:val="18"/>
              </w:rPr>
            </w:pPr>
            <w:r w:rsidRPr="00CD2E4B">
              <w:rPr>
                <w:sz w:val="18"/>
                <w:szCs w:val="18"/>
              </w:rPr>
              <w:t>2021</w:t>
            </w:r>
          </w:p>
        </w:tc>
      </w:tr>
      <w:tr w:rsidR="002E4D4F" w:rsidRPr="00CD2E4B" w14:paraId="2406E54E" w14:textId="77777777" w:rsidTr="004927D2">
        <w:trPr>
          <w:trHeight w:val="227"/>
          <w:tblCellSpacing w:w="0" w:type="dxa"/>
        </w:trPr>
        <w:tc>
          <w:tcPr>
            <w:tcW w:w="5842" w:type="dxa"/>
            <w:vAlign w:val="center"/>
            <w:hideMark/>
          </w:tcPr>
          <w:p w14:paraId="1D80F5CC" w14:textId="77777777" w:rsidR="002E4D4F" w:rsidRPr="00CD2E4B" w:rsidRDefault="002E4D4F" w:rsidP="00484323">
            <w:pPr>
              <w:spacing w:before="0"/>
              <w:contextualSpacing/>
              <w:mirrorIndents/>
              <w:rPr>
                <w:sz w:val="18"/>
                <w:szCs w:val="18"/>
              </w:rPr>
            </w:pPr>
            <w:r w:rsidRPr="00CD2E4B">
              <w:rPr>
                <w:sz w:val="18"/>
                <w:szCs w:val="18"/>
              </w:rPr>
              <w:t>Gewerbliche Arbeitnehmer</w:t>
            </w:r>
          </w:p>
        </w:tc>
        <w:tc>
          <w:tcPr>
            <w:tcW w:w="1559" w:type="dxa"/>
            <w:vAlign w:val="center"/>
            <w:hideMark/>
          </w:tcPr>
          <w:p w14:paraId="77625292" w14:textId="77777777" w:rsidR="002E4D4F" w:rsidRPr="00CD2E4B" w:rsidRDefault="002E4D4F" w:rsidP="0022375B">
            <w:pPr>
              <w:spacing w:before="0"/>
              <w:contextualSpacing/>
              <w:mirrorIndents/>
              <w:jc w:val="right"/>
              <w:rPr>
                <w:sz w:val="18"/>
                <w:szCs w:val="18"/>
              </w:rPr>
            </w:pPr>
            <w:r w:rsidRPr="00CD2E4B">
              <w:rPr>
                <w:sz w:val="18"/>
                <w:szCs w:val="18"/>
              </w:rPr>
              <w:t>878</w:t>
            </w:r>
          </w:p>
        </w:tc>
        <w:tc>
          <w:tcPr>
            <w:tcW w:w="1733" w:type="dxa"/>
            <w:vAlign w:val="center"/>
            <w:hideMark/>
          </w:tcPr>
          <w:p w14:paraId="1206A57A" w14:textId="77777777" w:rsidR="002E4D4F" w:rsidRPr="00CD2E4B" w:rsidRDefault="002E4D4F" w:rsidP="0022375B">
            <w:pPr>
              <w:spacing w:before="0"/>
              <w:contextualSpacing/>
              <w:mirrorIndents/>
              <w:jc w:val="right"/>
              <w:rPr>
                <w:sz w:val="18"/>
                <w:szCs w:val="18"/>
              </w:rPr>
            </w:pPr>
            <w:r w:rsidRPr="00CD2E4B">
              <w:rPr>
                <w:sz w:val="18"/>
                <w:szCs w:val="18"/>
              </w:rPr>
              <w:t>874</w:t>
            </w:r>
          </w:p>
        </w:tc>
      </w:tr>
      <w:tr w:rsidR="002E4D4F" w:rsidRPr="00CD2E4B" w14:paraId="5BED9458" w14:textId="77777777" w:rsidTr="004927D2">
        <w:trPr>
          <w:trHeight w:val="215"/>
          <w:tblCellSpacing w:w="0" w:type="dxa"/>
        </w:trPr>
        <w:tc>
          <w:tcPr>
            <w:tcW w:w="5842" w:type="dxa"/>
            <w:shd w:val="clear" w:color="auto" w:fill="F0F0F0"/>
            <w:vAlign w:val="center"/>
            <w:hideMark/>
          </w:tcPr>
          <w:p w14:paraId="3797ACB7" w14:textId="77777777" w:rsidR="002E4D4F" w:rsidRPr="00CD2E4B" w:rsidRDefault="002E4D4F" w:rsidP="00484323">
            <w:pPr>
              <w:spacing w:before="0"/>
              <w:contextualSpacing/>
              <w:mirrorIndents/>
              <w:rPr>
                <w:sz w:val="18"/>
                <w:szCs w:val="18"/>
              </w:rPr>
            </w:pPr>
            <w:r w:rsidRPr="00CD2E4B">
              <w:rPr>
                <w:sz w:val="18"/>
                <w:szCs w:val="18"/>
              </w:rPr>
              <w:t>Angestellte</w:t>
            </w:r>
          </w:p>
        </w:tc>
        <w:tc>
          <w:tcPr>
            <w:tcW w:w="1559" w:type="dxa"/>
            <w:shd w:val="clear" w:color="auto" w:fill="F0F0F0"/>
            <w:vAlign w:val="center"/>
            <w:hideMark/>
          </w:tcPr>
          <w:p w14:paraId="50C9B7FB" w14:textId="77777777" w:rsidR="002E4D4F" w:rsidRPr="00CD2E4B" w:rsidRDefault="002E4D4F" w:rsidP="0022375B">
            <w:pPr>
              <w:spacing w:before="0"/>
              <w:contextualSpacing/>
              <w:mirrorIndents/>
              <w:jc w:val="right"/>
              <w:rPr>
                <w:sz w:val="18"/>
                <w:szCs w:val="18"/>
              </w:rPr>
            </w:pPr>
            <w:r w:rsidRPr="00CD2E4B">
              <w:rPr>
                <w:sz w:val="18"/>
                <w:szCs w:val="18"/>
              </w:rPr>
              <w:t>368</w:t>
            </w:r>
          </w:p>
        </w:tc>
        <w:tc>
          <w:tcPr>
            <w:tcW w:w="1733" w:type="dxa"/>
            <w:shd w:val="clear" w:color="auto" w:fill="F0F0F0"/>
            <w:vAlign w:val="center"/>
            <w:hideMark/>
          </w:tcPr>
          <w:p w14:paraId="65A3E74E" w14:textId="77777777" w:rsidR="002E4D4F" w:rsidRPr="00CD2E4B" w:rsidRDefault="002E4D4F" w:rsidP="0022375B">
            <w:pPr>
              <w:spacing w:before="0"/>
              <w:contextualSpacing/>
              <w:mirrorIndents/>
              <w:jc w:val="right"/>
              <w:rPr>
                <w:sz w:val="18"/>
                <w:szCs w:val="18"/>
              </w:rPr>
            </w:pPr>
            <w:r w:rsidRPr="00CD2E4B">
              <w:rPr>
                <w:sz w:val="18"/>
                <w:szCs w:val="18"/>
              </w:rPr>
              <w:t>371</w:t>
            </w:r>
          </w:p>
        </w:tc>
      </w:tr>
      <w:tr w:rsidR="002E4D4F" w:rsidRPr="00CD2E4B" w14:paraId="70D40CF0" w14:textId="77777777" w:rsidTr="004927D2">
        <w:trPr>
          <w:trHeight w:val="227"/>
          <w:tblCellSpacing w:w="0" w:type="dxa"/>
        </w:trPr>
        <w:tc>
          <w:tcPr>
            <w:tcW w:w="5842" w:type="dxa"/>
            <w:vAlign w:val="center"/>
            <w:hideMark/>
          </w:tcPr>
          <w:p w14:paraId="4460DB38" w14:textId="77777777" w:rsidR="002E4D4F" w:rsidRPr="00CD2E4B" w:rsidRDefault="002E4D4F" w:rsidP="00484323">
            <w:pPr>
              <w:spacing w:before="0"/>
              <w:contextualSpacing/>
              <w:mirrorIndents/>
              <w:rPr>
                <w:sz w:val="18"/>
                <w:szCs w:val="18"/>
              </w:rPr>
            </w:pPr>
          </w:p>
        </w:tc>
        <w:tc>
          <w:tcPr>
            <w:tcW w:w="1559" w:type="dxa"/>
            <w:vAlign w:val="center"/>
            <w:hideMark/>
          </w:tcPr>
          <w:p w14:paraId="52C6D8B9" w14:textId="77777777" w:rsidR="002E4D4F" w:rsidRPr="00CD2E4B" w:rsidRDefault="002E4D4F" w:rsidP="0022375B">
            <w:pPr>
              <w:spacing w:before="0"/>
              <w:contextualSpacing/>
              <w:mirrorIndents/>
              <w:jc w:val="right"/>
              <w:rPr>
                <w:sz w:val="18"/>
                <w:szCs w:val="18"/>
              </w:rPr>
            </w:pPr>
            <w:r w:rsidRPr="00CD2E4B">
              <w:rPr>
                <w:sz w:val="18"/>
                <w:szCs w:val="18"/>
              </w:rPr>
              <w:t xml:space="preserve">1.246 </w:t>
            </w:r>
          </w:p>
        </w:tc>
        <w:tc>
          <w:tcPr>
            <w:tcW w:w="1733" w:type="dxa"/>
            <w:vAlign w:val="center"/>
            <w:hideMark/>
          </w:tcPr>
          <w:p w14:paraId="317501D5" w14:textId="77777777" w:rsidR="002E4D4F" w:rsidRPr="00CD2E4B" w:rsidRDefault="002E4D4F" w:rsidP="0022375B">
            <w:pPr>
              <w:spacing w:before="0"/>
              <w:contextualSpacing/>
              <w:mirrorIndents/>
              <w:jc w:val="right"/>
              <w:rPr>
                <w:sz w:val="18"/>
                <w:szCs w:val="18"/>
              </w:rPr>
            </w:pPr>
            <w:r w:rsidRPr="00CD2E4B">
              <w:rPr>
                <w:sz w:val="18"/>
                <w:szCs w:val="18"/>
              </w:rPr>
              <w:t>1.245</w:t>
            </w:r>
          </w:p>
        </w:tc>
      </w:tr>
      <w:tr w:rsidR="002E4D4F" w:rsidRPr="00CD2E4B" w14:paraId="3C66AD67" w14:textId="77777777" w:rsidTr="004927D2">
        <w:trPr>
          <w:trHeight w:val="215"/>
          <w:tblCellSpacing w:w="0" w:type="dxa"/>
        </w:trPr>
        <w:tc>
          <w:tcPr>
            <w:tcW w:w="5842" w:type="dxa"/>
            <w:shd w:val="clear" w:color="auto" w:fill="F0F0F0"/>
            <w:vAlign w:val="center"/>
            <w:hideMark/>
          </w:tcPr>
          <w:p w14:paraId="120134BF" w14:textId="77777777" w:rsidR="002E4D4F" w:rsidRPr="00CD2E4B" w:rsidRDefault="002E4D4F" w:rsidP="00484323">
            <w:pPr>
              <w:spacing w:before="0"/>
              <w:contextualSpacing/>
              <w:mirrorIndents/>
              <w:rPr>
                <w:sz w:val="18"/>
                <w:szCs w:val="18"/>
              </w:rPr>
            </w:pPr>
            <w:r w:rsidRPr="00CD2E4B">
              <w:rPr>
                <w:sz w:val="18"/>
                <w:szCs w:val="18"/>
              </w:rPr>
              <w:t>Auszubildende</w:t>
            </w:r>
          </w:p>
        </w:tc>
        <w:tc>
          <w:tcPr>
            <w:tcW w:w="1559" w:type="dxa"/>
            <w:shd w:val="clear" w:color="auto" w:fill="F0F0F0"/>
            <w:vAlign w:val="center"/>
            <w:hideMark/>
          </w:tcPr>
          <w:p w14:paraId="53514A0B" w14:textId="77777777" w:rsidR="002E4D4F" w:rsidRPr="00CD2E4B" w:rsidRDefault="002E4D4F" w:rsidP="0022375B">
            <w:pPr>
              <w:spacing w:before="0"/>
              <w:contextualSpacing/>
              <w:mirrorIndents/>
              <w:jc w:val="right"/>
              <w:rPr>
                <w:sz w:val="18"/>
                <w:szCs w:val="18"/>
              </w:rPr>
            </w:pPr>
            <w:r w:rsidRPr="00CD2E4B">
              <w:rPr>
                <w:sz w:val="18"/>
                <w:szCs w:val="18"/>
              </w:rPr>
              <w:t>117</w:t>
            </w:r>
          </w:p>
        </w:tc>
        <w:tc>
          <w:tcPr>
            <w:tcW w:w="1733" w:type="dxa"/>
            <w:shd w:val="clear" w:color="auto" w:fill="F0F0F0"/>
            <w:vAlign w:val="center"/>
            <w:hideMark/>
          </w:tcPr>
          <w:p w14:paraId="70926CD9" w14:textId="77777777" w:rsidR="002E4D4F" w:rsidRPr="00CD2E4B" w:rsidRDefault="002E4D4F" w:rsidP="0022375B">
            <w:pPr>
              <w:spacing w:before="0"/>
              <w:contextualSpacing/>
              <w:mirrorIndents/>
              <w:jc w:val="right"/>
              <w:rPr>
                <w:sz w:val="18"/>
                <w:szCs w:val="18"/>
              </w:rPr>
            </w:pPr>
            <w:r w:rsidRPr="00CD2E4B">
              <w:rPr>
                <w:sz w:val="18"/>
                <w:szCs w:val="18"/>
              </w:rPr>
              <w:t>111</w:t>
            </w:r>
          </w:p>
        </w:tc>
      </w:tr>
      <w:tr w:rsidR="002E4D4F" w:rsidRPr="00CD2E4B" w14:paraId="00326BA7" w14:textId="77777777" w:rsidTr="004927D2">
        <w:trPr>
          <w:trHeight w:val="227"/>
          <w:tblCellSpacing w:w="0" w:type="dxa"/>
        </w:trPr>
        <w:tc>
          <w:tcPr>
            <w:tcW w:w="5842" w:type="dxa"/>
            <w:vAlign w:val="center"/>
            <w:hideMark/>
          </w:tcPr>
          <w:p w14:paraId="4A1729E6" w14:textId="77777777" w:rsidR="002E4D4F" w:rsidRPr="00CD2E4B" w:rsidRDefault="002E4D4F" w:rsidP="00484323">
            <w:pPr>
              <w:spacing w:before="0"/>
              <w:contextualSpacing/>
              <w:mirrorIndents/>
              <w:rPr>
                <w:sz w:val="18"/>
                <w:szCs w:val="18"/>
              </w:rPr>
            </w:pPr>
          </w:p>
        </w:tc>
        <w:tc>
          <w:tcPr>
            <w:tcW w:w="1559" w:type="dxa"/>
            <w:vAlign w:val="center"/>
            <w:hideMark/>
          </w:tcPr>
          <w:p w14:paraId="75AF4274" w14:textId="77777777" w:rsidR="002E4D4F" w:rsidRPr="00CD2E4B" w:rsidRDefault="002E4D4F" w:rsidP="0022375B">
            <w:pPr>
              <w:spacing w:before="0"/>
              <w:contextualSpacing/>
              <w:mirrorIndents/>
              <w:jc w:val="right"/>
              <w:rPr>
                <w:sz w:val="18"/>
                <w:szCs w:val="18"/>
              </w:rPr>
            </w:pPr>
            <w:r w:rsidRPr="00CD2E4B">
              <w:rPr>
                <w:sz w:val="18"/>
                <w:szCs w:val="18"/>
              </w:rPr>
              <w:t>1.363</w:t>
            </w:r>
          </w:p>
        </w:tc>
        <w:tc>
          <w:tcPr>
            <w:tcW w:w="1733" w:type="dxa"/>
            <w:vAlign w:val="center"/>
            <w:hideMark/>
          </w:tcPr>
          <w:p w14:paraId="5F955D8A" w14:textId="77777777" w:rsidR="002E4D4F" w:rsidRPr="00CD2E4B" w:rsidRDefault="002E4D4F" w:rsidP="0022375B">
            <w:pPr>
              <w:spacing w:before="0"/>
              <w:contextualSpacing/>
              <w:mirrorIndents/>
              <w:jc w:val="right"/>
              <w:rPr>
                <w:sz w:val="18"/>
                <w:szCs w:val="18"/>
              </w:rPr>
            </w:pPr>
            <w:r w:rsidRPr="00CD2E4B">
              <w:rPr>
                <w:sz w:val="18"/>
                <w:szCs w:val="18"/>
              </w:rPr>
              <w:t>1.356</w:t>
            </w:r>
          </w:p>
        </w:tc>
      </w:tr>
    </w:tbl>
    <w:p w14:paraId="2D97C0EC" w14:textId="77777777" w:rsidR="004C2764" w:rsidRDefault="004C2764" w:rsidP="00484323">
      <w:pPr>
        <w:spacing w:before="0"/>
        <w:contextualSpacing/>
        <w:mirrorIndents/>
        <w:rPr>
          <w:b/>
          <w:bCs/>
          <w:sz w:val="18"/>
          <w:szCs w:val="18"/>
        </w:rPr>
      </w:pPr>
    </w:p>
    <w:p w14:paraId="29588417" w14:textId="31D0EBE3" w:rsidR="002E4D4F" w:rsidRDefault="002E4D4F" w:rsidP="00484323">
      <w:pPr>
        <w:spacing w:before="0"/>
        <w:contextualSpacing/>
        <w:mirrorIndents/>
        <w:rPr>
          <w:sz w:val="18"/>
          <w:szCs w:val="18"/>
        </w:rPr>
      </w:pPr>
      <w:r w:rsidRPr="00CD2E4B">
        <w:rPr>
          <w:b/>
          <w:bCs/>
          <w:sz w:val="18"/>
          <w:szCs w:val="18"/>
        </w:rPr>
        <w:t>(16) Sonstige betriebliche Aufwendungen</w:t>
      </w:r>
      <w:r w:rsidRPr="00CD2E4B">
        <w:rPr>
          <w:sz w:val="18"/>
          <w:szCs w:val="18"/>
        </w:rPr>
        <w:t xml:space="preserve"> </w:t>
      </w:r>
    </w:p>
    <w:p w14:paraId="36F62840" w14:textId="77777777" w:rsidR="004C2764" w:rsidRPr="004927D2" w:rsidRDefault="004C2764" w:rsidP="00484323">
      <w:pPr>
        <w:spacing w:before="0"/>
        <w:contextualSpacing/>
        <w:mirrorIndents/>
        <w:rPr>
          <w:sz w:val="12"/>
          <w:szCs w:val="18"/>
        </w:rPr>
      </w:pPr>
    </w:p>
    <w:p w14:paraId="43D03675" w14:textId="5E7EDF7D" w:rsidR="002E4D4F" w:rsidRDefault="002E4D4F" w:rsidP="00484323">
      <w:pPr>
        <w:spacing w:before="0"/>
        <w:contextualSpacing/>
        <w:mirrorIndents/>
        <w:rPr>
          <w:sz w:val="18"/>
          <w:szCs w:val="18"/>
        </w:rPr>
      </w:pPr>
      <w:r w:rsidRPr="00CD2E4B">
        <w:rPr>
          <w:sz w:val="18"/>
          <w:szCs w:val="18"/>
        </w:rPr>
        <w:t xml:space="preserve">Die sonstigen betrieblichen Aufwendungen enthalten im Wesentlichen Aufwendungen für Dienstleistungen der Muttergesellschaft und der VINCI Construction </w:t>
      </w:r>
      <w:proofErr w:type="spellStart"/>
      <w:r w:rsidRPr="00CD2E4B">
        <w:rPr>
          <w:sz w:val="18"/>
          <w:szCs w:val="18"/>
        </w:rPr>
        <w:t>Shared</w:t>
      </w:r>
      <w:proofErr w:type="spellEnd"/>
      <w:r w:rsidRPr="00CD2E4B">
        <w:rPr>
          <w:sz w:val="18"/>
          <w:szCs w:val="18"/>
        </w:rPr>
        <w:t xml:space="preserve"> Services GmbH, Berlin (TEUR 10.717; Vorjahr: TEUR 9.982), Versicherungsbeiträge (TEUR 1.556; Vorjahr: TEUR 1.463), Mieten und Pachten (TEUR 1.663; Vorjahr: TEUR 1.552), Verluste aus Arbeitsgemeinschaften (TEUR 667; Vorjahr: TEUR 593) sowie Personalgestellung der EUROVIA-Gruppe (TEUR 535; Vorjahr: TEUR 411).</w:t>
      </w:r>
    </w:p>
    <w:p w14:paraId="4450A86F" w14:textId="77777777" w:rsidR="004927D2" w:rsidRPr="004927D2" w:rsidRDefault="004927D2" w:rsidP="00484323">
      <w:pPr>
        <w:spacing w:before="0"/>
        <w:contextualSpacing/>
        <w:mirrorIndents/>
        <w:rPr>
          <w:sz w:val="12"/>
          <w:szCs w:val="18"/>
        </w:rPr>
      </w:pPr>
    </w:p>
    <w:p w14:paraId="25C5EF09" w14:textId="1C72EF5A" w:rsidR="002E4D4F" w:rsidRDefault="002E4D4F" w:rsidP="00484323">
      <w:pPr>
        <w:spacing w:before="0"/>
        <w:contextualSpacing/>
        <w:mirrorIndents/>
        <w:rPr>
          <w:sz w:val="18"/>
          <w:szCs w:val="18"/>
        </w:rPr>
      </w:pPr>
      <w:r w:rsidRPr="00CD2E4B">
        <w:rPr>
          <w:sz w:val="18"/>
          <w:szCs w:val="18"/>
        </w:rPr>
        <w:t>Daneben enthält der Posten periodenfremde Aufwendungen aus der Wertberichtigung/Ausbuchung von Forderungen (TEUR 1.917; Vorjahr: TEUR 2.183), Aufwendungen aus der Veränderung von Rückstellungen (TEUR 2.727; Vorjahr: TEUR 1.068) sowie Aufwendungen aus Verlusten aus Anlageabgängen (TEUR 140; Vorjahr: TEUR 179).</w:t>
      </w:r>
    </w:p>
    <w:p w14:paraId="005509D8" w14:textId="77777777" w:rsidR="004C2764" w:rsidRPr="00CD2E4B" w:rsidRDefault="004C2764" w:rsidP="00484323">
      <w:pPr>
        <w:spacing w:before="0"/>
        <w:contextualSpacing/>
        <w:mirrorIndents/>
        <w:rPr>
          <w:sz w:val="18"/>
          <w:szCs w:val="18"/>
        </w:rPr>
      </w:pPr>
    </w:p>
    <w:p w14:paraId="6C3A56B0" w14:textId="67D5E0A5" w:rsidR="004C2764" w:rsidRDefault="002E4D4F" w:rsidP="00484323">
      <w:pPr>
        <w:spacing w:before="0"/>
        <w:contextualSpacing/>
        <w:mirrorIndents/>
        <w:rPr>
          <w:sz w:val="18"/>
          <w:szCs w:val="18"/>
        </w:rPr>
      </w:pPr>
      <w:r w:rsidRPr="00CD2E4B">
        <w:rPr>
          <w:b/>
          <w:bCs/>
          <w:sz w:val="18"/>
          <w:szCs w:val="18"/>
        </w:rPr>
        <w:t>(17) Zinsergebnis</w:t>
      </w:r>
      <w:r w:rsidRPr="00CD2E4B">
        <w:rPr>
          <w:sz w:val="18"/>
          <w:szCs w:val="18"/>
        </w:rPr>
        <w:t xml:space="preserve"> </w:t>
      </w:r>
    </w:p>
    <w:p w14:paraId="131812A7" w14:textId="77777777" w:rsidR="004927D2" w:rsidRPr="004927D2" w:rsidRDefault="004927D2" w:rsidP="00484323">
      <w:pPr>
        <w:spacing w:before="0"/>
        <w:contextualSpacing/>
        <w:mirrorIndents/>
        <w:rPr>
          <w:sz w:val="12"/>
          <w:szCs w:val="18"/>
        </w:rPr>
      </w:pPr>
    </w:p>
    <w:p w14:paraId="24AA3D3A" w14:textId="77777777" w:rsidR="002E4D4F" w:rsidRPr="00CD2E4B" w:rsidRDefault="002E4D4F" w:rsidP="00484323">
      <w:pPr>
        <w:spacing w:before="0"/>
        <w:contextualSpacing/>
        <w:mirrorIndents/>
        <w:rPr>
          <w:sz w:val="18"/>
          <w:szCs w:val="18"/>
        </w:rPr>
      </w:pPr>
      <w:r w:rsidRPr="00CD2E4B">
        <w:rPr>
          <w:sz w:val="18"/>
          <w:szCs w:val="18"/>
        </w:rPr>
        <w:t>Im Zinsergebnis sind die folgenden Beträge aus der Ab-/Aufzinsung enthalten: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
        <w:gridCol w:w="8932"/>
      </w:tblGrid>
      <w:tr w:rsidR="002E4D4F" w:rsidRPr="00CD2E4B" w14:paraId="7D748715" w14:textId="77777777" w:rsidTr="004C2764">
        <w:trPr>
          <w:tblCellSpacing w:w="15" w:type="dxa"/>
        </w:trPr>
        <w:tc>
          <w:tcPr>
            <w:tcW w:w="0" w:type="auto"/>
            <w:vAlign w:val="center"/>
            <w:hideMark/>
          </w:tcPr>
          <w:p w14:paraId="31FB9E7B" w14:textId="77777777" w:rsidR="002E4D4F" w:rsidRPr="00CD2E4B" w:rsidRDefault="002E4D4F" w:rsidP="00484323">
            <w:pPr>
              <w:spacing w:before="0"/>
              <w:contextualSpacing/>
              <w:mirrorIndents/>
              <w:rPr>
                <w:sz w:val="18"/>
                <w:szCs w:val="18"/>
              </w:rPr>
            </w:pPr>
            <w:r w:rsidRPr="00CD2E4B">
              <w:rPr>
                <w:sz w:val="18"/>
                <w:szCs w:val="18"/>
              </w:rPr>
              <w:t>•</w:t>
            </w:r>
          </w:p>
        </w:tc>
        <w:tc>
          <w:tcPr>
            <w:tcW w:w="8887" w:type="dxa"/>
            <w:vAlign w:val="center"/>
            <w:hideMark/>
          </w:tcPr>
          <w:p w14:paraId="1CFBA84E" w14:textId="77777777" w:rsidR="002E4D4F" w:rsidRPr="00CD2E4B" w:rsidRDefault="002E4D4F" w:rsidP="00484323">
            <w:pPr>
              <w:spacing w:before="0"/>
              <w:contextualSpacing/>
              <w:mirrorIndents/>
              <w:rPr>
                <w:sz w:val="18"/>
                <w:szCs w:val="18"/>
              </w:rPr>
            </w:pPr>
            <w:r w:rsidRPr="00CD2E4B">
              <w:rPr>
                <w:sz w:val="18"/>
                <w:szCs w:val="18"/>
              </w:rPr>
              <w:t>TEUR 1 (Vorjahr: TEUR 0) Zinsertrag aus der Abzinsung langfristiger sonstiger Rückstellungen</w:t>
            </w:r>
          </w:p>
        </w:tc>
      </w:tr>
      <w:tr w:rsidR="002E4D4F" w:rsidRPr="00CD2E4B" w14:paraId="0AA5A04A" w14:textId="77777777" w:rsidTr="004C2764">
        <w:trPr>
          <w:tblCellSpacing w:w="15" w:type="dxa"/>
        </w:trPr>
        <w:tc>
          <w:tcPr>
            <w:tcW w:w="0" w:type="auto"/>
            <w:vAlign w:val="center"/>
            <w:hideMark/>
          </w:tcPr>
          <w:p w14:paraId="7A6F2D28" w14:textId="77777777" w:rsidR="002E4D4F" w:rsidRPr="00CD2E4B" w:rsidRDefault="002E4D4F" w:rsidP="00484323">
            <w:pPr>
              <w:spacing w:before="0"/>
              <w:contextualSpacing/>
              <w:mirrorIndents/>
              <w:rPr>
                <w:sz w:val="18"/>
                <w:szCs w:val="18"/>
              </w:rPr>
            </w:pPr>
            <w:r w:rsidRPr="00CD2E4B">
              <w:rPr>
                <w:sz w:val="18"/>
                <w:szCs w:val="18"/>
              </w:rPr>
              <w:t>•</w:t>
            </w:r>
          </w:p>
        </w:tc>
        <w:tc>
          <w:tcPr>
            <w:tcW w:w="8887" w:type="dxa"/>
            <w:vAlign w:val="center"/>
            <w:hideMark/>
          </w:tcPr>
          <w:p w14:paraId="1819CC83" w14:textId="77777777" w:rsidR="002E4D4F" w:rsidRDefault="002E4D4F" w:rsidP="00484323">
            <w:pPr>
              <w:spacing w:before="0"/>
              <w:contextualSpacing/>
              <w:mirrorIndents/>
              <w:rPr>
                <w:sz w:val="18"/>
                <w:szCs w:val="18"/>
              </w:rPr>
            </w:pPr>
            <w:r w:rsidRPr="00CD2E4B">
              <w:rPr>
                <w:sz w:val="18"/>
                <w:szCs w:val="18"/>
              </w:rPr>
              <w:t>TEUR 13 (Vorjahr: TEUR 14) Zinsaufwand aus der Abzinsung langfristiger sonstiger Rückstellungen</w:t>
            </w:r>
          </w:p>
          <w:p w14:paraId="1624538A" w14:textId="5344F938" w:rsidR="004C2764" w:rsidRPr="00CD2E4B" w:rsidRDefault="004C2764" w:rsidP="00484323">
            <w:pPr>
              <w:spacing w:before="0"/>
              <w:contextualSpacing/>
              <w:mirrorIndents/>
              <w:rPr>
                <w:sz w:val="18"/>
                <w:szCs w:val="18"/>
              </w:rPr>
            </w:pPr>
          </w:p>
        </w:tc>
      </w:tr>
    </w:tbl>
    <w:p w14:paraId="0F02F17B" w14:textId="63E1CA8E" w:rsidR="002E4D4F" w:rsidRDefault="002E4D4F" w:rsidP="00484323">
      <w:pPr>
        <w:spacing w:before="0"/>
        <w:contextualSpacing/>
        <w:mirrorIndents/>
        <w:rPr>
          <w:sz w:val="18"/>
          <w:szCs w:val="18"/>
        </w:rPr>
      </w:pPr>
      <w:r w:rsidRPr="00CD2E4B">
        <w:rPr>
          <w:b/>
          <w:bCs/>
          <w:sz w:val="18"/>
          <w:szCs w:val="18"/>
        </w:rPr>
        <w:lastRenderedPageBreak/>
        <w:t>(18) Steuern</w:t>
      </w:r>
      <w:r w:rsidRPr="00CD2E4B">
        <w:rPr>
          <w:sz w:val="18"/>
          <w:szCs w:val="18"/>
        </w:rPr>
        <w:t xml:space="preserve"> </w:t>
      </w:r>
    </w:p>
    <w:p w14:paraId="6F54BED1" w14:textId="77777777" w:rsidR="004C2764" w:rsidRPr="00CD2E4B" w:rsidRDefault="004C2764" w:rsidP="00484323">
      <w:pPr>
        <w:spacing w:before="0"/>
        <w:contextualSpacing/>
        <w:mirrorIndents/>
        <w:rPr>
          <w:sz w:val="18"/>
          <w:szCs w:val="18"/>
        </w:rPr>
      </w:pPr>
    </w:p>
    <w:p w14:paraId="7EF6B0CE" w14:textId="2129580E" w:rsidR="002E4D4F" w:rsidRPr="004927D2" w:rsidRDefault="002E4D4F" w:rsidP="00484323">
      <w:pPr>
        <w:spacing w:before="0"/>
        <w:contextualSpacing/>
        <w:mirrorIndents/>
        <w:rPr>
          <w:spacing w:val="-2"/>
          <w:sz w:val="18"/>
          <w:szCs w:val="18"/>
        </w:rPr>
      </w:pPr>
      <w:r w:rsidRPr="004927D2">
        <w:rPr>
          <w:spacing w:val="-2"/>
          <w:sz w:val="18"/>
          <w:szCs w:val="18"/>
        </w:rPr>
        <w:t>Die sonstigen Steuern enthalten Kraftfahrzeug- und Grundsteuer sowie die Nachzahlung von Lohnsteuern.</w:t>
      </w:r>
    </w:p>
    <w:p w14:paraId="4A23DBF0" w14:textId="77777777" w:rsidR="004C2764" w:rsidRPr="00CD2E4B" w:rsidRDefault="004C2764" w:rsidP="00484323">
      <w:pPr>
        <w:spacing w:before="0"/>
        <w:contextualSpacing/>
        <w:mirrorIndents/>
        <w:rPr>
          <w:sz w:val="18"/>
          <w:szCs w:val="18"/>
        </w:rPr>
      </w:pPr>
    </w:p>
    <w:p w14:paraId="58E9C6B8" w14:textId="5CB971A2" w:rsidR="002E4D4F" w:rsidRDefault="002E4D4F" w:rsidP="00484323">
      <w:pPr>
        <w:spacing w:before="0"/>
        <w:contextualSpacing/>
        <w:mirrorIndents/>
        <w:rPr>
          <w:sz w:val="18"/>
          <w:szCs w:val="18"/>
        </w:rPr>
      </w:pPr>
      <w:r w:rsidRPr="00CD2E4B">
        <w:rPr>
          <w:b/>
          <w:bCs/>
          <w:sz w:val="18"/>
          <w:szCs w:val="18"/>
        </w:rPr>
        <w:t>Sonstige Angaben</w:t>
      </w:r>
      <w:r w:rsidRPr="00CD2E4B">
        <w:rPr>
          <w:sz w:val="18"/>
          <w:szCs w:val="18"/>
        </w:rPr>
        <w:t xml:space="preserve"> </w:t>
      </w:r>
    </w:p>
    <w:p w14:paraId="51493FD3" w14:textId="77777777" w:rsidR="004C2764" w:rsidRPr="00CD2E4B" w:rsidRDefault="004C2764" w:rsidP="00484323">
      <w:pPr>
        <w:spacing w:before="0"/>
        <w:contextualSpacing/>
        <w:mirrorIndents/>
        <w:rPr>
          <w:sz w:val="18"/>
          <w:szCs w:val="18"/>
        </w:rPr>
      </w:pPr>
    </w:p>
    <w:p w14:paraId="1B7972AA" w14:textId="022251AE" w:rsidR="002E4D4F" w:rsidRDefault="002E4D4F" w:rsidP="00484323">
      <w:pPr>
        <w:spacing w:before="0"/>
        <w:contextualSpacing/>
        <w:mirrorIndents/>
        <w:rPr>
          <w:sz w:val="18"/>
          <w:szCs w:val="18"/>
        </w:rPr>
      </w:pPr>
      <w:r w:rsidRPr="00CD2E4B">
        <w:rPr>
          <w:sz w:val="18"/>
          <w:szCs w:val="18"/>
        </w:rPr>
        <w:t xml:space="preserve">Die Gesellschaft hat keine direkten Aufwendungen im Zusammenhang mit Abschlussprüferhonoraren. Die Aufwendungen werden von der VINCI Construction </w:t>
      </w:r>
      <w:proofErr w:type="spellStart"/>
      <w:r w:rsidRPr="00CD2E4B">
        <w:rPr>
          <w:sz w:val="18"/>
          <w:szCs w:val="18"/>
        </w:rPr>
        <w:t>Shared</w:t>
      </w:r>
      <w:proofErr w:type="spellEnd"/>
      <w:r w:rsidRPr="00CD2E4B">
        <w:rPr>
          <w:sz w:val="18"/>
          <w:szCs w:val="18"/>
        </w:rPr>
        <w:t xml:space="preserve"> Services GmbH, Berlin, getragen und innerhalb der Dienstleistungsumlage weiterbelastet. Darin enthalten sind Honorare für die Prüfung des Jahresabschlusses in Höhe von ca. TEUR 90.</w:t>
      </w:r>
    </w:p>
    <w:p w14:paraId="79A43362" w14:textId="77777777" w:rsidR="004C2764" w:rsidRPr="00CD2E4B" w:rsidRDefault="004C2764" w:rsidP="00484323">
      <w:pPr>
        <w:spacing w:before="0"/>
        <w:contextualSpacing/>
        <w:mirrorIndents/>
        <w:rPr>
          <w:sz w:val="18"/>
          <w:szCs w:val="18"/>
        </w:rPr>
      </w:pPr>
    </w:p>
    <w:p w14:paraId="1D3093DD" w14:textId="2B543921" w:rsidR="002E4D4F" w:rsidRDefault="002E4D4F" w:rsidP="00484323">
      <w:pPr>
        <w:spacing w:before="0"/>
        <w:contextualSpacing/>
        <w:mirrorIndents/>
        <w:rPr>
          <w:sz w:val="18"/>
          <w:szCs w:val="18"/>
        </w:rPr>
      </w:pPr>
      <w:r w:rsidRPr="00CD2E4B">
        <w:rPr>
          <w:sz w:val="18"/>
          <w:szCs w:val="18"/>
        </w:rPr>
        <w:t xml:space="preserve">Der Jahresüberschuss vor Ergebnisabführung in Höhe von TEUR 19.956 (Vorjahr: TEUR 20.113) wurde gemäß Beherrschungs- und Gewinnabführungsvertrag </w:t>
      </w:r>
      <w:proofErr w:type="spellStart"/>
      <w:r w:rsidRPr="00CD2E4B">
        <w:rPr>
          <w:sz w:val="18"/>
          <w:szCs w:val="18"/>
        </w:rPr>
        <w:t>i.d.F</w:t>
      </w:r>
      <w:proofErr w:type="spellEnd"/>
      <w:r w:rsidRPr="00CD2E4B">
        <w:rPr>
          <w:sz w:val="18"/>
          <w:szCs w:val="18"/>
        </w:rPr>
        <w:t>. vom 2. Juni 2014 an die VINCI Construction GmbH, Berlin, abgeführt.</w:t>
      </w:r>
    </w:p>
    <w:p w14:paraId="59208193" w14:textId="77777777" w:rsidR="004C2764" w:rsidRPr="00CD2E4B" w:rsidRDefault="004C2764" w:rsidP="00484323">
      <w:pPr>
        <w:spacing w:before="0"/>
        <w:contextualSpacing/>
        <w:mirrorIndents/>
        <w:rPr>
          <w:sz w:val="18"/>
          <w:szCs w:val="18"/>
        </w:rPr>
      </w:pPr>
    </w:p>
    <w:p w14:paraId="6BA55049" w14:textId="4F17D565" w:rsidR="002E4D4F" w:rsidRDefault="002E4D4F" w:rsidP="00484323">
      <w:pPr>
        <w:spacing w:before="0"/>
        <w:contextualSpacing/>
        <w:mirrorIndents/>
        <w:rPr>
          <w:sz w:val="18"/>
          <w:szCs w:val="18"/>
        </w:rPr>
      </w:pPr>
      <w:r w:rsidRPr="00CD2E4B">
        <w:rPr>
          <w:b/>
          <w:bCs/>
          <w:sz w:val="18"/>
          <w:szCs w:val="18"/>
        </w:rPr>
        <w:t>Nachtragsbericht</w:t>
      </w:r>
      <w:r w:rsidRPr="00CD2E4B">
        <w:rPr>
          <w:sz w:val="18"/>
          <w:szCs w:val="18"/>
        </w:rPr>
        <w:t xml:space="preserve"> </w:t>
      </w:r>
    </w:p>
    <w:p w14:paraId="60625A3B" w14:textId="77777777" w:rsidR="004C2764" w:rsidRPr="00CD2E4B" w:rsidRDefault="004C2764" w:rsidP="00484323">
      <w:pPr>
        <w:spacing w:before="0"/>
        <w:contextualSpacing/>
        <w:mirrorIndents/>
        <w:rPr>
          <w:sz w:val="18"/>
          <w:szCs w:val="18"/>
        </w:rPr>
      </w:pPr>
    </w:p>
    <w:p w14:paraId="4005F9E7" w14:textId="382C81C5" w:rsidR="002E4D4F" w:rsidRDefault="002E4D4F" w:rsidP="00484323">
      <w:pPr>
        <w:spacing w:before="0"/>
        <w:contextualSpacing/>
        <w:mirrorIndents/>
        <w:rPr>
          <w:sz w:val="18"/>
          <w:szCs w:val="18"/>
        </w:rPr>
      </w:pPr>
      <w:r w:rsidRPr="00CD2E4B">
        <w:rPr>
          <w:sz w:val="18"/>
          <w:szCs w:val="18"/>
        </w:rPr>
        <w:t>Zum Zeitpunkt der Erstellung des Jahresabschlusses existieren aufgrund des Krieges in der Ukraine weiterhin Lieferengpässe und Preissteigerungen bei wesentlichen Rohstoffen. Wir verweisen hierzu auf unsere Ausführungen im Lagebericht unter den Abschnitten „VII. Risikomanagement“ und „VIII. Risiken und Chancen der zukünftigen Entwicklung“ sowie „IX. Ausblick“.</w:t>
      </w:r>
    </w:p>
    <w:p w14:paraId="1E7B3178" w14:textId="77777777" w:rsidR="004C2764" w:rsidRPr="00CD2E4B" w:rsidRDefault="004C2764" w:rsidP="00484323">
      <w:pPr>
        <w:spacing w:before="0"/>
        <w:contextualSpacing/>
        <w:mirrorIndents/>
        <w:rPr>
          <w:sz w:val="18"/>
          <w:szCs w:val="18"/>
        </w:rPr>
      </w:pPr>
    </w:p>
    <w:p w14:paraId="4050F6A6" w14:textId="77258655" w:rsidR="002E4D4F" w:rsidRDefault="002E4D4F" w:rsidP="00484323">
      <w:pPr>
        <w:spacing w:before="0"/>
        <w:contextualSpacing/>
        <w:mirrorIndents/>
        <w:rPr>
          <w:sz w:val="18"/>
          <w:szCs w:val="18"/>
        </w:rPr>
      </w:pPr>
      <w:r w:rsidRPr="00CD2E4B">
        <w:rPr>
          <w:sz w:val="18"/>
          <w:szCs w:val="18"/>
        </w:rPr>
        <w:t>Ansonsten sind der Geschäftsführung keine Vorgänge von besonderer Bedeutung, die nach dem Schluss des Geschäftsjahres eingetreten sind, bekannt, die einen wesentlichen Einfluss auf die Vermögens-, Finanz- oder Ertragslage hätten.</w:t>
      </w:r>
    </w:p>
    <w:p w14:paraId="759F5E7E" w14:textId="77777777" w:rsidR="004C2764" w:rsidRPr="00CD2E4B" w:rsidRDefault="004C2764" w:rsidP="00484323">
      <w:pPr>
        <w:spacing w:before="0"/>
        <w:contextualSpacing/>
        <w:mirrorIndents/>
        <w:rPr>
          <w:sz w:val="18"/>
          <w:szCs w:val="18"/>
        </w:rPr>
      </w:pPr>
    </w:p>
    <w:p w14:paraId="7D130F13" w14:textId="7DF8EC19" w:rsidR="002E4D4F" w:rsidRDefault="002E4D4F" w:rsidP="00484323">
      <w:pPr>
        <w:spacing w:before="0"/>
        <w:contextualSpacing/>
        <w:mirrorIndents/>
        <w:rPr>
          <w:sz w:val="18"/>
          <w:szCs w:val="18"/>
        </w:rPr>
      </w:pPr>
      <w:r w:rsidRPr="00CD2E4B">
        <w:rPr>
          <w:b/>
          <w:bCs/>
          <w:sz w:val="18"/>
          <w:szCs w:val="18"/>
        </w:rPr>
        <w:t>Gesamtbezüge der Geschäftsführung</w:t>
      </w:r>
      <w:r w:rsidRPr="00CD2E4B">
        <w:rPr>
          <w:sz w:val="18"/>
          <w:szCs w:val="18"/>
        </w:rPr>
        <w:t xml:space="preserve"> </w:t>
      </w:r>
    </w:p>
    <w:p w14:paraId="518683AD" w14:textId="77777777" w:rsidR="004C2764" w:rsidRPr="00CD2E4B" w:rsidRDefault="004C2764" w:rsidP="00484323">
      <w:pPr>
        <w:spacing w:before="0"/>
        <w:contextualSpacing/>
        <w:mirrorIndents/>
        <w:rPr>
          <w:sz w:val="18"/>
          <w:szCs w:val="18"/>
        </w:rPr>
      </w:pPr>
    </w:p>
    <w:p w14:paraId="5F3644C3" w14:textId="63111A50" w:rsidR="002E4D4F" w:rsidRDefault="002E4D4F" w:rsidP="00484323">
      <w:pPr>
        <w:spacing w:before="0"/>
        <w:contextualSpacing/>
        <w:mirrorIndents/>
        <w:rPr>
          <w:sz w:val="18"/>
          <w:szCs w:val="18"/>
        </w:rPr>
      </w:pPr>
      <w:r w:rsidRPr="00CD2E4B">
        <w:rPr>
          <w:sz w:val="18"/>
          <w:szCs w:val="18"/>
        </w:rPr>
        <w:t>Die Geschäftsführer erhalten von der Gesellschaft keine Bezüge.</w:t>
      </w:r>
    </w:p>
    <w:p w14:paraId="222B4994" w14:textId="77777777" w:rsidR="00A360DC" w:rsidRPr="00CD2E4B" w:rsidRDefault="00A360DC" w:rsidP="00484323">
      <w:pPr>
        <w:spacing w:before="0"/>
        <w:contextualSpacing/>
        <w:mirrorIndents/>
        <w:rPr>
          <w:sz w:val="18"/>
          <w:szCs w:val="18"/>
        </w:rPr>
      </w:pPr>
    </w:p>
    <w:p w14:paraId="3FF8C63B" w14:textId="307662C8" w:rsidR="002E4D4F" w:rsidRDefault="002E4D4F" w:rsidP="00484323">
      <w:pPr>
        <w:spacing w:before="0"/>
        <w:contextualSpacing/>
        <w:mirrorIndents/>
        <w:rPr>
          <w:sz w:val="18"/>
          <w:szCs w:val="18"/>
        </w:rPr>
      </w:pPr>
      <w:r w:rsidRPr="00CD2E4B">
        <w:rPr>
          <w:b/>
          <w:bCs/>
          <w:sz w:val="18"/>
          <w:szCs w:val="18"/>
        </w:rPr>
        <w:t>Gesamtbezüge früherer Mitglieder der Geschäftsführung</w:t>
      </w:r>
      <w:r w:rsidRPr="00CD2E4B">
        <w:rPr>
          <w:sz w:val="18"/>
          <w:szCs w:val="18"/>
        </w:rPr>
        <w:t xml:space="preserve"> </w:t>
      </w:r>
    </w:p>
    <w:p w14:paraId="48B871D1" w14:textId="77777777" w:rsidR="004C2764" w:rsidRPr="00CD2E4B" w:rsidRDefault="004C2764" w:rsidP="00484323">
      <w:pPr>
        <w:spacing w:before="0"/>
        <w:contextualSpacing/>
        <w:mirrorIndents/>
        <w:rPr>
          <w:sz w:val="18"/>
          <w:szCs w:val="18"/>
        </w:rPr>
      </w:pPr>
    </w:p>
    <w:p w14:paraId="45D993A9" w14:textId="66F32CA0" w:rsidR="002E4D4F" w:rsidRDefault="002E4D4F" w:rsidP="00484323">
      <w:pPr>
        <w:spacing w:before="0"/>
        <w:contextualSpacing/>
        <w:mirrorIndents/>
        <w:rPr>
          <w:sz w:val="18"/>
          <w:szCs w:val="18"/>
        </w:rPr>
      </w:pPr>
      <w:r w:rsidRPr="00CD2E4B">
        <w:rPr>
          <w:sz w:val="18"/>
          <w:szCs w:val="18"/>
        </w:rPr>
        <w:t>An frühere Mitglieder der Geschäftsführung wurden TEUR 49 (Vorjahr: TEUR 49) gezahlt. Die Pensionsverpflichtungen sind mit TEUR 490 (Vorjahr: TEUR 504) zurückgestellt.</w:t>
      </w:r>
    </w:p>
    <w:p w14:paraId="1A03DDD4" w14:textId="1D905C0C" w:rsidR="004C2764" w:rsidRDefault="004C2764" w:rsidP="00484323">
      <w:pPr>
        <w:spacing w:before="0"/>
        <w:contextualSpacing/>
        <w:mirrorIndents/>
        <w:rPr>
          <w:sz w:val="18"/>
          <w:szCs w:val="18"/>
        </w:rPr>
      </w:pPr>
    </w:p>
    <w:p w14:paraId="462807DC" w14:textId="77777777" w:rsidR="004927D2" w:rsidRPr="00CD2E4B" w:rsidRDefault="004927D2" w:rsidP="00484323">
      <w:pPr>
        <w:spacing w:before="0"/>
        <w:contextualSpacing/>
        <w:mirrorIndents/>
        <w:rPr>
          <w:sz w:val="18"/>
          <w:szCs w:val="18"/>
        </w:rPr>
      </w:pPr>
    </w:p>
    <w:p w14:paraId="47028626" w14:textId="77777777" w:rsidR="002E4D4F" w:rsidRPr="004927D2" w:rsidRDefault="002E4D4F" w:rsidP="004C2764">
      <w:pPr>
        <w:spacing w:before="0"/>
        <w:contextualSpacing/>
        <w:mirrorIndents/>
        <w:jc w:val="center"/>
        <w:outlineLvl w:val="3"/>
        <w:rPr>
          <w:b/>
          <w:bCs/>
          <w:sz w:val="20"/>
          <w:szCs w:val="18"/>
        </w:rPr>
      </w:pPr>
      <w:r w:rsidRPr="004927D2">
        <w:rPr>
          <w:b/>
          <w:bCs/>
          <w:sz w:val="20"/>
          <w:szCs w:val="18"/>
        </w:rPr>
        <w:t>Organe der Gesellschaft:</w:t>
      </w:r>
    </w:p>
    <w:p w14:paraId="21D26902" w14:textId="77777777" w:rsidR="004927D2" w:rsidRDefault="004927D2" w:rsidP="00484323">
      <w:pPr>
        <w:spacing w:before="0"/>
        <w:contextualSpacing/>
        <w:mirrorIndents/>
        <w:rPr>
          <w:b/>
          <w:bCs/>
          <w:sz w:val="18"/>
          <w:szCs w:val="18"/>
        </w:rPr>
      </w:pPr>
    </w:p>
    <w:p w14:paraId="46E12BC8" w14:textId="08C2520D" w:rsidR="002E4D4F" w:rsidRPr="00CD2E4B" w:rsidRDefault="002E4D4F" w:rsidP="00484323">
      <w:pPr>
        <w:spacing w:before="0"/>
        <w:contextualSpacing/>
        <w:mirrorIndents/>
        <w:rPr>
          <w:sz w:val="18"/>
          <w:szCs w:val="18"/>
        </w:rPr>
      </w:pPr>
      <w:r w:rsidRPr="00CD2E4B">
        <w:rPr>
          <w:b/>
          <w:bCs/>
          <w:sz w:val="18"/>
          <w:szCs w:val="18"/>
        </w:rPr>
        <w:t>Geschäftsführung</w:t>
      </w:r>
      <w:r w:rsidRPr="00CD2E4B">
        <w:rPr>
          <w:sz w:val="18"/>
          <w:szCs w:val="1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
        <w:gridCol w:w="8683"/>
      </w:tblGrid>
      <w:tr w:rsidR="002E4D4F" w:rsidRPr="00CD2E4B" w14:paraId="514A1E24" w14:textId="77777777" w:rsidTr="0087518D">
        <w:trPr>
          <w:tblCellSpacing w:w="15" w:type="dxa"/>
        </w:trPr>
        <w:tc>
          <w:tcPr>
            <w:tcW w:w="0" w:type="auto"/>
            <w:hideMark/>
          </w:tcPr>
          <w:p w14:paraId="4759788A" w14:textId="77777777" w:rsidR="002E4D4F" w:rsidRPr="00CD2E4B" w:rsidRDefault="002E4D4F" w:rsidP="0087518D">
            <w:pPr>
              <w:spacing w:before="0"/>
              <w:contextualSpacing/>
              <w:mirrorIndents/>
              <w:jc w:val="left"/>
              <w:rPr>
                <w:sz w:val="18"/>
                <w:szCs w:val="18"/>
              </w:rPr>
            </w:pPr>
            <w:r w:rsidRPr="00CD2E4B">
              <w:rPr>
                <w:sz w:val="18"/>
                <w:szCs w:val="18"/>
              </w:rPr>
              <w:t>•</w:t>
            </w:r>
          </w:p>
        </w:tc>
        <w:tc>
          <w:tcPr>
            <w:tcW w:w="0" w:type="auto"/>
            <w:vAlign w:val="center"/>
            <w:hideMark/>
          </w:tcPr>
          <w:p w14:paraId="4E721AA7" w14:textId="77777777" w:rsidR="002E4D4F" w:rsidRPr="00CD2E4B" w:rsidRDefault="002E4D4F" w:rsidP="00484323">
            <w:pPr>
              <w:spacing w:before="0"/>
              <w:contextualSpacing/>
              <w:mirrorIndents/>
              <w:rPr>
                <w:sz w:val="18"/>
                <w:szCs w:val="18"/>
              </w:rPr>
            </w:pPr>
            <w:r w:rsidRPr="00CD2E4B">
              <w:rPr>
                <w:sz w:val="18"/>
                <w:szCs w:val="18"/>
              </w:rPr>
              <w:t>Herr Karsten Vollmer</w:t>
            </w:r>
          </w:p>
          <w:p w14:paraId="0A754E51" w14:textId="77777777" w:rsidR="002E4D4F" w:rsidRPr="00CD2E4B" w:rsidRDefault="002E4D4F" w:rsidP="00484323">
            <w:pPr>
              <w:spacing w:before="0"/>
              <w:contextualSpacing/>
              <w:mirrorIndents/>
              <w:rPr>
                <w:sz w:val="18"/>
                <w:szCs w:val="18"/>
              </w:rPr>
            </w:pPr>
            <w:r w:rsidRPr="00CD2E4B">
              <w:rPr>
                <w:sz w:val="18"/>
                <w:szCs w:val="18"/>
              </w:rPr>
              <w:t>Leiter der Region Nord-Ost der EUROVIA-Gruppe in Deutschland</w:t>
            </w:r>
          </w:p>
        </w:tc>
      </w:tr>
      <w:tr w:rsidR="002E4D4F" w:rsidRPr="00CD2E4B" w14:paraId="748E2C98" w14:textId="77777777" w:rsidTr="0087518D">
        <w:trPr>
          <w:tblCellSpacing w:w="15" w:type="dxa"/>
        </w:trPr>
        <w:tc>
          <w:tcPr>
            <w:tcW w:w="0" w:type="auto"/>
            <w:hideMark/>
          </w:tcPr>
          <w:p w14:paraId="23732512" w14:textId="77777777" w:rsidR="002E4D4F" w:rsidRPr="00CD2E4B" w:rsidRDefault="002E4D4F" w:rsidP="0087518D">
            <w:pPr>
              <w:spacing w:before="0"/>
              <w:contextualSpacing/>
              <w:mirrorIndents/>
              <w:jc w:val="left"/>
              <w:rPr>
                <w:sz w:val="18"/>
                <w:szCs w:val="18"/>
              </w:rPr>
            </w:pPr>
            <w:r w:rsidRPr="00CD2E4B">
              <w:rPr>
                <w:sz w:val="18"/>
                <w:szCs w:val="18"/>
              </w:rPr>
              <w:t>•</w:t>
            </w:r>
          </w:p>
        </w:tc>
        <w:tc>
          <w:tcPr>
            <w:tcW w:w="0" w:type="auto"/>
            <w:vAlign w:val="center"/>
            <w:hideMark/>
          </w:tcPr>
          <w:p w14:paraId="1361DCCA" w14:textId="77777777" w:rsidR="002E4D4F" w:rsidRPr="00CD2E4B" w:rsidRDefault="002E4D4F" w:rsidP="00484323">
            <w:pPr>
              <w:spacing w:before="0"/>
              <w:contextualSpacing/>
              <w:mirrorIndents/>
              <w:rPr>
                <w:sz w:val="18"/>
                <w:szCs w:val="18"/>
              </w:rPr>
            </w:pPr>
            <w:r w:rsidRPr="00CD2E4B">
              <w:rPr>
                <w:sz w:val="18"/>
                <w:szCs w:val="18"/>
              </w:rPr>
              <w:t>Herr Tilo Bräunig</w:t>
            </w:r>
          </w:p>
          <w:p w14:paraId="2C5FDC2B" w14:textId="77777777" w:rsidR="002E4D4F" w:rsidRPr="00CD2E4B" w:rsidRDefault="002E4D4F" w:rsidP="00484323">
            <w:pPr>
              <w:spacing w:before="0"/>
              <w:contextualSpacing/>
              <w:mirrorIndents/>
              <w:rPr>
                <w:sz w:val="18"/>
                <w:szCs w:val="18"/>
              </w:rPr>
            </w:pPr>
            <w:r w:rsidRPr="00CD2E4B">
              <w:rPr>
                <w:sz w:val="18"/>
                <w:szCs w:val="18"/>
              </w:rPr>
              <w:t>Leiter der Region Mitte der EUROVIA-Gruppe in Deutschland (ab 20. Januar 2022)</w:t>
            </w:r>
          </w:p>
        </w:tc>
      </w:tr>
      <w:tr w:rsidR="002E4D4F" w:rsidRPr="00CD2E4B" w14:paraId="67AC7D6B" w14:textId="77777777" w:rsidTr="0087518D">
        <w:trPr>
          <w:tblCellSpacing w:w="15" w:type="dxa"/>
        </w:trPr>
        <w:tc>
          <w:tcPr>
            <w:tcW w:w="0" w:type="auto"/>
            <w:hideMark/>
          </w:tcPr>
          <w:p w14:paraId="0D51AE4B" w14:textId="77777777" w:rsidR="002E4D4F" w:rsidRPr="00CD2E4B" w:rsidRDefault="002E4D4F" w:rsidP="0087518D">
            <w:pPr>
              <w:spacing w:before="0"/>
              <w:contextualSpacing/>
              <w:mirrorIndents/>
              <w:jc w:val="left"/>
              <w:rPr>
                <w:sz w:val="18"/>
                <w:szCs w:val="18"/>
              </w:rPr>
            </w:pPr>
            <w:r w:rsidRPr="00CD2E4B">
              <w:rPr>
                <w:sz w:val="18"/>
                <w:szCs w:val="18"/>
              </w:rPr>
              <w:t>•</w:t>
            </w:r>
          </w:p>
        </w:tc>
        <w:tc>
          <w:tcPr>
            <w:tcW w:w="0" w:type="auto"/>
            <w:vAlign w:val="center"/>
            <w:hideMark/>
          </w:tcPr>
          <w:p w14:paraId="11983C74" w14:textId="77777777" w:rsidR="002E4D4F" w:rsidRPr="00CD2E4B" w:rsidRDefault="002E4D4F" w:rsidP="00484323">
            <w:pPr>
              <w:spacing w:before="0"/>
              <w:contextualSpacing/>
              <w:mirrorIndents/>
              <w:rPr>
                <w:sz w:val="18"/>
                <w:szCs w:val="18"/>
              </w:rPr>
            </w:pPr>
            <w:r w:rsidRPr="00CD2E4B">
              <w:rPr>
                <w:sz w:val="18"/>
                <w:szCs w:val="18"/>
              </w:rPr>
              <w:t xml:space="preserve">Herr Uwe </w:t>
            </w:r>
            <w:proofErr w:type="spellStart"/>
            <w:r w:rsidRPr="00CD2E4B">
              <w:rPr>
                <w:sz w:val="18"/>
                <w:szCs w:val="18"/>
              </w:rPr>
              <w:t>Ausmeier</w:t>
            </w:r>
            <w:proofErr w:type="spellEnd"/>
          </w:p>
          <w:p w14:paraId="1853F361" w14:textId="77777777" w:rsidR="002E4D4F" w:rsidRPr="00CD2E4B" w:rsidRDefault="002E4D4F" w:rsidP="00484323">
            <w:pPr>
              <w:spacing w:before="0"/>
              <w:contextualSpacing/>
              <w:mirrorIndents/>
              <w:rPr>
                <w:sz w:val="18"/>
                <w:szCs w:val="18"/>
              </w:rPr>
            </w:pPr>
            <w:r w:rsidRPr="00CD2E4B">
              <w:rPr>
                <w:sz w:val="18"/>
                <w:szCs w:val="18"/>
              </w:rPr>
              <w:t>Geschäftsbereichsleiter der Region West der EUROVIA-Gruppe in Deutschland (bis 20. Januar 2022)</w:t>
            </w:r>
          </w:p>
        </w:tc>
      </w:tr>
    </w:tbl>
    <w:p w14:paraId="5F546004" w14:textId="77777777" w:rsidR="002E4D4F" w:rsidRPr="00CD2E4B" w:rsidRDefault="002E4D4F" w:rsidP="00484323">
      <w:pPr>
        <w:spacing w:before="0"/>
        <w:contextualSpacing/>
        <w:mirrorIndents/>
        <w:rPr>
          <w:sz w:val="18"/>
          <w:szCs w:val="18"/>
        </w:rPr>
      </w:pPr>
      <w:r w:rsidRPr="00CD2E4B">
        <w:rPr>
          <w:sz w:val="18"/>
          <w:szCs w:val="18"/>
        </w:rPr>
        <w:t> </w:t>
      </w:r>
    </w:p>
    <w:p w14:paraId="42F453BE" w14:textId="77777777" w:rsidR="002E4D4F" w:rsidRPr="004C2764" w:rsidRDefault="002E4D4F" w:rsidP="00484323">
      <w:pPr>
        <w:spacing w:before="0"/>
        <w:contextualSpacing/>
        <w:mirrorIndents/>
        <w:rPr>
          <w:bCs/>
          <w:sz w:val="18"/>
          <w:szCs w:val="18"/>
        </w:rPr>
      </w:pPr>
      <w:r w:rsidRPr="004C2764">
        <w:rPr>
          <w:bCs/>
          <w:sz w:val="18"/>
          <w:szCs w:val="18"/>
        </w:rPr>
        <w:t>Berlin, den 12. Mai 2023</w:t>
      </w:r>
    </w:p>
    <w:p w14:paraId="1B89966A" w14:textId="77777777" w:rsidR="004927D2" w:rsidRDefault="004927D2" w:rsidP="004C2764">
      <w:pPr>
        <w:spacing w:before="0"/>
        <w:contextualSpacing/>
        <w:mirrorIndents/>
        <w:jc w:val="center"/>
        <w:rPr>
          <w:b/>
          <w:bCs/>
          <w:sz w:val="18"/>
          <w:szCs w:val="18"/>
        </w:rPr>
      </w:pPr>
    </w:p>
    <w:p w14:paraId="323D7525" w14:textId="2013329E" w:rsidR="002E4D4F" w:rsidRPr="00CD2E4B" w:rsidRDefault="002E4D4F" w:rsidP="004C2764">
      <w:pPr>
        <w:spacing w:before="0"/>
        <w:contextualSpacing/>
        <w:mirrorIndents/>
        <w:jc w:val="center"/>
        <w:rPr>
          <w:b/>
          <w:bCs/>
          <w:sz w:val="18"/>
          <w:szCs w:val="18"/>
        </w:rPr>
      </w:pPr>
      <w:r w:rsidRPr="00CD2E4B">
        <w:rPr>
          <w:b/>
          <w:bCs/>
          <w:sz w:val="18"/>
          <w:szCs w:val="18"/>
        </w:rPr>
        <w:t>EUROVIA Verkehrsbau GmbH</w:t>
      </w:r>
    </w:p>
    <w:p w14:paraId="7AC3CD1A" w14:textId="77777777" w:rsidR="002E4D4F" w:rsidRPr="004927D2" w:rsidRDefault="002E4D4F" w:rsidP="004C2764">
      <w:pPr>
        <w:spacing w:before="0"/>
        <w:contextualSpacing/>
        <w:mirrorIndents/>
        <w:jc w:val="center"/>
        <w:rPr>
          <w:bCs/>
          <w:sz w:val="18"/>
          <w:szCs w:val="18"/>
        </w:rPr>
      </w:pPr>
      <w:r w:rsidRPr="004927D2">
        <w:rPr>
          <w:bCs/>
          <w:i/>
          <w:iCs/>
          <w:sz w:val="18"/>
          <w:szCs w:val="18"/>
        </w:rPr>
        <w:t>Die Geschäftsführung</w:t>
      </w:r>
    </w:p>
    <w:p w14:paraId="44A05548" w14:textId="77777777" w:rsidR="002E4D4F" w:rsidRPr="004927D2" w:rsidRDefault="002E4D4F" w:rsidP="004C2764">
      <w:pPr>
        <w:spacing w:before="0"/>
        <w:contextualSpacing/>
        <w:mirrorIndents/>
        <w:jc w:val="center"/>
        <w:rPr>
          <w:bCs/>
          <w:sz w:val="18"/>
          <w:szCs w:val="18"/>
        </w:rPr>
      </w:pPr>
      <w:r w:rsidRPr="004927D2">
        <w:rPr>
          <w:bCs/>
          <w:i/>
          <w:iCs/>
          <w:sz w:val="18"/>
          <w:szCs w:val="18"/>
        </w:rPr>
        <w:t>Tilo Bräunig</w:t>
      </w:r>
    </w:p>
    <w:p w14:paraId="55F4884B" w14:textId="71B2766C" w:rsidR="002E4D4F" w:rsidRPr="004927D2" w:rsidRDefault="002E4D4F" w:rsidP="004C2764">
      <w:pPr>
        <w:spacing w:before="0"/>
        <w:contextualSpacing/>
        <w:mirrorIndents/>
        <w:jc w:val="center"/>
        <w:rPr>
          <w:bCs/>
          <w:i/>
          <w:iCs/>
          <w:sz w:val="18"/>
          <w:szCs w:val="18"/>
        </w:rPr>
      </w:pPr>
      <w:r w:rsidRPr="004927D2">
        <w:rPr>
          <w:bCs/>
          <w:i/>
          <w:iCs/>
          <w:sz w:val="18"/>
          <w:szCs w:val="18"/>
        </w:rPr>
        <w:t>Karsten Vollmer</w:t>
      </w:r>
    </w:p>
    <w:p w14:paraId="66760E42" w14:textId="77777777" w:rsidR="00A360DC" w:rsidRDefault="00A360DC" w:rsidP="004C2764">
      <w:pPr>
        <w:spacing w:before="0"/>
        <w:contextualSpacing/>
        <w:mirrorIndents/>
        <w:jc w:val="center"/>
        <w:rPr>
          <w:b/>
          <w:bCs/>
          <w:i/>
          <w:iCs/>
          <w:sz w:val="18"/>
          <w:szCs w:val="18"/>
        </w:rPr>
      </w:pPr>
    </w:p>
    <w:p w14:paraId="53D5A9E9" w14:textId="77777777" w:rsidR="004927D2" w:rsidRDefault="004927D2">
      <w:pPr>
        <w:spacing w:before="0"/>
        <w:jc w:val="left"/>
        <w:rPr>
          <w:b/>
          <w:bCs/>
          <w:sz w:val="20"/>
          <w:szCs w:val="18"/>
        </w:rPr>
      </w:pPr>
      <w:r>
        <w:rPr>
          <w:b/>
          <w:bCs/>
          <w:sz w:val="20"/>
          <w:szCs w:val="18"/>
        </w:rPr>
        <w:br w:type="page"/>
      </w:r>
    </w:p>
    <w:p w14:paraId="211D769F" w14:textId="085C3122" w:rsidR="002E4D4F" w:rsidRPr="004927D2" w:rsidRDefault="002E4D4F" w:rsidP="004C2764">
      <w:pPr>
        <w:spacing w:before="0"/>
        <w:contextualSpacing/>
        <w:mirrorIndents/>
        <w:jc w:val="center"/>
        <w:outlineLvl w:val="3"/>
        <w:rPr>
          <w:b/>
          <w:bCs/>
          <w:sz w:val="20"/>
          <w:szCs w:val="18"/>
        </w:rPr>
      </w:pPr>
      <w:r w:rsidRPr="004927D2">
        <w:rPr>
          <w:b/>
          <w:bCs/>
          <w:sz w:val="20"/>
          <w:szCs w:val="18"/>
        </w:rPr>
        <w:lastRenderedPageBreak/>
        <w:t>Entwicklung des Anlagevermögens (EUR)</w:t>
      </w:r>
    </w:p>
    <w:p w14:paraId="4087B695" w14:textId="77777777" w:rsidR="004C2764" w:rsidRPr="00CD2E4B" w:rsidRDefault="004C2764" w:rsidP="004C2764">
      <w:pPr>
        <w:spacing w:before="0"/>
        <w:contextualSpacing/>
        <w:mirrorIndents/>
        <w:jc w:val="center"/>
        <w:outlineLvl w:val="3"/>
        <w:rPr>
          <w:b/>
          <w:bCs/>
          <w:sz w:val="18"/>
          <w:szCs w:val="18"/>
        </w:rPr>
      </w:pPr>
    </w:p>
    <w:tbl>
      <w:tblPr>
        <w:tblW w:w="9102"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3291"/>
        <w:gridCol w:w="1275"/>
        <w:gridCol w:w="1134"/>
        <w:gridCol w:w="993"/>
        <w:gridCol w:w="1134"/>
        <w:gridCol w:w="1275"/>
      </w:tblGrid>
      <w:tr w:rsidR="002E4D4F" w:rsidRPr="004C2764" w14:paraId="597C801E" w14:textId="77777777" w:rsidTr="00AD3212">
        <w:trPr>
          <w:trHeight w:val="245"/>
          <w:tblHeader/>
          <w:tblCellSpacing w:w="0" w:type="dxa"/>
        </w:trPr>
        <w:tc>
          <w:tcPr>
            <w:tcW w:w="3291" w:type="dxa"/>
            <w:shd w:val="clear" w:color="auto" w:fill="CDCDCE"/>
            <w:vAlign w:val="bottom"/>
            <w:hideMark/>
          </w:tcPr>
          <w:p w14:paraId="025C6F48" w14:textId="77777777" w:rsidR="002E4D4F" w:rsidRPr="004C2764" w:rsidRDefault="002E4D4F" w:rsidP="00484323">
            <w:pPr>
              <w:spacing w:before="0"/>
              <w:contextualSpacing/>
              <w:mirrorIndents/>
              <w:rPr>
                <w:sz w:val="16"/>
                <w:szCs w:val="16"/>
              </w:rPr>
            </w:pPr>
          </w:p>
        </w:tc>
        <w:tc>
          <w:tcPr>
            <w:tcW w:w="5811" w:type="dxa"/>
            <w:gridSpan w:val="5"/>
            <w:shd w:val="clear" w:color="auto" w:fill="CDCDCE"/>
            <w:vAlign w:val="bottom"/>
            <w:hideMark/>
          </w:tcPr>
          <w:p w14:paraId="2F25D581" w14:textId="77777777" w:rsidR="002E4D4F" w:rsidRPr="004C2764" w:rsidRDefault="002E4D4F" w:rsidP="004C2764">
            <w:pPr>
              <w:spacing w:before="0"/>
              <w:contextualSpacing/>
              <w:mirrorIndents/>
              <w:jc w:val="center"/>
              <w:rPr>
                <w:sz w:val="16"/>
                <w:szCs w:val="16"/>
              </w:rPr>
            </w:pPr>
            <w:r w:rsidRPr="004C2764">
              <w:rPr>
                <w:sz w:val="16"/>
                <w:szCs w:val="16"/>
              </w:rPr>
              <w:t>Anschaffungskosten</w:t>
            </w:r>
          </w:p>
        </w:tc>
      </w:tr>
      <w:tr w:rsidR="009022FD" w:rsidRPr="004C2764" w14:paraId="6CA67295" w14:textId="77777777" w:rsidTr="008444E6">
        <w:trPr>
          <w:trHeight w:val="503"/>
          <w:tblHeader/>
          <w:tblCellSpacing w:w="0" w:type="dxa"/>
        </w:trPr>
        <w:tc>
          <w:tcPr>
            <w:tcW w:w="3291" w:type="dxa"/>
            <w:shd w:val="clear" w:color="auto" w:fill="CDCDCE"/>
            <w:vAlign w:val="bottom"/>
            <w:hideMark/>
          </w:tcPr>
          <w:p w14:paraId="184BEFF8" w14:textId="77777777" w:rsidR="002E4D4F" w:rsidRPr="004C2764" w:rsidRDefault="002E4D4F" w:rsidP="00484323">
            <w:pPr>
              <w:spacing w:before="0"/>
              <w:contextualSpacing/>
              <w:mirrorIndents/>
              <w:rPr>
                <w:sz w:val="16"/>
                <w:szCs w:val="16"/>
              </w:rPr>
            </w:pPr>
          </w:p>
        </w:tc>
        <w:tc>
          <w:tcPr>
            <w:tcW w:w="1275" w:type="dxa"/>
            <w:shd w:val="clear" w:color="auto" w:fill="CDCDCE"/>
            <w:vAlign w:val="bottom"/>
            <w:hideMark/>
          </w:tcPr>
          <w:p w14:paraId="3441B43E" w14:textId="77777777" w:rsidR="002E4D4F" w:rsidRPr="004C2764" w:rsidRDefault="002E4D4F" w:rsidP="004C2764">
            <w:pPr>
              <w:spacing w:before="0"/>
              <w:contextualSpacing/>
              <w:mirrorIndents/>
              <w:jc w:val="right"/>
              <w:rPr>
                <w:sz w:val="16"/>
                <w:szCs w:val="16"/>
              </w:rPr>
            </w:pPr>
            <w:r w:rsidRPr="004C2764">
              <w:rPr>
                <w:sz w:val="16"/>
                <w:szCs w:val="16"/>
              </w:rPr>
              <w:t>Vortrag 1.1.2022</w:t>
            </w:r>
          </w:p>
        </w:tc>
        <w:tc>
          <w:tcPr>
            <w:tcW w:w="1134" w:type="dxa"/>
            <w:shd w:val="clear" w:color="auto" w:fill="CDCDCE"/>
            <w:vAlign w:val="bottom"/>
            <w:hideMark/>
          </w:tcPr>
          <w:p w14:paraId="57AC7C5F" w14:textId="77777777" w:rsidR="002E4D4F" w:rsidRPr="004C2764" w:rsidRDefault="002E4D4F" w:rsidP="004C2764">
            <w:pPr>
              <w:spacing w:before="0"/>
              <w:contextualSpacing/>
              <w:mirrorIndents/>
              <w:jc w:val="right"/>
              <w:rPr>
                <w:sz w:val="16"/>
                <w:szCs w:val="16"/>
              </w:rPr>
            </w:pPr>
            <w:r w:rsidRPr="004C2764">
              <w:rPr>
                <w:sz w:val="16"/>
                <w:szCs w:val="16"/>
              </w:rPr>
              <w:t>Zugänge</w:t>
            </w:r>
          </w:p>
        </w:tc>
        <w:tc>
          <w:tcPr>
            <w:tcW w:w="993" w:type="dxa"/>
            <w:shd w:val="clear" w:color="auto" w:fill="CDCDCE"/>
            <w:vAlign w:val="bottom"/>
            <w:hideMark/>
          </w:tcPr>
          <w:p w14:paraId="0F2C3E27" w14:textId="77777777" w:rsidR="002E4D4F" w:rsidRPr="004C2764" w:rsidRDefault="002E4D4F" w:rsidP="004C2764">
            <w:pPr>
              <w:spacing w:before="0"/>
              <w:contextualSpacing/>
              <w:mirrorIndents/>
              <w:jc w:val="right"/>
              <w:rPr>
                <w:sz w:val="16"/>
                <w:szCs w:val="16"/>
              </w:rPr>
            </w:pPr>
            <w:r w:rsidRPr="004C2764">
              <w:rPr>
                <w:sz w:val="16"/>
                <w:szCs w:val="16"/>
              </w:rPr>
              <w:t>Umbuchungen</w:t>
            </w:r>
          </w:p>
        </w:tc>
        <w:tc>
          <w:tcPr>
            <w:tcW w:w="1134" w:type="dxa"/>
            <w:shd w:val="clear" w:color="auto" w:fill="CDCDCE"/>
            <w:vAlign w:val="bottom"/>
            <w:hideMark/>
          </w:tcPr>
          <w:p w14:paraId="2F591863" w14:textId="77777777" w:rsidR="002E4D4F" w:rsidRPr="004C2764" w:rsidRDefault="002E4D4F" w:rsidP="004C2764">
            <w:pPr>
              <w:spacing w:before="0"/>
              <w:contextualSpacing/>
              <w:mirrorIndents/>
              <w:jc w:val="right"/>
              <w:rPr>
                <w:sz w:val="16"/>
                <w:szCs w:val="16"/>
              </w:rPr>
            </w:pPr>
            <w:r w:rsidRPr="004C2764">
              <w:rPr>
                <w:sz w:val="16"/>
                <w:szCs w:val="16"/>
              </w:rPr>
              <w:t>Abgänge</w:t>
            </w:r>
          </w:p>
        </w:tc>
        <w:tc>
          <w:tcPr>
            <w:tcW w:w="1275" w:type="dxa"/>
            <w:shd w:val="clear" w:color="auto" w:fill="CDCDCE"/>
            <w:vAlign w:val="bottom"/>
            <w:hideMark/>
          </w:tcPr>
          <w:p w14:paraId="08096CFA" w14:textId="77777777" w:rsidR="002E4D4F" w:rsidRPr="004C2764" w:rsidRDefault="002E4D4F" w:rsidP="004C2764">
            <w:pPr>
              <w:spacing w:before="0"/>
              <w:contextualSpacing/>
              <w:mirrorIndents/>
              <w:jc w:val="right"/>
              <w:rPr>
                <w:sz w:val="16"/>
                <w:szCs w:val="16"/>
              </w:rPr>
            </w:pPr>
            <w:r w:rsidRPr="004C2764">
              <w:rPr>
                <w:sz w:val="16"/>
                <w:szCs w:val="16"/>
              </w:rPr>
              <w:t>Stand 31.12.2022</w:t>
            </w:r>
          </w:p>
        </w:tc>
      </w:tr>
      <w:tr w:rsidR="009022FD" w:rsidRPr="004C2764" w14:paraId="0AE13D03" w14:textId="77777777" w:rsidTr="008444E6">
        <w:trPr>
          <w:trHeight w:val="245"/>
          <w:tblCellSpacing w:w="0" w:type="dxa"/>
        </w:trPr>
        <w:tc>
          <w:tcPr>
            <w:tcW w:w="3291" w:type="dxa"/>
            <w:vAlign w:val="center"/>
            <w:hideMark/>
          </w:tcPr>
          <w:p w14:paraId="4886AE12" w14:textId="77777777" w:rsidR="002E4D4F" w:rsidRPr="004C2764" w:rsidRDefault="002E4D4F" w:rsidP="009022FD">
            <w:pPr>
              <w:spacing w:before="0"/>
              <w:contextualSpacing/>
              <w:mirrorIndents/>
              <w:jc w:val="left"/>
              <w:rPr>
                <w:sz w:val="16"/>
                <w:szCs w:val="16"/>
              </w:rPr>
            </w:pPr>
            <w:r w:rsidRPr="004C2764">
              <w:rPr>
                <w:sz w:val="16"/>
                <w:szCs w:val="16"/>
              </w:rPr>
              <w:t>I. Immaterielle Vermögensgegenstände</w:t>
            </w:r>
          </w:p>
        </w:tc>
        <w:tc>
          <w:tcPr>
            <w:tcW w:w="1275" w:type="dxa"/>
            <w:vAlign w:val="center"/>
            <w:hideMark/>
          </w:tcPr>
          <w:p w14:paraId="71D0D0C3" w14:textId="77777777" w:rsidR="002E4D4F" w:rsidRPr="00AD3212" w:rsidRDefault="002E4D4F" w:rsidP="004C2764">
            <w:pPr>
              <w:spacing w:before="0"/>
              <w:contextualSpacing/>
              <w:mirrorIndents/>
              <w:jc w:val="right"/>
              <w:rPr>
                <w:spacing w:val="-4"/>
                <w:sz w:val="16"/>
                <w:szCs w:val="16"/>
              </w:rPr>
            </w:pPr>
          </w:p>
        </w:tc>
        <w:tc>
          <w:tcPr>
            <w:tcW w:w="1134" w:type="dxa"/>
            <w:vAlign w:val="center"/>
            <w:hideMark/>
          </w:tcPr>
          <w:p w14:paraId="72E5BC14" w14:textId="77777777" w:rsidR="002E4D4F" w:rsidRPr="00AD3212" w:rsidRDefault="002E4D4F" w:rsidP="004C2764">
            <w:pPr>
              <w:spacing w:before="0"/>
              <w:contextualSpacing/>
              <w:mirrorIndents/>
              <w:jc w:val="right"/>
              <w:rPr>
                <w:spacing w:val="-4"/>
                <w:sz w:val="16"/>
                <w:szCs w:val="16"/>
              </w:rPr>
            </w:pPr>
          </w:p>
        </w:tc>
        <w:tc>
          <w:tcPr>
            <w:tcW w:w="993" w:type="dxa"/>
            <w:vAlign w:val="center"/>
            <w:hideMark/>
          </w:tcPr>
          <w:p w14:paraId="726D3330" w14:textId="77777777" w:rsidR="002E4D4F" w:rsidRPr="00AD3212" w:rsidRDefault="002E4D4F" w:rsidP="004C2764">
            <w:pPr>
              <w:spacing w:before="0"/>
              <w:contextualSpacing/>
              <w:mirrorIndents/>
              <w:jc w:val="right"/>
              <w:rPr>
                <w:spacing w:val="-4"/>
                <w:sz w:val="16"/>
                <w:szCs w:val="16"/>
              </w:rPr>
            </w:pPr>
          </w:p>
        </w:tc>
        <w:tc>
          <w:tcPr>
            <w:tcW w:w="1134" w:type="dxa"/>
            <w:vAlign w:val="center"/>
            <w:hideMark/>
          </w:tcPr>
          <w:p w14:paraId="6251B63E" w14:textId="77777777" w:rsidR="002E4D4F" w:rsidRPr="00AD3212" w:rsidRDefault="002E4D4F" w:rsidP="004C2764">
            <w:pPr>
              <w:spacing w:before="0"/>
              <w:contextualSpacing/>
              <w:mirrorIndents/>
              <w:jc w:val="right"/>
              <w:rPr>
                <w:spacing w:val="-4"/>
                <w:sz w:val="16"/>
                <w:szCs w:val="16"/>
              </w:rPr>
            </w:pPr>
          </w:p>
        </w:tc>
        <w:tc>
          <w:tcPr>
            <w:tcW w:w="1275" w:type="dxa"/>
            <w:vAlign w:val="center"/>
            <w:hideMark/>
          </w:tcPr>
          <w:p w14:paraId="73C94176" w14:textId="77777777" w:rsidR="002E4D4F" w:rsidRPr="00AD3212" w:rsidRDefault="002E4D4F" w:rsidP="004C2764">
            <w:pPr>
              <w:spacing w:before="0"/>
              <w:contextualSpacing/>
              <w:mirrorIndents/>
              <w:jc w:val="right"/>
              <w:rPr>
                <w:spacing w:val="-4"/>
                <w:sz w:val="16"/>
                <w:szCs w:val="16"/>
              </w:rPr>
            </w:pPr>
          </w:p>
        </w:tc>
      </w:tr>
      <w:tr w:rsidR="009022FD" w:rsidRPr="004C2764" w14:paraId="44016263" w14:textId="77777777" w:rsidTr="008444E6">
        <w:trPr>
          <w:trHeight w:val="396"/>
          <w:tblCellSpacing w:w="0" w:type="dxa"/>
        </w:trPr>
        <w:tc>
          <w:tcPr>
            <w:tcW w:w="3291" w:type="dxa"/>
            <w:shd w:val="clear" w:color="auto" w:fill="F0F0F0"/>
            <w:vAlign w:val="center"/>
            <w:hideMark/>
          </w:tcPr>
          <w:p w14:paraId="7DEE5A5A" w14:textId="77777777" w:rsidR="002E4D4F" w:rsidRPr="004C2764" w:rsidRDefault="002E4D4F" w:rsidP="009022FD">
            <w:pPr>
              <w:spacing w:before="0"/>
              <w:contextualSpacing/>
              <w:mirrorIndents/>
              <w:jc w:val="left"/>
              <w:rPr>
                <w:sz w:val="16"/>
                <w:szCs w:val="16"/>
              </w:rPr>
            </w:pPr>
            <w:r w:rsidRPr="004C2764">
              <w:rPr>
                <w:sz w:val="16"/>
                <w:szCs w:val="16"/>
              </w:rPr>
              <w:t>Entgeltlich erworbene gewerbliche Schutzrechte und ähnliche Rechte und Werte</w:t>
            </w:r>
          </w:p>
        </w:tc>
        <w:tc>
          <w:tcPr>
            <w:tcW w:w="1275" w:type="dxa"/>
            <w:shd w:val="clear" w:color="auto" w:fill="F0F0F0"/>
            <w:vAlign w:val="center"/>
            <w:hideMark/>
          </w:tcPr>
          <w:p w14:paraId="3C0D2CBA"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108.962,20</w:t>
            </w:r>
          </w:p>
        </w:tc>
        <w:tc>
          <w:tcPr>
            <w:tcW w:w="1134" w:type="dxa"/>
            <w:shd w:val="clear" w:color="auto" w:fill="F0F0F0"/>
            <w:vAlign w:val="center"/>
            <w:hideMark/>
          </w:tcPr>
          <w:p w14:paraId="6079A320"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71.693,04</w:t>
            </w:r>
          </w:p>
        </w:tc>
        <w:tc>
          <w:tcPr>
            <w:tcW w:w="993" w:type="dxa"/>
            <w:shd w:val="clear" w:color="auto" w:fill="F0F0F0"/>
            <w:vAlign w:val="center"/>
            <w:hideMark/>
          </w:tcPr>
          <w:p w14:paraId="3573EE5F"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1134" w:type="dxa"/>
            <w:shd w:val="clear" w:color="auto" w:fill="F0F0F0"/>
            <w:vAlign w:val="center"/>
            <w:hideMark/>
          </w:tcPr>
          <w:p w14:paraId="3B8C93FE"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8.270,00</w:t>
            </w:r>
          </w:p>
        </w:tc>
        <w:tc>
          <w:tcPr>
            <w:tcW w:w="1275" w:type="dxa"/>
            <w:shd w:val="clear" w:color="auto" w:fill="F0F0F0"/>
            <w:vAlign w:val="center"/>
            <w:hideMark/>
          </w:tcPr>
          <w:p w14:paraId="1B165D2E"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172.385,24</w:t>
            </w:r>
          </w:p>
        </w:tc>
      </w:tr>
      <w:tr w:rsidR="009022FD" w:rsidRPr="004C2764" w14:paraId="5405C51D" w14:textId="77777777" w:rsidTr="008444E6">
        <w:trPr>
          <w:trHeight w:val="245"/>
          <w:tblCellSpacing w:w="0" w:type="dxa"/>
        </w:trPr>
        <w:tc>
          <w:tcPr>
            <w:tcW w:w="3291" w:type="dxa"/>
            <w:vAlign w:val="center"/>
            <w:hideMark/>
          </w:tcPr>
          <w:p w14:paraId="04283E0B" w14:textId="77777777" w:rsidR="002E4D4F" w:rsidRPr="004C2764" w:rsidRDefault="002E4D4F" w:rsidP="009022FD">
            <w:pPr>
              <w:spacing w:before="0"/>
              <w:contextualSpacing/>
              <w:mirrorIndents/>
              <w:jc w:val="left"/>
              <w:rPr>
                <w:sz w:val="16"/>
                <w:szCs w:val="16"/>
              </w:rPr>
            </w:pPr>
            <w:r w:rsidRPr="004C2764">
              <w:rPr>
                <w:sz w:val="16"/>
                <w:szCs w:val="16"/>
              </w:rPr>
              <w:t>II. Sachanlagen</w:t>
            </w:r>
          </w:p>
        </w:tc>
        <w:tc>
          <w:tcPr>
            <w:tcW w:w="1275" w:type="dxa"/>
            <w:vAlign w:val="center"/>
            <w:hideMark/>
          </w:tcPr>
          <w:p w14:paraId="16E0E9D1" w14:textId="77777777" w:rsidR="002E4D4F" w:rsidRPr="00AD3212" w:rsidRDefault="002E4D4F" w:rsidP="004C2764">
            <w:pPr>
              <w:spacing w:before="0"/>
              <w:contextualSpacing/>
              <w:mirrorIndents/>
              <w:jc w:val="right"/>
              <w:rPr>
                <w:spacing w:val="-4"/>
                <w:sz w:val="16"/>
                <w:szCs w:val="16"/>
              </w:rPr>
            </w:pPr>
          </w:p>
        </w:tc>
        <w:tc>
          <w:tcPr>
            <w:tcW w:w="1134" w:type="dxa"/>
            <w:vAlign w:val="center"/>
            <w:hideMark/>
          </w:tcPr>
          <w:p w14:paraId="4D76A4C8" w14:textId="77777777" w:rsidR="002E4D4F" w:rsidRPr="00AD3212" w:rsidRDefault="002E4D4F" w:rsidP="004C2764">
            <w:pPr>
              <w:spacing w:before="0"/>
              <w:contextualSpacing/>
              <w:mirrorIndents/>
              <w:jc w:val="right"/>
              <w:rPr>
                <w:spacing w:val="-4"/>
                <w:sz w:val="16"/>
                <w:szCs w:val="16"/>
              </w:rPr>
            </w:pPr>
          </w:p>
        </w:tc>
        <w:tc>
          <w:tcPr>
            <w:tcW w:w="993" w:type="dxa"/>
            <w:vAlign w:val="center"/>
            <w:hideMark/>
          </w:tcPr>
          <w:p w14:paraId="5B9C6CCA" w14:textId="77777777" w:rsidR="002E4D4F" w:rsidRPr="00AD3212" w:rsidRDefault="002E4D4F" w:rsidP="004C2764">
            <w:pPr>
              <w:spacing w:before="0"/>
              <w:contextualSpacing/>
              <w:mirrorIndents/>
              <w:jc w:val="right"/>
              <w:rPr>
                <w:spacing w:val="-4"/>
                <w:sz w:val="16"/>
                <w:szCs w:val="16"/>
              </w:rPr>
            </w:pPr>
          </w:p>
        </w:tc>
        <w:tc>
          <w:tcPr>
            <w:tcW w:w="1134" w:type="dxa"/>
            <w:vAlign w:val="center"/>
            <w:hideMark/>
          </w:tcPr>
          <w:p w14:paraId="1B065CF3" w14:textId="77777777" w:rsidR="002E4D4F" w:rsidRPr="00AD3212" w:rsidRDefault="002E4D4F" w:rsidP="004C2764">
            <w:pPr>
              <w:spacing w:before="0"/>
              <w:contextualSpacing/>
              <w:mirrorIndents/>
              <w:jc w:val="right"/>
              <w:rPr>
                <w:spacing w:val="-4"/>
                <w:sz w:val="16"/>
                <w:szCs w:val="16"/>
              </w:rPr>
            </w:pPr>
          </w:p>
        </w:tc>
        <w:tc>
          <w:tcPr>
            <w:tcW w:w="1275" w:type="dxa"/>
            <w:vAlign w:val="center"/>
            <w:hideMark/>
          </w:tcPr>
          <w:p w14:paraId="5E288867" w14:textId="77777777" w:rsidR="002E4D4F" w:rsidRPr="00AD3212" w:rsidRDefault="002E4D4F" w:rsidP="004C2764">
            <w:pPr>
              <w:spacing w:before="0"/>
              <w:contextualSpacing/>
              <w:mirrorIndents/>
              <w:jc w:val="right"/>
              <w:rPr>
                <w:spacing w:val="-4"/>
                <w:sz w:val="16"/>
                <w:szCs w:val="16"/>
              </w:rPr>
            </w:pPr>
          </w:p>
        </w:tc>
      </w:tr>
      <w:tr w:rsidR="009022FD" w:rsidRPr="004C2764" w14:paraId="7396C52D" w14:textId="77777777" w:rsidTr="008444E6">
        <w:trPr>
          <w:trHeight w:val="633"/>
          <w:tblCellSpacing w:w="0" w:type="dxa"/>
        </w:trPr>
        <w:tc>
          <w:tcPr>
            <w:tcW w:w="3291" w:type="dxa"/>
            <w:shd w:val="clear" w:color="auto" w:fill="F0F0F0"/>
            <w:vAlign w:val="center"/>
            <w:hideMark/>
          </w:tcPr>
          <w:p w14:paraId="7C67C060" w14:textId="77777777" w:rsidR="002E4D4F" w:rsidRPr="004C2764" w:rsidRDefault="002E4D4F" w:rsidP="009022FD">
            <w:pPr>
              <w:spacing w:before="0"/>
              <w:contextualSpacing/>
              <w:mirrorIndents/>
              <w:jc w:val="left"/>
              <w:rPr>
                <w:sz w:val="16"/>
                <w:szCs w:val="16"/>
              </w:rPr>
            </w:pPr>
            <w:r w:rsidRPr="004C2764">
              <w:rPr>
                <w:sz w:val="16"/>
                <w:szCs w:val="16"/>
              </w:rPr>
              <w:t>1. Grundstücke, grundstücksgleiche Rechte und Bauten einschließlich der Bauten auf fremden Grundstücken</w:t>
            </w:r>
          </w:p>
        </w:tc>
        <w:tc>
          <w:tcPr>
            <w:tcW w:w="1275" w:type="dxa"/>
            <w:shd w:val="clear" w:color="auto" w:fill="F0F0F0"/>
            <w:vAlign w:val="center"/>
            <w:hideMark/>
          </w:tcPr>
          <w:p w14:paraId="334C10B9"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1.226.222,33</w:t>
            </w:r>
          </w:p>
        </w:tc>
        <w:tc>
          <w:tcPr>
            <w:tcW w:w="1134" w:type="dxa"/>
            <w:shd w:val="clear" w:color="auto" w:fill="F0F0F0"/>
            <w:vAlign w:val="center"/>
            <w:hideMark/>
          </w:tcPr>
          <w:p w14:paraId="082A47C7"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993" w:type="dxa"/>
            <w:shd w:val="clear" w:color="auto" w:fill="F0F0F0"/>
            <w:vAlign w:val="center"/>
            <w:hideMark/>
          </w:tcPr>
          <w:p w14:paraId="5910441B"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1134" w:type="dxa"/>
            <w:shd w:val="clear" w:color="auto" w:fill="F0F0F0"/>
            <w:vAlign w:val="center"/>
            <w:hideMark/>
          </w:tcPr>
          <w:p w14:paraId="60119D18"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1275" w:type="dxa"/>
            <w:shd w:val="clear" w:color="auto" w:fill="F0F0F0"/>
            <w:vAlign w:val="center"/>
            <w:hideMark/>
          </w:tcPr>
          <w:p w14:paraId="1EC48108"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1.226.222,33</w:t>
            </w:r>
          </w:p>
        </w:tc>
      </w:tr>
      <w:tr w:rsidR="009022FD" w:rsidRPr="004C2764" w14:paraId="62D115B9" w14:textId="77777777" w:rsidTr="008444E6">
        <w:trPr>
          <w:trHeight w:val="245"/>
          <w:tblCellSpacing w:w="0" w:type="dxa"/>
        </w:trPr>
        <w:tc>
          <w:tcPr>
            <w:tcW w:w="3291" w:type="dxa"/>
            <w:vAlign w:val="center"/>
            <w:hideMark/>
          </w:tcPr>
          <w:p w14:paraId="7A17552B" w14:textId="77777777" w:rsidR="002E4D4F" w:rsidRPr="004C2764" w:rsidRDefault="002E4D4F" w:rsidP="009022FD">
            <w:pPr>
              <w:spacing w:before="0"/>
              <w:contextualSpacing/>
              <w:mirrorIndents/>
              <w:jc w:val="left"/>
              <w:rPr>
                <w:sz w:val="16"/>
                <w:szCs w:val="16"/>
              </w:rPr>
            </w:pPr>
            <w:r w:rsidRPr="004C2764">
              <w:rPr>
                <w:sz w:val="16"/>
                <w:szCs w:val="16"/>
              </w:rPr>
              <w:t>2. technische Anlagen und Maschinen</w:t>
            </w:r>
          </w:p>
        </w:tc>
        <w:tc>
          <w:tcPr>
            <w:tcW w:w="1275" w:type="dxa"/>
            <w:vAlign w:val="center"/>
            <w:hideMark/>
          </w:tcPr>
          <w:p w14:paraId="6C2B3C58"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39.247.240,57</w:t>
            </w:r>
          </w:p>
        </w:tc>
        <w:tc>
          <w:tcPr>
            <w:tcW w:w="1134" w:type="dxa"/>
            <w:vAlign w:val="center"/>
            <w:hideMark/>
          </w:tcPr>
          <w:p w14:paraId="51B6E132"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4.956.195,46</w:t>
            </w:r>
          </w:p>
        </w:tc>
        <w:tc>
          <w:tcPr>
            <w:tcW w:w="993" w:type="dxa"/>
            <w:vAlign w:val="center"/>
            <w:hideMark/>
          </w:tcPr>
          <w:p w14:paraId="6FEA2449"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279.442,94</w:t>
            </w:r>
          </w:p>
        </w:tc>
        <w:tc>
          <w:tcPr>
            <w:tcW w:w="1134" w:type="dxa"/>
            <w:vAlign w:val="center"/>
            <w:hideMark/>
          </w:tcPr>
          <w:p w14:paraId="047EFEA8"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1.626.287,11</w:t>
            </w:r>
          </w:p>
        </w:tc>
        <w:tc>
          <w:tcPr>
            <w:tcW w:w="1275" w:type="dxa"/>
            <w:vAlign w:val="center"/>
            <w:hideMark/>
          </w:tcPr>
          <w:p w14:paraId="16FC2982"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42.856.591,86</w:t>
            </w:r>
          </w:p>
        </w:tc>
      </w:tr>
      <w:tr w:rsidR="009022FD" w:rsidRPr="004C2764" w14:paraId="12D29419" w14:textId="77777777" w:rsidTr="008444E6">
        <w:trPr>
          <w:trHeight w:val="336"/>
          <w:tblCellSpacing w:w="0" w:type="dxa"/>
        </w:trPr>
        <w:tc>
          <w:tcPr>
            <w:tcW w:w="3291" w:type="dxa"/>
            <w:shd w:val="clear" w:color="auto" w:fill="F0F0F0"/>
            <w:vAlign w:val="center"/>
            <w:hideMark/>
          </w:tcPr>
          <w:p w14:paraId="0A3B4E93" w14:textId="77777777" w:rsidR="002E4D4F" w:rsidRPr="004C2764" w:rsidRDefault="002E4D4F" w:rsidP="009022FD">
            <w:pPr>
              <w:spacing w:before="0"/>
              <w:contextualSpacing/>
              <w:mirrorIndents/>
              <w:jc w:val="left"/>
              <w:rPr>
                <w:sz w:val="16"/>
                <w:szCs w:val="16"/>
              </w:rPr>
            </w:pPr>
            <w:r w:rsidRPr="004C2764">
              <w:rPr>
                <w:sz w:val="16"/>
                <w:szCs w:val="16"/>
              </w:rPr>
              <w:t>3. andere Anlagen, Betriebs- und Geschäftsausstattung</w:t>
            </w:r>
          </w:p>
        </w:tc>
        <w:tc>
          <w:tcPr>
            <w:tcW w:w="1275" w:type="dxa"/>
            <w:shd w:val="clear" w:color="auto" w:fill="F0F0F0"/>
            <w:vAlign w:val="center"/>
            <w:hideMark/>
          </w:tcPr>
          <w:p w14:paraId="20421441"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5.614.882,83</w:t>
            </w:r>
          </w:p>
        </w:tc>
        <w:tc>
          <w:tcPr>
            <w:tcW w:w="1134" w:type="dxa"/>
            <w:shd w:val="clear" w:color="auto" w:fill="F0F0F0"/>
            <w:vAlign w:val="center"/>
            <w:hideMark/>
          </w:tcPr>
          <w:p w14:paraId="220FB398"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308.177,57</w:t>
            </w:r>
          </w:p>
        </w:tc>
        <w:tc>
          <w:tcPr>
            <w:tcW w:w="993" w:type="dxa"/>
            <w:shd w:val="clear" w:color="auto" w:fill="F0F0F0"/>
            <w:vAlign w:val="center"/>
            <w:hideMark/>
          </w:tcPr>
          <w:p w14:paraId="4F69879D"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1134" w:type="dxa"/>
            <w:shd w:val="clear" w:color="auto" w:fill="F0F0F0"/>
            <w:vAlign w:val="center"/>
            <w:hideMark/>
          </w:tcPr>
          <w:p w14:paraId="1E84711F"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299.759,42</w:t>
            </w:r>
          </w:p>
        </w:tc>
        <w:tc>
          <w:tcPr>
            <w:tcW w:w="1275" w:type="dxa"/>
            <w:shd w:val="clear" w:color="auto" w:fill="F0F0F0"/>
            <w:vAlign w:val="center"/>
            <w:hideMark/>
          </w:tcPr>
          <w:p w14:paraId="59F478FE"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5.623.300,98</w:t>
            </w:r>
          </w:p>
        </w:tc>
      </w:tr>
      <w:tr w:rsidR="009022FD" w:rsidRPr="004C2764" w14:paraId="6D93AA12" w14:textId="77777777" w:rsidTr="008444E6">
        <w:trPr>
          <w:trHeight w:val="245"/>
          <w:tblCellSpacing w:w="0" w:type="dxa"/>
        </w:trPr>
        <w:tc>
          <w:tcPr>
            <w:tcW w:w="3291" w:type="dxa"/>
            <w:vAlign w:val="center"/>
            <w:hideMark/>
          </w:tcPr>
          <w:p w14:paraId="3388452B" w14:textId="77777777" w:rsidR="002E4D4F" w:rsidRPr="004C2764" w:rsidRDefault="002E4D4F" w:rsidP="009022FD">
            <w:pPr>
              <w:spacing w:before="0"/>
              <w:contextualSpacing/>
              <w:mirrorIndents/>
              <w:jc w:val="left"/>
              <w:rPr>
                <w:sz w:val="16"/>
                <w:szCs w:val="16"/>
              </w:rPr>
            </w:pPr>
            <w:r w:rsidRPr="004C2764">
              <w:rPr>
                <w:sz w:val="16"/>
                <w:szCs w:val="16"/>
              </w:rPr>
              <w:t>4. geleistete Anzahlungen und Anlagen im Bau</w:t>
            </w:r>
          </w:p>
        </w:tc>
        <w:tc>
          <w:tcPr>
            <w:tcW w:w="1275" w:type="dxa"/>
            <w:vAlign w:val="center"/>
            <w:hideMark/>
          </w:tcPr>
          <w:p w14:paraId="0DD26468"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279.442,94</w:t>
            </w:r>
          </w:p>
        </w:tc>
        <w:tc>
          <w:tcPr>
            <w:tcW w:w="1134" w:type="dxa"/>
            <w:vAlign w:val="center"/>
            <w:hideMark/>
          </w:tcPr>
          <w:p w14:paraId="5B629ED4"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1.432.316,82</w:t>
            </w:r>
          </w:p>
        </w:tc>
        <w:tc>
          <w:tcPr>
            <w:tcW w:w="993" w:type="dxa"/>
            <w:vAlign w:val="center"/>
            <w:hideMark/>
          </w:tcPr>
          <w:p w14:paraId="71741BEE"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-279.442,94</w:t>
            </w:r>
          </w:p>
        </w:tc>
        <w:tc>
          <w:tcPr>
            <w:tcW w:w="1134" w:type="dxa"/>
            <w:vAlign w:val="center"/>
            <w:hideMark/>
          </w:tcPr>
          <w:p w14:paraId="0E606F67"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1275" w:type="dxa"/>
            <w:vAlign w:val="center"/>
            <w:hideMark/>
          </w:tcPr>
          <w:p w14:paraId="249E724D"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1.432.316,82</w:t>
            </w:r>
          </w:p>
        </w:tc>
      </w:tr>
      <w:tr w:rsidR="009022FD" w:rsidRPr="004C2764" w14:paraId="17C44E0F" w14:textId="77777777" w:rsidTr="008444E6">
        <w:trPr>
          <w:trHeight w:val="258"/>
          <w:tblCellSpacing w:w="0" w:type="dxa"/>
        </w:trPr>
        <w:tc>
          <w:tcPr>
            <w:tcW w:w="3291" w:type="dxa"/>
            <w:shd w:val="clear" w:color="auto" w:fill="F0F0F0"/>
            <w:vAlign w:val="center"/>
            <w:hideMark/>
          </w:tcPr>
          <w:p w14:paraId="54F053EC" w14:textId="77777777" w:rsidR="002E4D4F" w:rsidRPr="004C2764" w:rsidRDefault="002E4D4F" w:rsidP="009022FD">
            <w:pPr>
              <w:spacing w:before="0"/>
              <w:contextualSpacing/>
              <w:mirrorIndents/>
              <w:jc w:val="left"/>
              <w:rPr>
                <w:sz w:val="16"/>
                <w:szCs w:val="16"/>
              </w:rPr>
            </w:pPr>
          </w:p>
        </w:tc>
        <w:tc>
          <w:tcPr>
            <w:tcW w:w="1275" w:type="dxa"/>
            <w:shd w:val="clear" w:color="auto" w:fill="F0F0F0"/>
            <w:vAlign w:val="center"/>
            <w:hideMark/>
          </w:tcPr>
          <w:p w14:paraId="22D0676B"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46.367.788,67</w:t>
            </w:r>
          </w:p>
        </w:tc>
        <w:tc>
          <w:tcPr>
            <w:tcW w:w="1134" w:type="dxa"/>
            <w:shd w:val="clear" w:color="auto" w:fill="F0F0F0"/>
            <w:vAlign w:val="center"/>
            <w:hideMark/>
          </w:tcPr>
          <w:p w14:paraId="301C2FD1"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6.696.689,85</w:t>
            </w:r>
          </w:p>
        </w:tc>
        <w:tc>
          <w:tcPr>
            <w:tcW w:w="993" w:type="dxa"/>
            <w:shd w:val="clear" w:color="auto" w:fill="F0F0F0"/>
            <w:vAlign w:val="center"/>
            <w:hideMark/>
          </w:tcPr>
          <w:p w14:paraId="44632464"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1134" w:type="dxa"/>
            <w:shd w:val="clear" w:color="auto" w:fill="F0F0F0"/>
            <w:vAlign w:val="center"/>
            <w:hideMark/>
          </w:tcPr>
          <w:p w14:paraId="2A77E466"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1.926.046,53</w:t>
            </w:r>
          </w:p>
        </w:tc>
        <w:tc>
          <w:tcPr>
            <w:tcW w:w="1275" w:type="dxa"/>
            <w:shd w:val="clear" w:color="auto" w:fill="F0F0F0"/>
            <w:vAlign w:val="center"/>
            <w:hideMark/>
          </w:tcPr>
          <w:p w14:paraId="5481EF40"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51.138.431,99</w:t>
            </w:r>
          </w:p>
        </w:tc>
      </w:tr>
      <w:tr w:rsidR="009022FD" w:rsidRPr="004C2764" w14:paraId="1AFE0345" w14:textId="77777777" w:rsidTr="008444E6">
        <w:trPr>
          <w:trHeight w:val="245"/>
          <w:tblCellSpacing w:w="0" w:type="dxa"/>
        </w:trPr>
        <w:tc>
          <w:tcPr>
            <w:tcW w:w="3291" w:type="dxa"/>
            <w:vAlign w:val="center"/>
            <w:hideMark/>
          </w:tcPr>
          <w:p w14:paraId="60F346D3" w14:textId="77777777" w:rsidR="002E4D4F" w:rsidRPr="004C2764" w:rsidRDefault="002E4D4F" w:rsidP="009022FD">
            <w:pPr>
              <w:spacing w:before="0"/>
              <w:contextualSpacing/>
              <w:mirrorIndents/>
              <w:jc w:val="left"/>
              <w:rPr>
                <w:sz w:val="16"/>
                <w:szCs w:val="16"/>
              </w:rPr>
            </w:pPr>
            <w:r w:rsidRPr="004C2764">
              <w:rPr>
                <w:sz w:val="16"/>
                <w:szCs w:val="16"/>
              </w:rPr>
              <w:t>III. Finanzanlagen</w:t>
            </w:r>
          </w:p>
        </w:tc>
        <w:tc>
          <w:tcPr>
            <w:tcW w:w="1275" w:type="dxa"/>
            <w:vAlign w:val="center"/>
            <w:hideMark/>
          </w:tcPr>
          <w:p w14:paraId="6FF10163" w14:textId="77777777" w:rsidR="002E4D4F" w:rsidRPr="00AD3212" w:rsidRDefault="002E4D4F" w:rsidP="004C2764">
            <w:pPr>
              <w:spacing w:before="0"/>
              <w:contextualSpacing/>
              <w:mirrorIndents/>
              <w:jc w:val="right"/>
              <w:rPr>
                <w:spacing w:val="-4"/>
                <w:sz w:val="16"/>
                <w:szCs w:val="16"/>
              </w:rPr>
            </w:pPr>
          </w:p>
        </w:tc>
        <w:tc>
          <w:tcPr>
            <w:tcW w:w="1134" w:type="dxa"/>
            <w:vAlign w:val="center"/>
            <w:hideMark/>
          </w:tcPr>
          <w:p w14:paraId="0BCF3305" w14:textId="77777777" w:rsidR="002E4D4F" w:rsidRPr="00AD3212" w:rsidRDefault="002E4D4F" w:rsidP="004C2764">
            <w:pPr>
              <w:spacing w:before="0"/>
              <w:contextualSpacing/>
              <w:mirrorIndents/>
              <w:jc w:val="right"/>
              <w:rPr>
                <w:spacing w:val="-4"/>
                <w:sz w:val="16"/>
                <w:szCs w:val="16"/>
              </w:rPr>
            </w:pPr>
          </w:p>
        </w:tc>
        <w:tc>
          <w:tcPr>
            <w:tcW w:w="993" w:type="dxa"/>
            <w:vAlign w:val="center"/>
            <w:hideMark/>
          </w:tcPr>
          <w:p w14:paraId="26E50AA1" w14:textId="77777777" w:rsidR="002E4D4F" w:rsidRPr="00AD3212" w:rsidRDefault="002E4D4F" w:rsidP="004C2764">
            <w:pPr>
              <w:spacing w:before="0"/>
              <w:contextualSpacing/>
              <w:mirrorIndents/>
              <w:jc w:val="right"/>
              <w:rPr>
                <w:spacing w:val="-4"/>
                <w:sz w:val="16"/>
                <w:szCs w:val="16"/>
              </w:rPr>
            </w:pPr>
          </w:p>
        </w:tc>
        <w:tc>
          <w:tcPr>
            <w:tcW w:w="1134" w:type="dxa"/>
            <w:vAlign w:val="center"/>
            <w:hideMark/>
          </w:tcPr>
          <w:p w14:paraId="3BD584BA" w14:textId="77777777" w:rsidR="002E4D4F" w:rsidRPr="00AD3212" w:rsidRDefault="002E4D4F" w:rsidP="004C2764">
            <w:pPr>
              <w:spacing w:before="0"/>
              <w:contextualSpacing/>
              <w:mirrorIndents/>
              <w:jc w:val="right"/>
              <w:rPr>
                <w:spacing w:val="-4"/>
                <w:sz w:val="16"/>
                <w:szCs w:val="16"/>
              </w:rPr>
            </w:pPr>
          </w:p>
        </w:tc>
        <w:tc>
          <w:tcPr>
            <w:tcW w:w="1275" w:type="dxa"/>
            <w:vAlign w:val="center"/>
            <w:hideMark/>
          </w:tcPr>
          <w:p w14:paraId="09519CEE" w14:textId="77777777" w:rsidR="002E4D4F" w:rsidRPr="00AD3212" w:rsidRDefault="002E4D4F" w:rsidP="004C2764">
            <w:pPr>
              <w:spacing w:before="0"/>
              <w:contextualSpacing/>
              <w:mirrorIndents/>
              <w:jc w:val="right"/>
              <w:rPr>
                <w:spacing w:val="-4"/>
                <w:sz w:val="16"/>
                <w:szCs w:val="16"/>
              </w:rPr>
            </w:pPr>
          </w:p>
        </w:tc>
      </w:tr>
      <w:tr w:rsidR="009022FD" w:rsidRPr="004C2764" w14:paraId="4564EFF0" w14:textId="77777777" w:rsidTr="008444E6">
        <w:trPr>
          <w:trHeight w:val="258"/>
          <w:tblCellSpacing w:w="0" w:type="dxa"/>
        </w:trPr>
        <w:tc>
          <w:tcPr>
            <w:tcW w:w="3291" w:type="dxa"/>
            <w:shd w:val="clear" w:color="auto" w:fill="F0F0F0"/>
            <w:vAlign w:val="center"/>
            <w:hideMark/>
          </w:tcPr>
          <w:p w14:paraId="1DD0395F" w14:textId="77777777" w:rsidR="002E4D4F" w:rsidRPr="004C2764" w:rsidRDefault="002E4D4F" w:rsidP="009022FD">
            <w:pPr>
              <w:spacing w:before="0"/>
              <w:contextualSpacing/>
              <w:mirrorIndents/>
              <w:jc w:val="left"/>
              <w:rPr>
                <w:sz w:val="16"/>
                <w:szCs w:val="16"/>
              </w:rPr>
            </w:pPr>
            <w:r w:rsidRPr="004C2764">
              <w:rPr>
                <w:sz w:val="16"/>
                <w:szCs w:val="16"/>
              </w:rPr>
              <w:t>Anteile an verbundenen Unternehmen</w:t>
            </w:r>
          </w:p>
        </w:tc>
        <w:tc>
          <w:tcPr>
            <w:tcW w:w="1275" w:type="dxa"/>
            <w:shd w:val="clear" w:color="auto" w:fill="F0F0F0"/>
            <w:vAlign w:val="center"/>
            <w:hideMark/>
          </w:tcPr>
          <w:p w14:paraId="5835BA0B"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11.911.416,85</w:t>
            </w:r>
          </w:p>
        </w:tc>
        <w:tc>
          <w:tcPr>
            <w:tcW w:w="1134" w:type="dxa"/>
            <w:shd w:val="clear" w:color="auto" w:fill="F0F0F0"/>
            <w:vAlign w:val="center"/>
            <w:hideMark/>
          </w:tcPr>
          <w:p w14:paraId="202F0B3E"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993" w:type="dxa"/>
            <w:shd w:val="clear" w:color="auto" w:fill="F0F0F0"/>
            <w:vAlign w:val="center"/>
            <w:hideMark/>
          </w:tcPr>
          <w:p w14:paraId="47CF1BCB"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1134" w:type="dxa"/>
            <w:shd w:val="clear" w:color="auto" w:fill="F0F0F0"/>
            <w:vAlign w:val="center"/>
            <w:hideMark/>
          </w:tcPr>
          <w:p w14:paraId="6F6A2584"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1275" w:type="dxa"/>
            <w:shd w:val="clear" w:color="auto" w:fill="F0F0F0"/>
            <w:vAlign w:val="center"/>
            <w:hideMark/>
          </w:tcPr>
          <w:p w14:paraId="562E32EF"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11.911.416,85</w:t>
            </w:r>
          </w:p>
        </w:tc>
      </w:tr>
      <w:tr w:rsidR="009022FD" w:rsidRPr="004C2764" w14:paraId="721FF55C" w14:textId="77777777" w:rsidTr="008444E6">
        <w:trPr>
          <w:trHeight w:val="245"/>
          <w:tblCellSpacing w:w="0" w:type="dxa"/>
        </w:trPr>
        <w:tc>
          <w:tcPr>
            <w:tcW w:w="3291" w:type="dxa"/>
            <w:vAlign w:val="center"/>
            <w:hideMark/>
          </w:tcPr>
          <w:p w14:paraId="4C55A05B" w14:textId="77777777" w:rsidR="002E4D4F" w:rsidRPr="004C2764" w:rsidRDefault="002E4D4F" w:rsidP="00484323">
            <w:pPr>
              <w:spacing w:before="0"/>
              <w:contextualSpacing/>
              <w:mirrorIndents/>
              <w:rPr>
                <w:sz w:val="16"/>
                <w:szCs w:val="16"/>
              </w:rPr>
            </w:pPr>
          </w:p>
        </w:tc>
        <w:tc>
          <w:tcPr>
            <w:tcW w:w="1275" w:type="dxa"/>
            <w:vAlign w:val="center"/>
            <w:hideMark/>
          </w:tcPr>
          <w:p w14:paraId="0BF5988E"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58.388.167,72</w:t>
            </w:r>
          </w:p>
        </w:tc>
        <w:tc>
          <w:tcPr>
            <w:tcW w:w="1134" w:type="dxa"/>
            <w:vAlign w:val="center"/>
            <w:hideMark/>
          </w:tcPr>
          <w:p w14:paraId="67EA3CBA"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6.768.382,89</w:t>
            </w:r>
          </w:p>
        </w:tc>
        <w:tc>
          <w:tcPr>
            <w:tcW w:w="993" w:type="dxa"/>
            <w:vAlign w:val="center"/>
            <w:hideMark/>
          </w:tcPr>
          <w:p w14:paraId="20288DCE"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0,00</w:t>
            </w:r>
          </w:p>
        </w:tc>
        <w:tc>
          <w:tcPr>
            <w:tcW w:w="1134" w:type="dxa"/>
            <w:vAlign w:val="center"/>
            <w:hideMark/>
          </w:tcPr>
          <w:p w14:paraId="4ED4D055"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1.934.316,53</w:t>
            </w:r>
          </w:p>
        </w:tc>
        <w:tc>
          <w:tcPr>
            <w:tcW w:w="1275" w:type="dxa"/>
            <w:vAlign w:val="center"/>
            <w:hideMark/>
          </w:tcPr>
          <w:p w14:paraId="55492512" w14:textId="77777777" w:rsidR="002E4D4F" w:rsidRPr="00AD3212" w:rsidRDefault="002E4D4F" w:rsidP="004C2764">
            <w:pPr>
              <w:spacing w:before="0"/>
              <w:contextualSpacing/>
              <w:mirrorIndents/>
              <w:jc w:val="right"/>
              <w:rPr>
                <w:spacing w:val="-4"/>
                <w:sz w:val="16"/>
                <w:szCs w:val="16"/>
              </w:rPr>
            </w:pPr>
            <w:r w:rsidRPr="00AD3212">
              <w:rPr>
                <w:spacing w:val="-4"/>
                <w:sz w:val="16"/>
                <w:szCs w:val="16"/>
              </w:rPr>
              <w:t>63.222.234,08</w:t>
            </w:r>
          </w:p>
        </w:tc>
      </w:tr>
    </w:tbl>
    <w:p w14:paraId="25B33C98" w14:textId="77777777" w:rsidR="001942AA" w:rsidRPr="001942AA" w:rsidRDefault="001942AA">
      <w:pPr>
        <w:rPr>
          <w:sz w:val="2"/>
        </w:rPr>
      </w:pPr>
    </w:p>
    <w:tbl>
      <w:tblPr>
        <w:tblW w:w="9102"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3291"/>
        <w:gridCol w:w="1275"/>
        <w:gridCol w:w="1701"/>
        <w:gridCol w:w="1418"/>
        <w:gridCol w:w="1417"/>
      </w:tblGrid>
      <w:tr w:rsidR="002E4D4F" w:rsidRPr="004C2764" w14:paraId="10D150AC" w14:textId="77777777" w:rsidTr="00AD3212">
        <w:trPr>
          <w:trHeight w:val="258"/>
          <w:tblHeader/>
          <w:tblCellSpacing w:w="0" w:type="dxa"/>
        </w:trPr>
        <w:tc>
          <w:tcPr>
            <w:tcW w:w="3291" w:type="dxa"/>
            <w:shd w:val="clear" w:color="auto" w:fill="CDCDCE"/>
            <w:vAlign w:val="bottom"/>
            <w:hideMark/>
          </w:tcPr>
          <w:p w14:paraId="4F14B1BF" w14:textId="77777777" w:rsidR="002E4D4F" w:rsidRPr="004C2764" w:rsidRDefault="002E4D4F" w:rsidP="00484323">
            <w:pPr>
              <w:spacing w:before="0"/>
              <w:contextualSpacing/>
              <w:mirrorIndents/>
              <w:rPr>
                <w:sz w:val="16"/>
                <w:szCs w:val="16"/>
              </w:rPr>
            </w:pPr>
          </w:p>
        </w:tc>
        <w:tc>
          <w:tcPr>
            <w:tcW w:w="5811" w:type="dxa"/>
            <w:gridSpan w:val="4"/>
            <w:shd w:val="clear" w:color="auto" w:fill="CDCDCE"/>
            <w:vAlign w:val="bottom"/>
            <w:hideMark/>
          </w:tcPr>
          <w:p w14:paraId="67F3D8CE" w14:textId="77777777" w:rsidR="002E4D4F" w:rsidRPr="004C2764" w:rsidRDefault="002E4D4F" w:rsidP="00453D45">
            <w:pPr>
              <w:spacing w:before="0"/>
              <w:contextualSpacing/>
              <w:mirrorIndents/>
              <w:jc w:val="center"/>
              <w:rPr>
                <w:sz w:val="16"/>
                <w:szCs w:val="16"/>
              </w:rPr>
            </w:pPr>
            <w:r w:rsidRPr="004C2764">
              <w:rPr>
                <w:sz w:val="16"/>
                <w:szCs w:val="16"/>
              </w:rPr>
              <w:t>Kumulierte Abschreibungen</w:t>
            </w:r>
          </w:p>
        </w:tc>
      </w:tr>
      <w:tr w:rsidR="009022FD" w:rsidRPr="004C2764" w14:paraId="394ADB18" w14:textId="77777777" w:rsidTr="001942AA">
        <w:trPr>
          <w:trHeight w:val="489"/>
          <w:tblHeader/>
          <w:tblCellSpacing w:w="0" w:type="dxa"/>
        </w:trPr>
        <w:tc>
          <w:tcPr>
            <w:tcW w:w="3291" w:type="dxa"/>
            <w:shd w:val="clear" w:color="auto" w:fill="CDCDCE"/>
            <w:vAlign w:val="bottom"/>
            <w:hideMark/>
          </w:tcPr>
          <w:p w14:paraId="4910974C" w14:textId="77777777" w:rsidR="002E4D4F" w:rsidRPr="004C2764" w:rsidRDefault="002E4D4F" w:rsidP="00484323">
            <w:pPr>
              <w:spacing w:before="0"/>
              <w:contextualSpacing/>
              <w:mirrorIndents/>
              <w:rPr>
                <w:sz w:val="16"/>
                <w:szCs w:val="16"/>
              </w:rPr>
            </w:pPr>
          </w:p>
        </w:tc>
        <w:tc>
          <w:tcPr>
            <w:tcW w:w="1275" w:type="dxa"/>
            <w:shd w:val="clear" w:color="auto" w:fill="CDCDCE"/>
            <w:vAlign w:val="bottom"/>
            <w:hideMark/>
          </w:tcPr>
          <w:p w14:paraId="1C891D06" w14:textId="2E2228E9" w:rsidR="002E4D4F" w:rsidRPr="004C2764" w:rsidRDefault="002E4D4F" w:rsidP="009022FD">
            <w:pPr>
              <w:spacing w:before="0"/>
              <w:contextualSpacing/>
              <w:mirrorIndents/>
              <w:jc w:val="right"/>
              <w:rPr>
                <w:sz w:val="16"/>
                <w:szCs w:val="16"/>
              </w:rPr>
            </w:pPr>
            <w:r w:rsidRPr="004C2764">
              <w:rPr>
                <w:sz w:val="16"/>
                <w:szCs w:val="16"/>
              </w:rPr>
              <w:t xml:space="preserve">Vortrag </w:t>
            </w:r>
            <w:r w:rsidR="009022FD">
              <w:rPr>
                <w:sz w:val="16"/>
                <w:szCs w:val="16"/>
              </w:rPr>
              <w:br/>
            </w:r>
            <w:r w:rsidRPr="004C2764">
              <w:rPr>
                <w:sz w:val="16"/>
                <w:szCs w:val="16"/>
              </w:rPr>
              <w:t>1.1.2022</w:t>
            </w:r>
          </w:p>
        </w:tc>
        <w:tc>
          <w:tcPr>
            <w:tcW w:w="1701" w:type="dxa"/>
            <w:shd w:val="clear" w:color="auto" w:fill="CDCDCE"/>
            <w:vAlign w:val="bottom"/>
            <w:hideMark/>
          </w:tcPr>
          <w:p w14:paraId="532B1D8F" w14:textId="46A26870" w:rsidR="002E4D4F" w:rsidRPr="004C2764" w:rsidRDefault="002E4D4F" w:rsidP="009022FD">
            <w:pPr>
              <w:spacing w:before="0"/>
              <w:contextualSpacing/>
              <w:mirrorIndents/>
              <w:jc w:val="right"/>
              <w:rPr>
                <w:sz w:val="16"/>
                <w:szCs w:val="16"/>
              </w:rPr>
            </w:pPr>
            <w:r w:rsidRPr="004C2764">
              <w:rPr>
                <w:sz w:val="16"/>
                <w:szCs w:val="16"/>
              </w:rPr>
              <w:t xml:space="preserve">Abschreibungen </w:t>
            </w:r>
            <w:r w:rsidR="009022FD">
              <w:rPr>
                <w:sz w:val="16"/>
                <w:szCs w:val="16"/>
              </w:rPr>
              <w:br/>
            </w:r>
            <w:r w:rsidRPr="004C2764">
              <w:rPr>
                <w:sz w:val="16"/>
                <w:szCs w:val="16"/>
              </w:rPr>
              <w:t>des Geschäftsjahres</w:t>
            </w:r>
          </w:p>
        </w:tc>
        <w:tc>
          <w:tcPr>
            <w:tcW w:w="1418" w:type="dxa"/>
            <w:shd w:val="clear" w:color="auto" w:fill="CDCDCE"/>
            <w:vAlign w:val="bottom"/>
            <w:hideMark/>
          </w:tcPr>
          <w:p w14:paraId="3819E180" w14:textId="77777777" w:rsidR="002E4D4F" w:rsidRPr="004C2764" w:rsidRDefault="002E4D4F" w:rsidP="009022FD">
            <w:pPr>
              <w:spacing w:before="0"/>
              <w:contextualSpacing/>
              <w:mirrorIndents/>
              <w:jc w:val="right"/>
              <w:rPr>
                <w:sz w:val="16"/>
                <w:szCs w:val="16"/>
              </w:rPr>
            </w:pPr>
            <w:r w:rsidRPr="004C2764">
              <w:rPr>
                <w:sz w:val="16"/>
                <w:szCs w:val="16"/>
              </w:rPr>
              <w:t>Abgänge</w:t>
            </w:r>
          </w:p>
        </w:tc>
        <w:tc>
          <w:tcPr>
            <w:tcW w:w="1417" w:type="dxa"/>
            <w:shd w:val="clear" w:color="auto" w:fill="CDCDCE"/>
            <w:vAlign w:val="bottom"/>
            <w:hideMark/>
          </w:tcPr>
          <w:p w14:paraId="53ECAA37" w14:textId="77777777" w:rsidR="002E4D4F" w:rsidRPr="004C2764" w:rsidRDefault="002E4D4F" w:rsidP="009022FD">
            <w:pPr>
              <w:spacing w:before="0"/>
              <w:contextualSpacing/>
              <w:mirrorIndents/>
              <w:jc w:val="right"/>
              <w:rPr>
                <w:sz w:val="16"/>
                <w:szCs w:val="16"/>
              </w:rPr>
            </w:pPr>
            <w:r w:rsidRPr="004C2764">
              <w:rPr>
                <w:sz w:val="16"/>
                <w:szCs w:val="16"/>
              </w:rPr>
              <w:t>Stand 31.12.2022</w:t>
            </w:r>
          </w:p>
        </w:tc>
      </w:tr>
      <w:tr w:rsidR="009022FD" w:rsidRPr="004C2764" w14:paraId="4397B061" w14:textId="77777777" w:rsidTr="001942AA">
        <w:trPr>
          <w:trHeight w:val="258"/>
          <w:tblCellSpacing w:w="0" w:type="dxa"/>
        </w:trPr>
        <w:tc>
          <w:tcPr>
            <w:tcW w:w="3291" w:type="dxa"/>
            <w:vAlign w:val="center"/>
            <w:hideMark/>
          </w:tcPr>
          <w:p w14:paraId="07C3FCC4" w14:textId="77777777" w:rsidR="002E4D4F" w:rsidRPr="004C2764" w:rsidRDefault="002E4D4F" w:rsidP="009022FD">
            <w:pPr>
              <w:spacing w:before="0"/>
              <w:contextualSpacing/>
              <w:mirrorIndents/>
              <w:jc w:val="left"/>
              <w:rPr>
                <w:sz w:val="16"/>
                <w:szCs w:val="16"/>
              </w:rPr>
            </w:pPr>
            <w:r w:rsidRPr="004C2764">
              <w:rPr>
                <w:sz w:val="16"/>
                <w:szCs w:val="16"/>
              </w:rPr>
              <w:t>I. Immaterielle Vermögensgegenstände</w:t>
            </w:r>
          </w:p>
        </w:tc>
        <w:tc>
          <w:tcPr>
            <w:tcW w:w="1275" w:type="dxa"/>
            <w:vAlign w:val="center"/>
            <w:hideMark/>
          </w:tcPr>
          <w:p w14:paraId="04C4A4E7" w14:textId="77777777" w:rsidR="002E4D4F" w:rsidRPr="004C2764" w:rsidRDefault="002E4D4F" w:rsidP="009022FD">
            <w:pPr>
              <w:spacing w:before="0"/>
              <w:contextualSpacing/>
              <w:mirrorIndents/>
              <w:jc w:val="right"/>
              <w:rPr>
                <w:sz w:val="16"/>
                <w:szCs w:val="16"/>
              </w:rPr>
            </w:pPr>
          </w:p>
        </w:tc>
        <w:tc>
          <w:tcPr>
            <w:tcW w:w="1701" w:type="dxa"/>
            <w:vAlign w:val="center"/>
            <w:hideMark/>
          </w:tcPr>
          <w:p w14:paraId="06F6E027" w14:textId="77777777" w:rsidR="002E4D4F" w:rsidRPr="004C2764" w:rsidRDefault="002E4D4F" w:rsidP="009022FD">
            <w:pPr>
              <w:spacing w:before="0"/>
              <w:contextualSpacing/>
              <w:mirrorIndents/>
              <w:jc w:val="right"/>
              <w:rPr>
                <w:sz w:val="16"/>
                <w:szCs w:val="16"/>
              </w:rPr>
            </w:pPr>
          </w:p>
        </w:tc>
        <w:tc>
          <w:tcPr>
            <w:tcW w:w="1418" w:type="dxa"/>
            <w:vAlign w:val="center"/>
            <w:hideMark/>
          </w:tcPr>
          <w:p w14:paraId="4801EE6A" w14:textId="77777777" w:rsidR="002E4D4F" w:rsidRPr="004C2764" w:rsidRDefault="002E4D4F" w:rsidP="009022FD">
            <w:pPr>
              <w:spacing w:before="0"/>
              <w:contextualSpacing/>
              <w:mirrorIndents/>
              <w:jc w:val="right"/>
              <w:rPr>
                <w:sz w:val="16"/>
                <w:szCs w:val="16"/>
              </w:rPr>
            </w:pPr>
          </w:p>
        </w:tc>
        <w:tc>
          <w:tcPr>
            <w:tcW w:w="1417" w:type="dxa"/>
            <w:vAlign w:val="center"/>
            <w:hideMark/>
          </w:tcPr>
          <w:p w14:paraId="0D2445D5" w14:textId="77777777" w:rsidR="002E4D4F" w:rsidRPr="004C2764" w:rsidRDefault="002E4D4F" w:rsidP="009022FD">
            <w:pPr>
              <w:spacing w:before="0"/>
              <w:contextualSpacing/>
              <w:mirrorIndents/>
              <w:jc w:val="right"/>
              <w:rPr>
                <w:sz w:val="16"/>
                <w:szCs w:val="16"/>
              </w:rPr>
            </w:pPr>
          </w:p>
        </w:tc>
      </w:tr>
      <w:tr w:rsidR="009022FD" w:rsidRPr="004C2764" w14:paraId="42E32588" w14:textId="77777777" w:rsidTr="001942AA">
        <w:trPr>
          <w:trHeight w:val="489"/>
          <w:tblCellSpacing w:w="0" w:type="dxa"/>
        </w:trPr>
        <w:tc>
          <w:tcPr>
            <w:tcW w:w="3291" w:type="dxa"/>
            <w:shd w:val="clear" w:color="auto" w:fill="F0F0F0"/>
            <w:vAlign w:val="center"/>
            <w:hideMark/>
          </w:tcPr>
          <w:p w14:paraId="2D565554" w14:textId="77777777" w:rsidR="002E4D4F" w:rsidRPr="004C2764" w:rsidRDefault="002E4D4F" w:rsidP="009022FD">
            <w:pPr>
              <w:spacing w:before="0"/>
              <w:contextualSpacing/>
              <w:mirrorIndents/>
              <w:jc w:val="left"/>
              <w:rPr>
                <w:sz w:val="16"/>
                <w:szCs w:val="16"/>
              </w:rPr>
            </w:pPr>
            <w:r w:rsidRPr="004C2764">
              <w:rPr>
                <w:sz w:val="16"/>
                <w:szCs w:val="16"/>
              </w:rPr>
              <w:t>Entgeltlich erworbene gewerbliche Schutzrechte und ähnliche Rechte und Werte</w:t>
            </w:r>
          </w:p>
        </w:tc>
        <w:tc>
          <w:tcPr>
            <w:tcW w:w="1275" w:type="dxa"/>
            <w:shd w:val="clear" w:color="auto" w:fill="F0F0F0"/>
            <w:vAlign w:val="center"/>
            <w:hideMark/>
          </w:tcPr>
          <w:p w14:paraId="6414340E" w14:textId="77777777" w:rsidR="002E4D4F" w:rsidRPr="004C2764" w:rsidRDefault="002E4D4F" w:rsidP="009022FD">
            <w:pPr>
              <w:spacing w:before="0"/>
              <w:contextualSpacing/>
              <w:mirrorIndents/>
              <w:jc w:val="right"/>
              <w:rPr>
                <w:sz w:val="16"/>
                <w:szCs w:val="16"/>
              </w:rPr>
            </w:pPr>
            <w:r w:rsidRPr="004C2764">
              <w:rPr>
                <w:sz w:val="16"/>
                <w:szCs w:val="16"/>
              </w:rPr>
              <w:t>64.829,20</w:t>
            </w:r>
          </w:p>
        </w:tc>
        <w:tc>
          <w:tcPr>
            <w:tcW w:w="1701" w:type="dxa"/>
            <w:shd w:val="clear" w:color="auto" w:fill="F0F0F0"/>
            <w:vAlign w:val="center"/>
            <w:hideMark/>
          </w:tcPr>
          <w:p w14:paraId="761DF44B" w14:textId="77777777" w:rsidR="002E4D4F" w:rsidRPr="004C2764" w:rsidRDefault="002E4D4F" w:rsidP="009022FD">
            <w:pPr>
              <w:spacing w:before="0"/>
              <w:contextualSpacing/>
              <w:mirrorIndents/>
              <w:jc w:val="right"/>
              <w:rPr>
                <w:sz w:val="16"/>
                <w:szCs w:val="16"/>
              </w:rPr>
            </w:pPr>
            <w:r w:rsidRPr="004C2764">
              <w:rPr>
                <w:sz w:val="16"/>
                <w:szCs w:val="16"/>
              </w:rPr>
              <w:t>36.024,04</w:t>
            </w:r>
          </w:p>
        </w:tc>
        <w:tc>
          <w:tcPr>
            <w:tcW w:w="1418" w:type="dxa"/>
            <w:shd w:val="clear" w:color="auto" w:fill="F0F0F0"/>
            <w:vAlign w:val="center"/>
            <w:hideMark/>
          </w:tcPr>
          <w:p w14:paraId="7631E112" w14:textId="77777777" w:rsidR="002E4D4F" w:rsidRPr="004C2764" w:rsidRDefault="002E4D4F" w:rsidP="009022FD">
            <w:pPr>
              <w:spacing w:before="0"/>
              <w:contextualSpacing/>
              <w:mirrorIndents/>
              <w:jc w:val="right"/>
              <w:rPr>
                <w:sz w:val="16"/>
                <w:szCs w:val="16"/>
              </w:rPr>
            </w:pPr>
            <w:r w:rsidRPr="004C2764">
              <w:rPr>
                <w:sz w:val="16"/>
                <w:szCs w:val="16"/>
              </w:rPr>
              <w:t>8.270,00</w:t>
            </w:r>
          </w:p>
        </w:tc>
        <w:tc>
          <w:tcPr>
            <w:tcW w:w="1417" w:type="dxa"/>
            <w:shd w:val="clear" w:color="auto" w:fill="F0F0F0"/>
            <w:vAlign w:val="center"/>
            <w:hideMark/>
          </w:tcPr>
          <w:p w14:paraId="72946B3E" w14:textId="77777777" w:rsidR="002E4D4F" w:rsidRPr="004C2764" w:rsidRDefault="002E4D4F" w:rsidP="009022FD">
            <w:pPr>
              <w:spacing w:before="0"/>
              <w:contextualSpacing/>
              <w:mirrorIndents/>
              <w:jc w:val="right"/>
              <w:rPr>
                <w:sz w:val="16"/>
                <w:szCs w:val="16"/>
              </w:rPr>
            </w:pPr>
            <w:r w:rsidRPr="004C2764">
              <w:rPr>
                <w:sz w:val="16"/>
                <w:szCs w:val="16"/>
              </w:rPr>
              <w:t>92.583,24</w:t>
            </w:r>
          </w:p>
        </w:tc>
      </w:tr>
      <w:tr w:rsidR="009022FD" w:rsidRPr="004C2764" w14:paraId="076775AC" w14:textId="77777777" w:rsidTr="001942AA">
        <w:trPr>
          <w:trHeight w:val="258"/>
          <w:tblCellSpacing w:w="0" w:type="dxa"/>
        </w:trPr>
        <w:tc>
          <w:tcPr>
            <w:tcW w:w="3291" w:type="dxa"/>
            <w:vAlign w:val="center"/>
            <w:hideMark/>
          </w:tcPr>
          <w:p w14:paraId="1F239D90" w14:textId="77777777" w:rsidR="002E4D4F" w:rsidRPr="004C2764" w:rsidRDefault="002E4D4F" w:rsidP="009022FD">
            <w:pPr>
              <w:spacing w:before="0"/>
              <w:contextualSpacing/>
              <w:mirrorIndents/>
              <w:jc w:val="left"/>
              <w:rPr>
                <w:sz w:val="16"/>
                <w:szCs w:val="16"/>
              </w:rPr>
            </w:pPr>
            <w:r w:rsidRPr="004C2764">
              <w:rPr>
                <w:sz w:val="16"/>
                <w:szCs w:val="16"/>
              </w:rPr>
              <w:t>II. Sachanlagen</w:t>
            </w:r>
          </w:p>
        </w:tc>
        <w:tc>
          <w:tcPr>
            <w:tcW w:w="1275" w:type="dxa"/>
            <w:vAlign w:val="center"/>
            <w:hideMark/>
          </w:tcPr>
          <w:p w14:paraId="346057E8" w14:textId="77777777" w:rsidR="002E4D4F" w:rsidRPr="004C2764" w:rsidRDefault="002E4D4F" w:rsidP="009022FD">
            <w:pPr>
              <w:spacing w:before="0"/>
              <w:contextualSpacing/>
              <w:mirrorIndents/>
              <w:jc w:val="right"/>
              <w:rPr>
                <w:sz w:val="16"/>
                <w:szCs w:val="16"/>
              </w:rPr>
            </w:pPr>
          </w:p>
        </w:tc>
        <w:tc>
          <w:tcPr>
            <w:tcW w:w="1701" w:type="dxa"/>
            <w:vAlign w:val="center"/>
            <w:hideMark/>
          </w:tcPr>
          <w:p w14:paraId="6F193AC4" w14:textId="77777777" w:rsidR="002E4D4F" w:rsidRPr="004C2764" w:rsidRDefault="002E4D4F" w:rsidP="009022FD">
            <w:pPr>
              <w:spacing w:before="0"/>
              <w:contextualSpacing/>
              <w:mirrorIndents/>
              <w:jc w:val="right"/>
              <w:rPr>
                <w:sz w:val="16"/>
                <w:szCs w:val="16"/>
              </w:rPr>
            </w:pPr>
          </w:p>
        </w:tc>
        <w:tc>
          <w:tcPr>
            <w:tcW w:w="1418" w:type="dxa"/>
            <w:vAlign w:val="center"/>
            <w:hideMark/>
          </w:tcPr>
          <w:p w14:paraId="35F06917" w14:textId="77777777" w:rsidR="002E4D4F" w:rsidRPr="004C2764" w:rsidRDefault="002E4D4F" w:rsidP="009022FD">
            <w:pPr>
              <w:spacing w:before="0"/>
              <w:contextualSpacing/>
              <w:mirrorIndents/>
              <w:jc w:val="right"/>
              <w:rPr>
                <w:sz w:val="16"/>
                <w:szCs w:val="16"/>
              </w:rPr>
            </w:pPr>
          </w:p>
        </w:tc>
        <w:tc>
          <w:tcPr>
            <w:tcW w:w="1417" w:type="dxa"/>
            <w:vAlign w:val="center"/>
            <w:hideMark/>
          </w:tcPr>
          <w:p w14:paraId="62FC62CE" w14:textId="77777777" w:rsidR="002E4D4F" w:rsidRPr="004C2764" w:rsidRDefault="002E4D4F" w:rsidP="009022FD">
            <w:pPr>
              <w:spacing w:before="0"/>
              <w:contextualSpacing/>
              <w:mirrorIndents/>
              <w:jc w:val="right"/>
              <w:rPr>
                <w:sz w:val="16"/>
                <w:szCs w:val="16"/>
              </w:rPr>
            </w:pPr>
          </w:p>
        </w:tc>
      </w:tr>
      <w:tr w:rsidR="009022FD" w:rsidRPr="004C2764" w14:paraId="2ED7F304" w14:textId="77777777" w:rsidTr="001942AA">
        <w:trPr>
          <w:trHeight w:val="489"/>
          <w:tblCellSpacing w:w="0" w:type="dxa"/>
        </w:trPr>
        <w:tc>
          <w:tcPr>
            <w:tcW w:w="3291" w:type="dxa"/>
            <w:shd w:val="clear" w:color="auto" w:fill="F0F0F0"/>
            <w:vAlign w:val="center"/>
            <w:hideMark/>
          </w:tcPr>
          <w:p w14:paraId="2719EC20" w14:textId="77777777" w:rsidR="002E4D4F" w:rsidRPr="004C2764" w:rsidRDefault="002E4D4F" w:rsidP="009022FD">
            <w:pPr>
              <w:spacing w:before="0"/>
              <w:contextualSpacing/>
              <w:mirrorIndents/>
              <w:jc w:val="left"/>
              <w:rPr>
                <w:sz w:val="16"/>
                <w:szCs w:val="16"/>
              </w:rPr>
            </w:pPr>
            <w:r w:rsidRPr="004C2764">
              <w:rPr>
                <w:sz w:val="16"/>
                <w:szCs w:val="16"/>
              </w:rPr>
              <w:t>1. Grundstücke, grundstücksgleiche Rechte und Bauten einschließlich der Bauten auf fremden Grundstücken</w:t>
            </w:r>
          </w:p>
        </w:tc>
        <w:tc>
          <w:tcPr>
            <w:tcW w:w="1275" w:type="dxa"/>
            <w:shd w:val="clear" w:color="auto" w:fill="F0F0F0"/>
            <w:vAlign w:val="center"/>
            <w:hideMark/>
          </w:tcPr>
          <w:p w14:paraId="28845AA6" w14:textId="77777777" w:rsidR="002E4D4F" w:rsidRPr="004C2764" w:rsidRDefault="002E4D4F" w:rsidP="009022FD">
            <w:pPr>
              <w:spacing w:before="0"/>
              <w:contextualSpacing/>
              <w:mirrorIndents/>
              <w:jc w:val="right"/>
              <w:rPr>
                <w:sz w:val="16"/>
                <w:szCs w:val="16"/>
              </w:rPr>
            </w:pPr>
            <w:r w:rsidRPr="004C2764">
              <w:rPr>
                <w:sz w:val="16"/>
                <w:szCs w:val="16"/>
              </w:rPr>
              <w:t>1.185.169,33</w:t>
            </w:r>
          </w:p>
        </w:tc>
        <w:tc>
          <w:tcPr>
            <w:tcW w:w="1701" w:type="dxa"/>
            <w:shd w:val="clear" w:color="auto" w:fill="F0F0F0"/>
            <w:vAlign w:val="center"/>
            <w:hideMark/>
          </w:tcPr>
          <w:p w14:paraId="78964FAB" w14:textId="77777777" w:rsidR="002E4D4F" w:rsidRPr="004C2764" w:rsidRDefault="002E4D4F" w:rsidP="009022FD">
            <w:pPr>
              <w:spacing w:before="0"/>
              <w:contextualSpacing/>
              <w:mirrorIndents/>
              <w:jc w:val="right"/>
              <w:rPr>
                <w:sz w:val="16"/>
                <w:szCs w:val="16"/>
              </w:rPr>
            </w:pPr>
            <w:r w:rsidRPr="004C2764">
              <w:rPr>
                <w:sz w:val="16"/>
                <w:szCs w:val="16"/>
              </w:rPr>
              <w:t>4.393,00</w:t>
            </w:r>
          </w:p>
        </w:tc>
        <w:tc>
          <w:tcPr>
            <w:tcW w:w="1418" w:type="dxa"/>
            <w:shd w:val="clear" w:color="auto" w:fill="F0F0F0"/>
            <w:vAlign w:val="center"/>
            <w:hideMark/>
          </w:tcPr>
          <w:p w14:paraId="397B4A42" w14:textId="77777777" w:rsidR="002E4D4F" w:rsidRPr="004C2764" w:rsidRDefault="002E4D4F" w:rsidP="009022FD">
            <w:pPr>
              <w:spacing w:before="0"/>
              <w:contextualSpacing/>
              <w:mirrorIndents/>
              <w:jc w:val="right"/>
              <w:rPr>
                <w:sz w:val="16"/>
                <w:szCs w:val="16"/>
              </w:rPr>
            </w:pPr>
            <w:r w:rsidRPr="004C2764">
              <w:rPr>
                <w:sz w:val="16"/>
                <w:szCs w:val="16"/>
              </w:rPr>
              <w:t>0,00</w:t>
            </w:r>
          </w:p>
        </w:tc>
        <w:tc>
          <w:tcPr>
            <w:tcW w:w="1417" w:type="dxa"/>
            <w:shd w:val="clear" w:color="auto" w:fill="F0F0F0"/>
            <w:vAlign w:val="center"/>
            <w:hideMark/>
          </w:tcPr>
          <w:p w14:paraId="49DC989F" w14:textId="77777777" w:rsidR="002E4D4F" w:rsidRPr="004C2764" w:rsidRDefault="002E4D4F" w:rsidP="009022FD">
            <w:pPr>
              <w:spacing w:before="0"/>
              <w:contextualSpacing/>
              <w:mirrorIndents/>
              <w:jc w:val="right"/>
              <w:rPr>
                <w:sz w:val="16"/>
                <w:szCs w:val="16"/>
              </w:rPr>
            </w:pPr>
            <w:r w:rsidRPr="004C2764">
              <w:rPr>
                <w:sz w:val="16"/>
                <w:szCs w:val="16"/>
              </w:rPr>
              <w:t>1.189.562,33</w:t>
            </w:r>
          </w:p>
        </w:tc>
      </w:tr>
      <w:tr w:rsidR="009022FD" w:rsidRPr="004C2764" w14:paraId="284059D3" w14:textId="77777777" w:rsidTr="001942AA">
        <w:trPr>
          <w:trHeight w:val="258"/>
          <w:tblCellSpacing w:w="0" w:type="dxa"/>
        </w:trPr>
        <w:tc>
          <w:tcPr>
            <w:tcW w:w="3291" w:type="dxa"/>
            <w:vAlign w:val="center"/>
            <w:hideMark/>
          </w:tcPr>
          <w:p w14:paraId="2D929F78" w14:textId="77777777" w:rsidR="002E4D4F" w:rsidRPr="004C2764" w:rsidRDefault="002E4D4F" w:rsidP="009022FD">
            <w:pPr>
              <w:spacing w:before="0"/>
              <w:contextualSpacing/>
              <w:mirrorIndents/>
              <w:jc w:val="left"/>
              <w:rPr>
                <w:sz w:val="16"/>
                <w:szCs w:val="16"/>
              </w:rPr>
            </w:pPr>
            <w:r w:rsidRPr="004C2764">
              <w:rPr>
                <w:sz w:val="16"/>
                <w:szCs w:val="16"/>
              </w:rPr>
              <w:t>2. technische Anlagen und Maschinen</w:t>
            </w:r>
          </w:p>
        </w:tc>
        <w:tc>
          <w:tcPr>
            <w:tcW w:w="1275" w:type="dxa"/>
            <w:vAlign w:val="center"/>
            <w:hideMark/>
          </w:tcPr>
          <w:p w14:paraId="6CFC8F37" w14:textId="77777777" w:rsidR="002E4D4F" w:rsidRPr="004C2764" w:rsidRDefault="002E4D4F" w:rsidP="009022FD">
            <w:pPr>
              <w:spacing w:before="0"/>
              <w:contextualSpacing/>
              <w:mirrorIndents/>
              <w:jc w:val="right"/>
              <w:rPr>
                <w:sz w:val="16"/>
                <w:szCs w:val="16"/>
              </w:rPr>
            </w:pPr>
            <w:r w:rsidRPr="004C2764">
              <w:rPr>
                <w:sz w:val="16"/>
                <w:szCs w:val="16"/>
              </w:rPr>
              <w:t>29.336.856,57</w:t>
            </w:r>
          </w:p>
        </w:tc>
        <w:tc>
          <w:tcPr>
            <w:tcW w:w="1701" w:type="dxa"/>
            <w:vAlign w:val="center"/>
            <w:hideMark/>
          </w:tcPr>
          <w:p w14:paraId="300F1BE8" w14:textId="77777777" w:rsidR="002E4D4F" w:rsidRPr="004C2764" w:rsidRDefault="002E4D4F" w:rsidP="009022FD">
            <w:pPr>
              <w:spacing w:before="0"/>
              <w:contextualSpacing/>
              <w:mirrorIndents/>
              <w:jc w:val="right"/>
              <w:rPr>
                <w:sz w:val="16"/>
                <w:szCs w:val="16"/>
              </w:rPr>
            </w:pPr>
            <w:r w:rsidRPr="004C2764">
              <w:rPr>
                <w:sz w:val="16"/>
                <w:szCs w:val="16"/>
              </w:rPr>
              <w:t>3.472.792,40</w:t>
            </w:r>
          </w:p>
        </w:tc>
        <w:tc>
          <w:tcPr>
            <w:tcW w:w="1418" w:type="dxa"/>
            <w:vAlign w:val="center"/>
            <w:hideMark/>
          </w:tcPr>
          <w:p w14:paraId="4EAE4E8D" w14:textId="77777777" w:rsidR="002E4D4F" w:rsidRPr="004C2764" w:rsidRDefault="002E4D4F" w:rsidP="009022FD">
            <w:pPr>
              <w:spacing w:before="0"/>
              <w:contextualSpacing/>
              <w:mirrorIndents/>
              <w:jc w:val="right"/>
              <w:rPr>
                <w:sz w:val="16"/>
                <w:szCs w:val="16"/>
              </w:rPr>
            </w:pPr>
            <w:r w:rsidRPr="004C2764">
              <w:rPr>
                <w:sz w:val="16"/>
                <w:szCs w:val="16"/>
              </w:rPr>
              <w:t>1.523.517,11</w:t>
            </w:r>
          </w:p>
        </w:tc>
        <w:tc>
          <w:tcPr>
            <w:tcW w:w="1417" w:type="dxa"/>
            <w:vAlign w:val="center"/>
            <w:hideMark/>
          </w:tcPr>
          <w:p w14:paraId="100844B4" w14:textId="77777777" w:rsidR="002E4D4F" w:rsidRPr="004C2764" w:rsidRDefault="002E4D4F" w:rsidP="009022FD">
            <w:pPr>
              <w:spacing w:before="0"/>
              <w:contextualSpacing/>
              <w:mirrorIndents/>
              <w:jc w:val="right"/>
              <w:rPr>
                <w:sz w:val="16"/>
                <w:szCs w:val="16"/>
              </w:rPr>
            </w:pPr>
            <w:r w:rsidRPr="004C2764">
              <w:rPr>
                <w:sz w:val="16"/>
                <w:szCs w:val="16"/>
              </w:rPr>
              <w:t>31.286.131,86</w:t>
            </w:r>
          </w:p>
        </w:tc>
      </w:tr>
      <w:tr w:rsidR="009022FD" w:rsidRPr="004C2764" w14:paraId="728B2F46" w14:textId="77777777" w:rsidTr="001942AA">
        <w:trPr>
          <w:trHeight w:val="245"/>
          <w:tblCellSpacing w:w="0" w:type="dxa"/>
        </w:trPr>
        <w:tc>
          <w:tcPr>
            <w:tcW w:w="3291" w:type="dxa"/>
            <w:shd w:val="clear" w:color="auto" w:fill="F0F0F0"/>
            <w:vAlign w:val="center"/>
            <w:hideMark/>
          </w:tcPr>
          <w:p w14:paraId="47C2C27A" w14:textId="77777777" w:rsidR="002E4D4F" w:rsidRPr="004C2764" w:rsidRDefault="002E4D4F" w:rsidP="009022FD">
            <w:pPr>
              <w:spacing w:before="0"/>
              <w:contextualSpacing/>
              <w:mirrorIndents/>
              <w:jc w:val="left"/>
              <w:rPr>
                <w:sz w:val="16"/>
                <w:szCs w:val="16"/>
              </w:rPr>
            </w:pPr>
            <w:r w:rsidRPr="004C2764">
              <w:rPr>
                <w:sz w:val="16"/>
                <w:szCs w:val="16"/>
              </w:rPr>
              <w:t>3. andere Anlagen, Betriebs- und Geschäftsausstattung</w:t>
            </w:r>
          </w:p>
        </w:tc>
        <w:tc>
          <w:tcPr>
            <w:tcW w:w="1275" w:type="dxa"/>
            <w:shd w:val="clear" w:color="auto" w:fill="F0F0F0"/>
            <w:vAlign w:val="center"/>
            <w:hideMark/>
          </w:tcPr>
          <w:p w14:paraId="15AB9F76" w14:textId="77777777" w:rsidR="002E4D4F" w:rsidRPr="004C2764" w:rsidRDefault="002E4D4F" w:rsidP="009022FD">
            <w:pPr>
              <w:spacing w:before="0"/>
              <w:contextualSpacing/>
              <w:mirrorIndents/>
              <w:jc w:val="right"/>
              <w:rPr>
                <w:sz w:val="16"/>
                <w:szCs w:val="16"/>
              </w:rPr>
            </w:pPr>
            <w:r w:rsidRPr="004C2764">
              <w:rPr>
                <w:sz w:val="16"/>
                <w:szCs w:val="16"/>
              </w:rPr>
              <w:t>3.255.171,83</w:t>
            </w:r>
          </w:p>
        </w:tc>
        <w:tc>
          <w:tcPr>
            <w:tcW w:w="1701" w:type="dxa"/>
            <w:shd w:val="clear" w:color="auto" w:fill="F0F0F0"/>
            <w:vAlign w:val="center"/>
            <w:hideMark/>
          </w:tcPr>
          <w:p w14:paraId="74111CE0" w14:textId="77777777" w:rsidR="002E4D4F" w:rsidRPr="004C2764" w:rsidRDefault="002E4D4F" w:rsidP="009022FD">
            <w:pPr>
              <w:spacing w:before="0"/>
              <w:contextualSpacing/>
              <w:mirrorIndents/>
              <w:jc w:val="right"/>
              <w:rPr>
                <w:sz w:val="16"/>
                <w:szCs w:val="16"/>
              </w:rPr>
            </w:pPr>
            <w:r w:rsidRPr="004C2764">
              <w:rPr>
                <w:sz w:val="16"/>
                <w:szCs w:val="16"/>
              </w:rPr>
              <w:t>492.618,57</w:t>
            </w:r>
          </w:p>
        </w:tc>
        <w:tc>
          <w:tcPr>
            <w:tcW w:w="1418" w:type="dxa"/>
            <w:shd w:val="clear" w:color="auto" w:fill="F0F0F0"/>
            <w:vAlign w:val="center"/>
            <w:hideMark/>
          </w:tcPr>
          <w:p w14:paraId="4F8DA141" w14:textId="77777777" w:rsidR="002E4D4F" w:rsidRPr="004C2764" w:rsidRDefault="002E4D4F" w:rsidP="009022FD">
            <w:pPr>
              <w:spacing w:before="0"/>
              <w:contextualSpacing/>
              <w:mirrorIndents/>
              <w:jc w:val="right"/>
              <w:rPr>
                <w:sz w:val="16"/>
                <w:szCs w:val="16"/>
              </w:rPr>
            </w:pPr>
            <w:r w:rsidRPr="004C2764">
              <w:rPr>
                <w:sz w:val="16"/>
                <w:szCs w:val="16"/>
              </w:rPr>
              <w:t>299.478,42</w:t>
            </w:r>
          </w:p>
        </w:tc>
        <w:tc>
          <w:tcPr>
            <w:tcW w:w="1417" w:type="dxa"/>
            <w:shd w:val="clear" w:color="auto" w:fill="F0F0F0"/>
            <w:vAlign w:val="center"/>
            <w:hideMark/>
          </w:tcPr>
          <w:p w14:paraId="07701967" w14:textId="77777777" w:rsidR="002E4D4F" w:rsidRPr="004C2764" w:rsidRDefault="002E4D4F" w:rsidP="009022FD">
            <w:pPr>
              <w:spacing w:before="0"/>
              <w:contextualSpacing/>
              <w:mirrorIndents/>
              <w:jc w:val="right"/>
              <w:rPr>
                <w:sz w:val="16"/>
                <w:szCs w:val="16"/>
              </w:rPr>
            </w:pPr>
            <w:r w:rsidRPr="004C2764">
              <w:rPr>
                <w:sz w:val="16"/>
                <w:szCs w:val="16"/>
              </w:rPr>
              <w:t>3.448.311,98</w:t>
            </w:r>
          </w:p>
        </w:tc>
      </w:tr>
      <w:tr w:rsidR="009022FD" w:rsidRPr="004C2764" w14:paraId="3B1D1338" w14:textId="77777777" w:rsidTr="001942AA">
        <w:trPr>
          <w:trHeight w:val="258"/>
          <w:tblCellSpacing w:w="0" w:type="dxa"/>
        </w:trPr>
        <w:tc>
          <w:tcPr>
            <w:tcW w:w="3291" w:type="dxa"/>
            <w:vAlign w:val="center"/>
            <w:hideMark/>
          </w:tcPr>
          <w:p w14:paraId="60A18CBC" w14:textId="77777777" w:rsidR="002E4D4F" w:rsidRPr="004C2764" w:rsidRDefault="002E4D4F" w:rsidP="009022FD">
            <w:pPr>
              <w:spacing w:before="0"/>
              <w:contextualSpacing/>
              <w:mirrorIndents/>
              <w:jc w:val="left"/>
              <w:rPr>
                <w:sz w:val="16"/>
                <w:szCs w:val="16"/>
              </w:rPr>
            </w:pPr>
            <w:r w:rsidRPr="004C2764">
              <w:rPr>
                <w:sz w:val="16"/>
                <w:szCs w:val="16"/>
              </w:rPr>
              <w:t>4. geleistete Anzahlungen und Anlagen im Bau</w:t>
            </w:r>
          </w:p>
        </w:tc>
        <w:tc>
          <w:tcPr>
            <w:tcW w:w="1275" w:type="dxa"/>
            <w:vAlign w:val="center"/>
            <w:hideMark/>
          </w:tcPr>
          <w:p w14:paraId="30A0EF53" w14:textId="77777777" w:rsidR="002E4D4F" w:rsidRPr="004C2764" w:rsidRDefault="002E4D4F" w:rsidP="009022FD">
            <w:pPr>
              <w:spacing w:before="0"/>
              <w:contextualSpacing/>
              <w:mirrorIndents/>
              <w:jc w:val="right"/>
              <w:rPr>
                <w:sz w:val="16"/>
                <w:szCs w:val="16"/>
              </w:rPr>
            </w:pPr>
            <w:r w:rsidRPr="004C2764">
              <w:rPr>
                <w:sz w:val="16"/>
                <w:szCs w:val="16"/>
              </w:rPr>
              <w:t>0,00</w:t>
            </w:r>
          </w:p>
        </w:tc>
        <w:tc>
          <w:tcPr>
            <w:tcW w:w="1701" w:type="dxa"/>
            <w:vAlign w:val="center"/>
            <w:hideMark/>
          </w:tcPr>
          <w:p w14:paraId="290A13A1" w14:textId="77777777" w:rsidR="002E4D4F" w:rsidRPr="004C2764" w:rsidRDefault="002E4D4F" w:rsidP="009022FD">
            <w:pPr>
              <w:spacing w:before="0"/>
              <w:contextualSpacing/>
              <w:mirrorIndents/>
              <w:jc w:val="right"/>
              <w:rPr>
                <w:sz w:val="16"/>
                <w:szCs w:val="16"/>
              </w:rPr>
            </w:pPr>
            <w:r w:rsidRPr="004C2764">
              <w:rPr>
                <w:sz w:val="16"/>
                <w:szCs w:val="16"/>
              </w:rPr>
              <w:t>0,00</w:t>
            </w:r>
          </w:p>
        </w:tc>
        <w:tc>
          <w:tcPr>
            <w:tcW w:w="1418" w:type="dxa"/>
            <w:vAlign w:val="center"/>
            <w:hideMark/>
          </w:tcPr>
          <w:p w14:paraId="029FBE1D" w14:textId="77777777" w:rsidR="002E4D4F" w:rsidRPr="004C2764" w:rsidRDefault="002E4D4F" w:rsidP="009022FD">
            <w:pPr>
              <w:spacing w:before="0"/>
              <w:contextualSpacing/>
              <w:mirrorIndents/>
              <w:jc w:val="right"/>
              <w:rPr>
                <w:sz w:val="16"/>
                <w:szCs w:val="16"/>
              </w:rPr>
            </w:pPr>
            <w:r w:rsidRPr="004C2764">
              <w:rPr>
                <w:sz w:val="16"/>
                <w:szCs w:val="16"/>
              </w:rPr>
              <w:t>0,00</w:t>
            </w:r>
          </w:p>
        </w:tc>
        <w:tc>
          <w:tcPr>
            <w:tcW w:w="1417" w:type="dxa"/>
            <w:vAlign w:val="center"/>
            <w:hideMark/>
          </w:tcPr>
          <w:p w14:paraId="454D21F8" w14:textId="77777777" w:rsidR="002E4D4F" w:rsidRPr="004C2764" w:rsidRDefault="002E4D4F" w:rsidP="009022FD">
            <w:pPr>
              <w:spacing w:before="0"/>
              <w:contextualSpacing/>
              <w:mirrorIndents/>
              <w:jc w:val="right"/>
              <w:rPr>
                <w:sz w:val="16"/>
                <w:szCs w:val="16"/>
              </w:rPr>
            </w:pPr>
            <w:r w:rsidRPr="004C2764">
              <w:rPr>
                <w:sz w:val="16"/>
                <w:szCs w:val="16"/>
              </w:rPr>
              <w:t>0,00</w:t>
            </w:r>
          </w:p>
        </w:tc>
      </w:tr>
      <w:tr w:rsidR="009022FD" w:rsidRPr="004C2764" w14:paraId="14FEC88E" w14:textId="77777777" w:rsidTr="001942AA">
        <w:trPr>
          <w:trHeight w:val="245"/>
          <w:tblCellSpacing w:w="0" w:type="dxa"/>
        </w:trPr>
        <w:tc>
          <w:tcPr>
            <w:tcW w:w="3291" w:type="dxa"/>
            <w:shd w:val="clear" w:color="auto" w:fill="F0F0F0"/>
            <w:vAlign w:val="center"/>
            <w:hideMark/>
          </w:tcPr>
          <w:p w14:paraId="657719F1" w14:textId="77777777" w:rsidR="002E4D4F" w:rsidRPr="004C2764" w:rsidRDefault="002E4D4F" w:rsidP="009022FD">
            <w:pPr>
              <w:spacing w:before="0"/>
              <w:contextualSpacing/>
              <w:mirrorIndents/>
              <w:jc w:val="left"/>
              <w:rPr>
                <w:sz w:val="16"/>
                <w:szCs w:val="16"/>
              </w:rPr>
            </w:pPr>
          </w:p>
        </w:tc>
        <w:tc>
          <w:tcPr>
            <w:tcW w:w="1275" w:type="dxa"/>
            <w:shd w:val="clear" w:color="auto" w:fill="F0F0F0"/>
            <w:vAlign w:val="center"/>
            <w:hideMark/>
          </w:tcPr>
          <w:p w14:paraId="252B2126" w14:textId="77777777" w:rsidR="002E4D4F" w:rsidRPr="004C2764" w:rsidRDefault="002E4D4F" w:rsidP="009022FD">
            <w:pPr>
              <w:spacing w:before="0"/>
              <w:contextualSpacing/>
              <w:mirrorIndents/>
              <w:jc w:val="right"/>
              <w:rPr>
                <w:sz w:val="16"/>
                <w:szCs w:val="16"/>
              </w:rPr>
            </w:pPr>
            <w:r w:rsidRPr="004C2764">
              <w:rPr>
                <w:sz w:val="16"/>
                <w:szCs w:val="16"/>
              </w:rPr>
              <w:t>33.777.197,73</w:t>
            </w:r>
          </w:p>
        </w:tc>
        <w:tc>
          <w:tcPr>
            <w:tcW w:w="1701" w:type="dxa"/>
            <w:shd w:val="clear" w:color="auto" w:fill="F0F0F0"/>
            <w:vAlign w:val="center"/>
            <w:hideMark/>
          </w:tcPr>
          <w:p w14:paraId="02A3662E" w14:textId="77777777" w:rsidR="002E4D4F" w:rsidRPr="004C2764" w:rsidRDefault="002E4D4F" w:rsidP="009022FD">
            <w:pPr>
              <w:spacing w:before="0"/>
              <w:contextualSpacing/>
              <w:mirrorIndents/>
              <w:jc w:val="right"/>
              <w:rPr>
                <w:sz w:val="16"/>
                <w:szCs w:val="16"/>
              </w:rPr>
            </w:pPr>
            <w:r w:rsidRPr="004C2764">
              <w:rPr>
                <w:sz w:val="16"/>
                <w:szCs w:val="16"/>
              </w:rPr>
              <w:t>3.969.803,97</w:t>
            </w:r>
          </w:p>
        </w:tc>
        <w:tc>
          <w:tcPr>
            <w:tcW w:w="1418" w:type="dxa"/>
            <w:shd w:val="clear" w:color="auto" w:fill="F0F0F0"/>
            <w:vAlign w:val="center"/>
            <w:hideMark/>
          </w:tcPr>
          <w:p w14:paraId="5193AF1A" w14:textId="77777777" w:rsidR="002E4D4F" w:rsidRPr="004C2764" w:rsidRDefault="002E4D4F" w:rsidP="009022FD">
            <w:pPr>
              <w:spacing w:before="0"/>
              <w:contextualSpacing/>
              <w:mirrorIndents/>
              <w:jc w:val="right"/>
              <w:rPr>
                <w:sz w:val="16"/>
                <w:szCs w:val="16"/>
              </w:rPr>
            </w:pPr>
            <w:r w:rsidRPr="004C2764">
              <w:rPr>
                <w:sz w:val="16"/>
                <w:szCs w:val="16"/>
              </w:rPr>
              <w:t>1.822.995,53</w:t>
            </w:r>
          </w:p>
        </w:tc>
        <w:tc>
          <w:tcPr>
            <w:tcW w:w="1417" w:type="dxa"/>
            <w:shd w:val="clear" w:color="auto" w:fill="F0F0F0"/>
            <w:vAlign w:val="center"/>
            <w:hideMark/>
          </w:tcPr>
          <w:p w14:paraId="29B161B9" w14:textId="77777777" w:rsidR="002E4D4F" w:rsidRPr="004C2764" w:rsidRDefault="002E4D4F" w:rsidP="009022FD">
            <w:pPr>
              <w:spacing w:before="0"/>
              <w:contextualSpacing/>
              <w:mirrorIndents/>
              <w:jc w:val="right"/>
              <w:rPr>
                <w:sz w:val="16"/>
                <w:szCs w:val="16"/>
              </w:rPr>
            </w:pPr>
            <w:r w:rsidRPr="004C2764">
              <w:rPr>
                <w:sz w:val="16"/>
                <w:szCs w:val="16"/>
              </w:rPr>
              <w:t>35.924.006,17</w:t>
            </w:r>
          </w:p>
        </w:tc>
      </w:tr>
      <w:tr w:rsidR="009022FD" w:rsidRPr="004C2764" w14:paraId="53E009F9" w14:textId="77777777" w:rsidTr="001942AA">
        <w:trPr>
          <w:trHeight w:val="258"/>
          <w:tblCellSpacing w:w="0" w:type="dxa"/>
        </w:trPr>
        <w:tc>
          <w:tcPr>
            <w:tcW w:w="3291" w:type="dxa"/>
            <w:vAlign w:val="center"/>
            <w:hideMark/>
          </w:tcPr>
          <w:p w14:paraId="0D60BAF8" w14:textId="77777777" w:rsidR="002E4D4F" w:rsidRPr="004C2764" w:rsidRDefault="002E4D4F" w:rsidP="009022FD">
            <w:pPr>
              <w:spacing w:before="0"/>
              <w:contextualSpacing/>
              <w:mirrorIndents/>
              <w:jc w:val="left"/>
              <w:rPr>
                <w:sz w:val="16"/>
                <w:szCs w:val="16"/>
              </w:rPr>
            </w:pPr>
            <w:r w:rsidRPr="004C2764">
              <w:rPr>
                <w:sz w:val="16"/>
                <w:szCs w:val="16"/>
              </w:rPr>
              <w:t>III. Finanzanlagen</w:t>
            </w:r>
          </w:p>
        </w:tc>
        <w:tc>
          <w:tcPr>
            <w:tcW w:w="1275" w:type="dxa"/>
            <w:vAlign w:val="center"/>
            <w:hideMark/>
          </w:tcPr>
          <w:p w14:paraId="52F1653B" w14:textId="77777777" w:rsidR="002E4D4F" w:rsidRPr="004C2764" w:rsidRDefault="002E4D4F" w:rsidP="009022FD">
            <w:pPr>
              <w:spacing w:before="0"/>
              <w:contextualSpacing/>
              <w:mirrorIndents/>
              <w:jc w:val="right"/>
              <w:rPr>
                <w:sz w:val="16"/>
                <w:szCs w:val="16"/>
              </w:rPr>
            </w:pPr>
          </w:p>
        </w:tc>
        <w:tc>
          <w:tcPr>
            <w:tcW w:w="1701" w:type="dxa"/>
            <w:vAlign w:val="center"/>
            <w:hideMark/>
          </w:tcPr>
          <w:p w14:paraId="11C55790" w14:textId="77777777" w:rsidR="002E4D4F" w:rsidRPr="004C2764" w:rsidRDefault="002E4D4F" w:rsidP="009022FD">
            <w:pPr>
              <w:spacing w:before="0"/>
              <w:contextualSpacing/>
              <w:mirrorIndents/>
              <w:jc w:val="right"/>
              <w:rPr>
                <w:sz w:val="16"/>
                <w:szCs w:val="16"/>
              </w:rPr>
            </w:pPr>
          </w:p>
        </w:tc>
        <w:tc>
          <w:tcPr>
            <w:tcW w:w="1418" w:type="dxa"/>
            <w:vAlign w:val="center"/>
            <w:hideMark/>
          </w:tcPr>
          <w:p w14:paraId="5ABCDB98" w14:textId="77777777" w:rsidR="002E4D4F" w:rsidRPr="004C2764" w:rsidRDefault="002E4D4F" w:rsidP="009022FD">
            <w:pPr>
              <w:spacing w:before="0"/>
              <w:contextualSpacing/>
              <w:mirrorIndents/>
              <w:jc w:val="right"/>
              <w:rPr>
                <w:sz w:val="16"/>
                <w:szCs w:val="16"/>
              </w:rPr>
            </w:pPr>
          </w:p>
        </w:tc>
        <w:tc>
          <w:tcPr>
            <w:tcW w:w="1417" w:type="dxa"/>
            <w:vAlign w:val="center"/>
            <w:hideMark/>
          </w:tcPr>
          <w:p w14:paraId="1A413D79" w14:textId="77777777" w:rsidR="002E4D4F" w:rsidRPr="004C2764" w:rsidRDefault="002E4D4F" w:rsidP="009022FD">
            <w:pPr>
              <w:spacing w:before="0"/>
              <w:contextualSpacing/>
              <w:mirrorIndents/>
              <w:jc w:val="right"/>
              <w:rPr>
                <w:sz w:val="16"/>
                <w:szCs w:val="16"/>
              </w:rPr>
            </w:pPr>
          </w:p>
        </w:tc>
      </w:tr>
      <w:tr w:rsidR="009022FD" w:rsidRPr="004C2764" w14:paraId="0993A8E0" w14:textId="77777777" w:rsidTr="001942AA">
        <w:trPr>
          <w:trHeight w:val="245"/>
          <w:tblCellSpacing w:w="0" w:type="dxa"/>
        </w:trPr>
        <w:tc>
          <w:tcPr>
            <w:tcW w:w="3291" w:type="dxa"/>
            <w:shd w:val="clear" w:color="auto" w:fill="F0F0F0"/>
            <w:vAlign w:val="center"/>
            <w:hideMark/>
          </w:tcPr>
          <w:p w14:paraId="54EB6614" w14:textId="77777777" w:rsidR="002E4D4F" w:rsidRPr="004C2764" w:rsidRDefault="002E4D4F" w:rsidP="009022FD">
            <w:pPr>
              <w:spacing w:before="0"/>
              <w:contextualSpacing/>
              <w:mirrorIndents/>
              <w:jc w:val="left"/>
              <w:rPr>
                <w:sz w:val="16"/>
                <w:szCs w:val="16"/>
              </w:rPr>
            </w:pPr>
            <w:r w:rsidRPr="004C2764">
              <w:rPr>
                <w:sz w:val="16"/>
                <w:szCs w:val="16"/>
              </w:rPr>
              <w:t>Anteile an verbundenen Unternehmen</w:t>
            </w:r>
          </w:p>
        </w:tc>
        <w:tc>
          <w:tcPr>
            <w:tcW w:w="1275" w:type="dxa"/>
            <w:shd w:val="clear" w:color="auto" w:fill="F0F0F0"/>
            <w:vAlign w:val="center"/>
            <w:hideMark/>
          </w:tcPr>
          <w:p w14:paraId="65B7F830" w14:textId="77777777" w:rsidR="002E4D4F" w:rsidRPr="004C2764" w:rsidRDefault="002E4D4F" w:rsidP="009022FD">
            <w:pPr>
              <w:spacing w:before="0"/>
              <w:contextualSpacing/>
              <w:mirrorIndents/>
              <w:jc w:val="right"/>
              <w:rPr>
                <w:sz w:val="16"/>
                <w:szCs w:val="16"/>
              </w:rPr>
            </w:pPr>
            <w:r w:rsidRPr="004C2764">
              <w:rPr>
                <w:sz w:val="16"/>
                <w:szCs w:val="16"/>
              </w:rPr>
              <w:t>0,00</w:t>
            </w:r>
          </w:p>
        </w:tc>
        <w:tc>
          <w:tcPr>
            <w:tcW w:w="1701" w:type="dxa"/>
            <w:shd w:val="clear" w:color="auto" w:fill="F0F0F0"/>
            <w:vAlign w:val="center"/>
            <w:hideMark/>
          </w:tcPr>
          <w:p w14:paraId="5DB92AFE" w14:textId="77777777" w:rsidR="002E4D4F" w:rsidRPr="004C2764" w:rsidRDefault="002E4D4F" w:rsidP="009022FD">
            <w:pPr>
              <w:spacing w:before="0"/>
              <w:contextualSpacing/>
              <w:mirrorIndents/>
              <w:jc w:val="right"/>
              <w:rPr>
                <w:sz w:val="16"/>
                <w:szCs w:val="16"/>
              </w:rPr>
            </w:pPr>
            <w:r w:rsidRPr="004C2764">
              <w:rPr>
                <w:sz w:val="16"/>
                <w:szCs w:val="16"/>
              </w:rPr>
              <w:t>0,00</w:t>
            </w:r>
          </w:p>
        </w:tc>
        <w:tc>
          <w:tcPr>
            <w:tcW w:w="1418" w:type="dxa"/>
            <w:shd w:val="clear" w:color="auto" w:fill="F0F0F0"/>
            <w:vAlign w:val="center"/>
            <w:hideMark/>
          </w:tcPr>
          <w:p w14:paraId="23B33F25" w14:textId="77777777" w:rsidR="002E4D4F" w:rsidRPr="004C2764" w:rsidRDefault="002E4D4F" w:rsidP="009022FD">
            <w:pPr>
              <w:spacing w:before="0"/>
              <w:contextualSpacing/>
              <w:mirrorIndents/>
              <w:jc w:val="right"/>
              <w:rPr>
                <w:sz w:val="16"/>
                <w:szCs w:val="16"/>
              </w:rPr>
            </w:pPr>
            <w:r w:rsidRPr="004C2764">
              <w:rPr>
                <w:sz w:val="16"/>
                <w:szCs w:val="16"/>
              </w:rPr>
              <w:t>0,00</w:t>
            </w:r>
          </w:p>
        </w:tc>
        <w:tc>
          <w:tcPr>
            <w:tcW w:w="1417" w:type="dxa"/>
            <w:shd w:val="clear" w:color="auto" w:fill="F0F0F0"/>
            <w:vAlign w:val="center"/>
            <w:hideMark/>
          </w:tcPr>
          <w:p w14:paraId="2E8A455C" w14:textId="77777777" w:rsidR="002E4D4F" w:rsidRPr="004C2764" w:rsidRDefault="002E4D4F" w:rsidP="009022FD">
            <w:pPr>
              <w:spacing w:before="0"/>
              <w:contextualSpacing/>
              <w:mirrorIndents/>
              <w:jc w:val="right"/>
              <w:rPr>
                <w:sz w:val="16"/>
                <w:szCs w:val="16"/>
              </w:rPr>
            </w:pPr>
            <w:r w:rsidRPr="004C2764">
              <w:rPr>
                <w:sz w:val="16"/>
                <w:szCs w:val="16"/>
              </w:rPr>
              <w:t>0,00</w:t>
            </w:r>
          </w:p>
        </w:tc>
      </w:tr>
      <w:tr w:rsidR="009022FD" w:rsidRPr="004C2764" w14:paraId="7C484494" w14:textId="77777777" w:rsidTr="0087518D">
        <w:trPr>
          <w:trHeight w:val="413"/>
          <w:tblCellSpacing w:w="0" w:type="dxa"/>
        </w:trPr>
        <w:tc>
          <w:tcPr>
            <w:tcW w:w="3291" w:type="dxa"/>
            <w:vAlign w:val="center"/>
            <w:hideMark/>
          </w:tcPr>
          <w:p w14:paraId="00C253AC" w14:textId="77777777" w:rsidR="002E4D4F" w:rsidRPr="004C2764" w:rsidRDefault="002E4D4F" w:rsidP="009022FD">
            <w:pPr>
              <w:spacing w:before="0"/>
              <w:contextualSpacing/>
              <w:mirrorIndents/>
              <w:jc w:val="left"/>
              <w:rPr>
                <w:sz w:val="16"/>
                <w:szCs w:val="16"/>
              </w:rPr>
            </w:pPr>
          </w:p>
        </w:tc>
        <w:tc>
          <w:tcPr>
            <w:tcW w:w="1275" w:type="dxa"/>
            <w:hideMark/>
          </w:tcPr>
          <w:p w14:paraId="3A10AD19" w14:textId="77777777" w:rsidR="002E4D4F" w:rsidRPr="004C2764" w:rsidRDefault="002E4D4F" w:rsidP="0087518D">
            <w:pPr>
              <w:spacing w:before="0"/>
              <w:contextualSpacing/>
              <w:mirrorIndents/>
              <w:jc w:val="right"/>
              <w:rPr>
                <w:sz w:val="16"/>
                <w:szCs w:val="16"/>
              </w:rPr>
            </w:pPr>
            <w:r w:rsidRPr="004C2764">
              <w:rPr>
                <w:sz w:val="16"/>
                <w:szCs w:val="16"/>
              </w:rPr>
              <w:t>33.842.026,93</w:t>
            </w:r>
          </w:p>
        </w:tc>
        <w:tc>
          <w:tcPr>
            <w:tcW w:w="1701" w:type="dxa"/>
            <w:hideMark/>
          </w:tcPr>
          <w:p w14:paraId="2CCD7A17" w14:textId="77777777" w:rsidR="002E4D4F" w:rsidRPr="004C2764" w:rsidRDefault="002E4D4F" w:rsidP="0087518D">
            <w:pPr>
              <w:spacing w:before="0"/>
              <w:contextualSpacing/>
              <w:mirrorIndents/>
              <w:jc w:val="right"/>
              <w:rPr>
                <w:sz w:val="16"/>
                <w:szCs w:val="16"/>
              </w:rPr>
            </w:pPr>
            <w:r w:rsidRPr="004C2764">
              <w:rPr>
                <w:sz w:val="16"/>
                <w:szCs w:val="16"/>
              </w:rPr>
              <w:t>4.005.828,01</w:t>
            </w:r>
          </w:p>
        </w:tc>
        <w:tc>
          <w:tcPr>
            <w:tcW w:w="1418" w:type="dxa"/>
            <w:hideMark/>
          </w:tcPr>
          <w:p w14:paraId="61D199C6" w14:textId="77777777" w:rsidR="002E4D4F" w:rsidRPr="004C2764" w:rsidRDefault="002E4D4F" w:rsidP="0087518D">
            <w:pPr>
              <w:spacing w:before="0"/>
              <w:contextualSpacing/>
              <w:mirrorIndents/>
              <w:jc w:val="right"/>
              <w:rPr>
                <w:sz w:val="16"/>
                <w:szCs w:val="16"/>
              </w:rPr>
            </w:pPr>
            <w:r w:rsidRPr="004C2764">
              <w:rPr>
                <w:sz w:val="16"/>
                <w:szCs w:val="16"/>
              </w:rPr>
              <w:t>1.831.265,53</w:t>
            </w:r>
          </w:p>
        </w:tc>
        <w:tc>
          <w:tcPr>
            <w:tcW w:w="1417" w:type="dxa"/>
            <w:hideMark/>
          </w:tcPr>
          <w:p w14:paraId="41051D77" w14:textId="77777777" w:rsidR="002E4D4F" w:rsidRPr="004C2764" w:rsidRDefault="002E4D4F" w:rsidP="0087518D">
            <w:pPr>
              <w:spacing w:before="0"/>
              <w:contextualSpacing/>
              <w:mirrorIndents/>
              <w:jc w:val="right"/>
              <w:rPr>
                <w:sz w:val="16"/>
                <w:szCs w:val="16"/>
              </w:rPr>
            </w:pPr>
            <w:r w:rsidRPr="004C2764">
              <w:rPr>
                <w:sz w:val="16"/>
                <w:szCs w:val="16"/>
              </w:rPr>
              <w:t>36.016.589,41</w:t>
            </w:r>
          </w:p>
        </w:tc>
      </w:tr>
    </w:tbl>
    <w:p w14:paraId="7B7BE69C" w14:textId="77777777" w:rsidR="002E4D4F" w:rsidRPr="004C2764" w:rsidRDefault="002E4D4F" w:rsidP="00484323">
      <w:pPr>
        <w:spacing w:before="0"/>
        <w:contextualSpacing/>
        <w:mirrorIndents/>
        <w:rPr>
          <w:vanish/>
          <w:sz w:val="16"/>
          <w:szCs w:val="16"/>
        </w:rPr>
      </w:pPr>
    </w:p>
    <w:tbl>
      <w:tblPr>
        <w:tblW w:w="9112" w:type="dxa"/>
        <w:tblCellSpacing w:w="0" w:type="dxa"/>
        <w:tblCellMar>
          <w:top w:w="30" w:type="dxa"/>
          <w:left w:w="30" w:type="dxa"/>
          <w:bottom w:w="30" w:type="dxa"/>
          <w:right w:w="30" w:type="dxa"/>
        </w:tblCellMar>
        <w:tblLook w:val="04A0" w:firstRow="1" w:lastRow="0" w:firstColumn="1" w:lastColumn="0" w:noHBand="0" w:noVBand="1"/>
      </w:tblPr>
      <w:tblGrid>
        <w:gridCol w:w="5842"/>
        <w:gridCol w:w="1843"/>
        <w:gridCol w:w="1427"/>
      </w:tblGrid>
      <w:tr w:rsidR="002E4D4F" w:rsidRPr="004C2764" w14:paraId="224F1BC7" w14:textId="77777777" w:rsidTr="003245A7">
        <w:trPr>
          <w:trHeight w:val="225"/>
          <w:tblHeader/>
          <w:tblCellSpacing w:w="0" w:type="dxa"/>
        </w:trPr>
        <w:tc>
          <w:tcPr>
            <w:tcW w:w="5842" w:type="dxa"/>
            <w:shd w:val="clear" w:color="auto" w:fill="CDCDCE"/>
            <w:vAlign w:val="bottom"/>
            <w:hideMark/>
          </w:tcPr>
          <w:p w14:paraId="5B4AF0D2" w14:textId="77777777" w:rsidR="002E4D4F" w:rsidRPr="004C2764" w:rsidRDefault="002E4D4F" w:rsidP="00484323">
            <w:pPr>
              <w:spacing w:before="0"/>
              <w:contextualSpacing/>
              <w:mirrorIndents/>
              <w:rPr>
                <w:sz w:val="16"/>
                <w:szCs w:val="16"/>
              </w:rPr>
            </w:pPr>
          </w:p>
        </w:tc>
        <w:tc>
          <w:tcPr>
            <w:tcW w:w="3270" w:type="dxa"/>
            <w:gridSpan w:val="2"/>
            <w:shd w:val="clear" w:color="auto" w:fill="CDCDCE"/>
            <w:vAlign w:val="bottom"/>
            <w:hideMark/>
          </w:tcPr>
          <w:p w14:paraId="650595C2" w14:textId="77777777" w:rsidR="002E4D4F" w:rsidRPr="004C2764" w:rsidRDefault="002E4D4F" w:rsidP="0087518D">
            <w:pPr>
              <w:spacing w:before="0"/>
              <w:contextualSpacing/>
              <w:mirrorIndents/>
              <w:jc w:val="center"/>
              <w:rPr>
                <w:sz w:val="16"/>
                <w:szCs w:val="16"/>
              </w:rPr>
            </w:pPr>
            <w:r w:rsidRPr="004C2764">
              <w:rPr>
                <w:sz w:val="16"/>
                <w:szCs w:val="16"/>
              </w:rPr>
              <w:t>Buchwerte</w:t>
            </w:r>
          </w:p>
        </w:tc>
      </w:tr>
      <w:tr w:rsidR="002E4D4F" w:rsidRPr="004C2764" w14:paraId="5B1C230B" w14:textId="77777777" w:rsidTr="003245A7">
        <w:trPr>
          <w:trHeight w:val="237"/>
          <w:tblHeader/>
          <w:tblCellSpacing w:w="0" w:type="dxa"/>
        </w:trPr>
        <w:tc>
          <w:tcPr>
            <w:tcW w:w="5842" w:type="dxa"/>
            <w:shd w:val="clear" w:color="auto" w:fill="CDCDCE"/>
            <w:vAlign w:val="bottom"/>
            <w:hideMark/>
          </w:tcPr>
          <w:p w14:paraId="4FE97523" w14:textId="77777777" w:rsidR="002E4D4F" w:rsidRPr="004C2764" w:rsidRDefault="002E4D4F" w:rsidP="00484323">
            <w:pPr>
              <w:spacing w:before="0"/>
              <w:contextualSpacing/>
              <w:mirrorIndents/>
              <w:rPr>
                <w:sz w:val="16"/>
                <w:szCs w:val="16"/>
              </w:rPr>
            </w:pPr>
          </w:p>
        </w:tc>
        <w:tc>
          <w:tcPr>
            <w:tcW w:w="1843" w:type="dxa"/>
            <w:shd w:val="clear" w:color="auto" w:fill="CDCDCE"/>
            <w:vAlign w:val="bottom"/>
            <w:hideMark/>
          </w:tcPr>
          <w:p w14:paraId="4A3FA35F" w14:textId="77777777" w:rsidR="002E4D4F" w:rsidRPr="004C2764" w:rsidRDefault="002E4D4F" w:rsidP="00453D45">
            <w:pPr>
              <w:spacing w:before="0"/>
              <w:contextualSpacing/>
              <w:mirrorIndents/>
              <w:jc w:val="right"/>
              <w:rPr>
                <w:sz w:val="16"/>
                <w:szCs w:val="16"/>
              </w:rPr>
            </w:pPr>
            <w:r w:rsidRPr="004C2764">
              <w:rPr>
                <w:sz w:val="16"/>
                <w:szCs w:val="16"/>
              </w:rPr>
              <w:t>31.12.2022</w:t>
            </w:r>
          </w:p>
        </w:tc>
        <w:tc>
          <w:tcPr>
            <w:tcW w:w="1427" w:type="dxa"/>
            <w:shd w:val="clear" w:color="auto" w:fill="CDCDCE"/>
            <w:vAlign w:val="bottom"/>
            <w:hideMark/>
          </w:tcPr>
          <w:p w14:paraId="066B3D52" w14:textId="77777777" w:rsidR="002E4D4F" w:rsidRPr="004C2764" w:rsidRDefault="002E4D4F" w:rsidP="00453D45">
            <w:pPr>
              <w:spacing w:before="0"/>
              <w:contextualSpacing/>
              <w:mirrorIndents/>
              <w:jc w:val="right"/>
              <w:rPr>
                <w:sz w:val="16"/>
                <w:szCs w:val="16"/>
              </w:rPr>
            </w:pPr>
            <w:r w:rsidRPr="004C2764">
              <w:rPr>
                <w:sz w:val="16"/>
                <w:szCs w:val="16"/>
              </w:rPr>
              <w:t>31.12.2021</w:t>
            </w:r>
          </w:p>
        </w:tc>
      </w:tr>
      <w:tr w:rsidR="002E4D4F" w:rsidRPr="004C2764" w14:paraId="0330BB5A" w14:textId="77777777" w:rsidTr="003245A7">
        <w:trPr>
          <w:trHeight w:val="225"/>
          <w:tblCellSpacing w:w="0" w:type="dxa"/>
        </w:trPr>
        <w:tc>
          <w:tcPr>
            <w:tcW w:w="5842" w:type="dxa"/>
            <w:vAlign w:val="center"/>
            <w:hideMark/>
          </w:tcPr>
          <w:p w14:paraId="617935EF" w14:textId="77777777" w:rsidR="002E4D4F" w:rsidRPr="004C2764" w:rsidRDefault="002E4D4F" w:rsidP="00453D45">
            <w:pPr>
              <w:spacing w:before="0"/>
              <w:contextualSpacing/>
              <w:mirrorIndents/>
              <w:jc w:val="left"/>
              <w:rPr>
                <w:sz w:val="16"/>
                <w:szCs w:val="16"/>
              </w:rPr>
            </w:pPr>
            <w:r w:rsidRPr="004C2764">
              <w:rPr>
                <w:sz w:val="16"/>
                <w:szCs w:val="16"/>
              </w:rPr>
              <w:t>I. Immaterielle Vermögensgegenstände</w:t>
            </w:r>
          </w:p>
        </w:tc>
        <w:tc>
          <w:tcPr>
            <w:tcW w:w="1843" w:type="dxa"/>
            <w:vAlign w:val="center"/>
            <w:hideMark/>
          </w:tcPr>
          <w:p w14:paraId="021702F8" w14:textId="77777777" w:rsidR="002E4D4F" w:rsidRPr="004C2764" w:rsidRDefault="002E4D4F" w:rsidP="00453D45">
            <w:pPr>
              <w:spacing w:before="0"/>
              <w:contextualSpacing/>
              <w:mirrorIndents/>
              <w:jc w:val="right"/>
              <w:rPr>
                <w:sz w:val="16"/>
                <w:szCs w:val="16"/>
              </w:rPr>
            </w:pPr>
          </w:p>
        </w:tc>
        <w:tc>
          <w:tcPr>
            <w:tcW w:w="1427" w:type="dxa"/>
            <w:vAlign w:val="center"/>
            <w:hideMark/>
          </w:tcPr>
          <w:p w14:paraId="47D9A236" w14:textId="77777777" w:rsidR="002E4D4F" w:rsidRPr="004C2764" w:rsidRDefault="002E4D4F" w:rsidP="00453D45">
            <w:pPr>
              <w:spacing w:before="0"/>
              <w:contextualSpacing/>
              <w:mirrorIndents/>
              <w:jc w:val="right"/>
              <w:rPr>
                <w:sz w:val="16"/>
                <w:szCs w:val="16"/>
              </w:rPr>
            </w:pPr>
          </w:p>
        </w:tc>
      </w:tr>
      <w:tr w:rsidR="002E4D4F" w:rsidRPr="004C2764" w14:paraId="6508426D" w14:textId="77777777" w:rsidTr="003245A7">
        <w:trPr>
          <w:trHeight w:val="237"/>
          <w:tblCellSpacing w:w="0" w:type="dxa"/>
        </w:trPr>
        <w:tc>
          <w:tcPr>
            <w:tcW w:w="5842" w:type="dxa"/>
            <w:shd w:val="clear" w:color="auto" w:fill="F0F0F0"/>
            <w:vAlign w:val="center"/>
            <w:hideMark/>
          </w:tcPr>
          <w:p w14:paraId="7F902BFB" w14:textId="77777777" w:rsidR="002E4D4F" w:rsidRPr="004C2764" w:rsidRDefault="002E4D4F" w:rsidP="00453D45">
            <w:pPr>
              <w:spacing w:before="0"/>
              <w:contextualSpacing/>
              <w:mirrorIndents/>
              <w:jc w:val="left"/>
              <w:rPr>
                <w:sz w:val="16"/>
                <w:szCs w:val="16"/>
              </w:rPr>
            </w:pPr>
            <w:r w:rsidRPr="004C2764">
              <w:rPr>
                <w:sz w:val="16"/>
                <w:szCs w:val="16"/>
              </w:rPr>
              <w:t>Entgeltlich erworbene gewerbliche Schutzrechte und ähnliche Rechte und Werte</w:t>
            </w:r>
          </w:p>
        </w:tc>
        <w:tc>
          <w:tcPr>
            <w:tcW w:w="1843" w:type="dxa"/>
            <w:shd w:val="clear" w:color="auto" w:fill="F0F0F0"/>
            <w:vAlign w:val="center"/>
            <w:hideMark/>
          </w:tcPr>
          <w:p w14:paraId="58F4368B" w14:textId="77777777" w:rsidR="002E4D4F" w:rsidRPr="004C2764" w:rsidRDefault="002E4D4F" w:rsidP="00453D45">
            <w:pPr>
              <w:spacing w:before="0"/>
              <w:contextualSpacing/>
              <w:mirrorIndents/>
              <w:jc w:val="right"/>
              <w:rPr>
                <w:sz w:val="16"/>
                <w:szCs w:val="16"/>
              </w:rPr>
            </w:pPr>
            <w:r w:rsidRPr="004C2764">
              <w:rPr>
                <w:sz w:val="16"/>
                <w:szCs w:val="16"/>
              </w:rPr>
              <w:t>79.802,00</w:t>
            </w:r>
          </w:p>
        </w:tc>
        <w:tc>
          <w:tcPr>
            <w:tcW w:w="1427" w:type="dxa"/>
            <w:shd w:val="clear" w:color="auto" w:fill="F0F0F0"/>
            <w:vAlign w:val="center"/>
            <w:hideMark/>
          </w:tcPr>
          <w:p w14:paraId="2BDD54BB" w14:textId="77777777" w:rsidR="002E4D4F" w:rsidRPr="004C2764" w:rsidRDefault="002E4D4F" w:rsidP="00453D45">
            <w:pPr>
              <w:spacing w:before="0"/>
              <w:contextualSpacing/>
              <w:mirrorIndents/>
              <w:jc w:val="right"/>
              <w:rPr>
                <w:sz w:val="16"/>
                <w:szCs w:val="16"/>
              </w:rPr>
            </w:pPr>
            <w:r w:rsidRPr="004C2764">
              <w:rPr>
                <w:sz w:val="16"/>
                <w:szCs w:val="16"/>
              </w:rPr>
              <w:t>44.133,00</w:t>
            </w:r>
          </w:p>
        </w:tc>
      </w:tr>
      <w:tr w:rsidR="002E4D4F" w:rsidRPr="004C2764" w14:paraId="627C0E37" w14:textId="77777777" w:rsidTr="003245A7">
        <w:trPr>
          <w:trHeight w:val="225"/>
          <w:tblCellSpacing w:w="0" w:type="dxa"/>
        </w:trPr>
        <w:tc>
          <w:tcPr>
            <w:tcW w:w="5842" w:type="dxa"/>
            <w:vAlign w:val="center"/>
            <w:hideMark/>
          </w:tcPr>
          <w:p w14:paraId="08E94E28" w14:textId="77777777" w:rsidR="002E4D4F" w:rsidRPr="004C2764" w:rsidRDefault="002E4D4F" w:rsidP="00453D45">
            <w:pPr>
              <w:spacing w:before="0"/>
              <w:contextualSpacing/>
              <w:mirrorIndents/>
              <w:jc w:val="left"/>
              <w:rPr>
                <w:sz w:val="16"/>
                <w:szCs w:val="16"/>
              </w:rPr>
            </w:pPr>
            <w:r w:rsidRPr="004C2764">
              <w:rPr>
                <w:sz w:val="16"/>
                <w:szCs w:val="16"/>
              </w:rPr>
              <w:t>II. Sachanlagen</w:t>
            </w:r>
          </w:p>
        </w:tc>
        <w:tc>
          <w:tcPr>
            <w:tcW w:w="1843" w:type="dxa"/>
            <w:vAlign w:val="center"/>
            <w:hideMark/>
          </w:tcPr>
          <w:p w14:paraId="7967FFFD" w14:textId="77777777" w:rsidR="002E4D4F" w:rsidRPr="004C2764" w:rsidRDefault="002E4D4F" w:rsidP="00453D45">
            <w:pPr>
              <w:spacing w:before="0"/>
              <w:contextualSpacing/>
              <w:mirrorIndents/>
              <w:jc w:val="right"/>
              <w:rPr>
                <w:sz w:val="16"/>
                <w:szCs w:val="16"/>
              </w:rPr>
            </w:pPr>
          </w:p>
        </w:tc>
        <w:tc>
          <w:tcPr>
            <w:tcW w:w="1427" w:type="dxa"/>
            <w:vAlign w:val="center"/>
            <w:hideMark/>
          </w:tcPr>
          <w:p w14:paraId="25D4743D" w14:textId="77777777" w:rsidR="002E4D4F" w:rsidRPr="004C2764" w:rsidRDefault="002E4D4F" w:rsidP="00453D45">
            <w:pPr>
              <w:spacing w:before="0"/>
              <w:contextualSpacing/>
              <w:mirrorIndents/>
              <w:jc w:val="right"/>
              <w:rPr>
                <w:sz w:val="16"/>
                <w:szCs w:val="16"/>
              </w:rPr>
            </w:pPr>
          </w:p>
        </w:tc>
      </w:tr>
      <w:tr w:rsidR="002E4D4F" w:rsidRPr="004C2764" w14:paraId="637BF748" w14:textId="77777777" w:rsidTr="003245A7">
        <w:trPr>
          <w:trHeight w:val="237"/>
          <w:tblCellSpacing w:w="0" w:type="dxa"/>
        </w:trPr>
        <w:tc>
          <w:tcPr>
            <w:tcW w:w="5842" w:type="dxa"/>
            <w:shd w:val="clear" w:color="auto" w:fill="F0F0F0"/>
            <w:vAlign w:val="center"/>
            <w:hideMark/>
          </w:tcPr>
          <w:p w14:paraId="4C3A4DD0" w14:textId="77777777" w:rsidR="002E4D4F" w:rsidRPr="004C2764" w:rsidRDefault="002E4D4F" w:rsidP="00453D45">
            <w:pPr>
              <w:spacing w:before="0"/>
              <w:contextualSpacing/>
              <w:mirrorIndents/>
              <w:jc w:val="left"/>
              <w:rPr>
                <w:sz w:val="16"/>
                <w:szCs w:val="16"/>
              </w:rPr>
            </w:pPr>
            <w:r w:rsidRPr="004C2764">
              <w:rPr>
                <w:sz w:val="16"/>
                <w:szCs w:val="16"/>
              </w:rPr>
              <w:t>1. Grundstücke, grundstücksgleiche Rechte und Bauten einschließlich der Bauten auf fremden Grundstücken</w:t>
            </w:r>
          </w:p>
        </w:tc>
        <w:tc>
          <w:tcPr>
            <w:tcW w:w="1843" w:type="dxa"/>
            <w:shd w:val="clear" w:color="auto" w:fill="F0F0F0"/>
            <w:vAlign w:val="center"/>
            <w:hideMark/>
          </w:tcPr>
          <w:p w14:paraId="73C80BBC" w14:textId="77777777" w:rsidR="002E4D4F" w:rsidRPr="004C2764" w:rsidRDefault="002E4D4F" w:rsidP="0043227C">
            <w:pPr>
              <w:spacing w:before="0"/>
              <w:contextualSpacing/>
              <w:mirrorIndents/>
              <w:jc w:val="right"/>
              <w:rPr>
                <w:sz w:val="16"/>
                <w:szCs w:val="16"/>
              </w:rPr>
            </w:pPr>
            <w:r w:rsidRPr="004C2764">
              <w:rPr>
                <w:sz w:val="16"/>
                <w:szCs w:val="16"/>
              </w:rPr>
              <w:t>36.660,00</w:t>
            </w:r>
          </w:p>
        </w:tc>
        <w:tc>
          <w:tcPr>
            <w:tcW w:w="1427" w:type="dxa"/>
            <w:shd w:val="clear" w:color="auto" w:fill="F0F0F0"/>
            <w:vAlign w:val="center"/>
            <w:hideMark/>
          </w:tcPr>
          <w:p w14:paraId="5C773012" w14:textId="77777777" w:rsidR="002E4D4F" w:rsidRPr="004C2764" w:rsidRDefault="002E4D4F" w:rsidP="0043227C">
            <w:pPr>
              <w:spacing w:before="0"/>
              <w:contextualSpacing/>
              <w:mirrorIndents/>
              <w:jc w:val="right"/>
              <w:rPr>
                <w:sz w:val="16"/>
                <w:szCs w:val="16"/>
              </w:rPr>
            </w:pPr>
            <w:r w:rsidRPr="004C2764">
              <w:rPr>
                <w:sz w:val="16"/>
                <w:szCs w:val="16"/>
              </w:rPr>
              <w:t>41.053,00</w:t>
            </w:r>
          </w:p>
        </w:tc>
      </w:tr>
      <w:tr w:rsidR="002E4D4F" w:rsidRPr="004C2764" w14:paraId="4CFF2BCC" w14:textId="77777777" w:rsidTr="003245A7">
        <w:trPr>
          <w:trHeight w:val="225"/>
          <w:tblCellSpacing w:w="0" w:type="dxa"/>
        </w:trPr>
        <w:tc>
          <w:tcPr>
            <w:tcW w:w="5842" w:type="dxa"/>
            <w:vAlign w:val="center"/>
            <w:hideMark/>
          </w:tcPr>
          <w:p w14:paraId="25CA6FB5" w14:textId="77777777" w:rsidR="002E4D4F" w:rsidRPr="004C2764" w:rsidRDefault="002E4D4F" w:rsidP="00453D45">
            <w:pPr>
              <w:spacing w:before="0"/>
              <w:contextualSpacing/>
              <w:mirrorIndents/>
              <w:jc w:val="left"/>
              <w:rPr>
                <w:sz w:val="16"/>
                <w:szCs w:val="16"/>
              </w:rPr>
            </w:pPr>
            <w:r w:rsidRPr="004C2764">
              <w:rPr>
                <w:sz w:val="16"/>
                <w:szCs w:val="16"/>
              </w:rPr>
              <w:lastRenderedPageBreak/>
              <w:t>2. technische Anlagen und Maschinen</w:t>
            </w:r>
          </w:p>
        </w:tc>
        <w:tc>
          <w:tcPr>
            <w:tcW w:w="1843" w:type="dxa"/>
            <w:vAlign w:val="center"/>
            <w:hideMark/>
          </w:tcPr>
          <w:p w14:paraId="622C3178" w14:textId="77777777" w:rsidR="002E4D4F" w:rsidRPr="004C2764" w:rsidRDefault="002E4D4F" w:rsidP="00AE724A">
            <w:pPr>
              <w:spacing w:before="0"/>
              <w:contextualSpacing/>
              <w:mirrorIndents/>
              <w:jc w:val="right"/>
              <w:rPr>
                <w:sz w:val="16"/>
                <w:szCs w:val="16"/>
              </w:rPr>
            </w:pPr>
            <w:r w:rsidRPr="004C2764">
              <w:rPr>
                <w:sz w:val="16"/>
                <w:szCs w:val="16"/>
              </w:rPr>
              <w:t>11.570.460,00</w:t>
            </w:r>
          </w:p>
        </w:tc>
        <w:tc>
          <w:tcPr>
            <w:tcW w:w="1427" w:type="dxa"/>
            <w:vAlign w:val="center"/>
            <w:hideMark/>
          </w:tcPr>
          <w:p w14:paraId="5472A3B5" w14:textId="77777777" w:rsidR="002E4D4F" w:rsidRPr="004C2764" w:rsidRDefault="002E4D4F" w:rsidP="00AE724A">
            <w:pPr>
              <w:spacing w:before="0"/>
              <w:contextualSpacing/>
              <w:mirrorIndents/>
              <w:jc w:val="right"/>
              <w:rPr>
                <w:sz w:val="16"/>
                <w:szCs w:val="16"/>
              </w:rPr>
            </w:pPr>
            <w:r w:rsidRPr="004C2764">
              <w:rPr>
                <w:sz w:val="16"/>
                <w:szCs w:val="16"/>
              </w:rPr>
              <w:t>9.910.384,00</w:t>
            </w:r>
          </w:p>
        </w:tc>
      </w:tr>
      <w:tr w:rsidR="002E4D4F" w:rsidRPr="004C2764" w14:paraId="20052B0C" w14:textId="77777777" w:rsidTr="003245A7">
        <w:trPr>
          <w:trHeight w:val="237"/>
          <w:tblCellSpacing w:w="0" w:type="dxa"/>
        </w:trPr>
        <w:tc>
          <w:tcPr>
            <w:tcW w:w="5842" w:type="dxa"/>
            <w:shd w:val="clear" w:color="auto" w:fill="F0F0F0"/>
            <w:vAlign w:val="center"/>
            <w:hideMark/>
          </w:tcPr>
          <w:p w14:paraId="7440112A" w14:textId="77777777" w:rsidR="002E4D4F" w:rsidRPr="004C2764" w:rsidRDefault="002E4D4F" w:rsidP="00453D45">
            <w:pPr>
              <w:spacing w:before="0"/>
              <w:contextualSpacing/>
              <w:mirrorIndents/>
              <w:jc w:val="left"/>
              <w:rPr>
                <w:sz w:val="16"/>
                <w:szCs w:val="16"/>
              </w:rPr>
            </w:pPr>
            <w:r w:rsidRPr="004C2764">
              <w:rPr>
                <w:sz w:val="16"/>
                <w:szCs w:val="16"/>
              </w:rPr>
              <w:t>3. andere Anlagen, Betriebs- und Geschäftsausstattung</w:t>
            </w:r>
          </w:p>
        </w:tc>
        <w:tc>
          <w:tcPr>
            <w:tcW w:w="1843" w:type="dxa"/>
            <w:shd w:val="clear" w:color="auto" w:fill="F0F0F0"/>
            <w:vAlign w:val="center"/>
            <w:hideMark/>
          </w:tcPr>
          <w:p w14:paraId="58DF7337" w14:textId="77777777" w:rsidR="002E4D4F" w:rsidRPr="004C2764" w:rsidRDefault="002E4D4F" w:rsidP="00AE724A">
            <w:pPr>
              <w:spacing w:before="0"/>
              <w:contextualSpacing/>
              <w:mirrorIndents/>
              <w:jc w:val="right"/>
              <w:rPr>
                <w:sz w:val="16"/>
                <w:szCs w:val="16"/>
              </w:rPr>
            </w:pPr>
            <w:r w:rsidRPr="004C2764">
              <w:rPr>
                <w:sz w:val="16"/>
                <w:szCs w:val="16"/>
              </w:rPr>
              <w:t>2.174.989,00</w:t>
            </w:r>
          </w:p>
        </w:tc>
        <w:tc>
          <w:tcPr>
            <w:tcW w:w="1427" w:type="dxa"/>
            <w:shd w:val="clear" w:color="auto" w:fill="F0F0F0"/>
            <w:vAlign w:val="center"/>
            <w:hideMark/>
          </w:tcPr>
          <w:p w14:paraId="0F53E1AC" w14:textId="77777777" w:rsidR="002E4D4F" w:rsidRPr="004C2764" w:rsidRDefault="002E4D4F" w:rsidP="00AE724A">
            <w:pPr>
              <w:spacing w:before="0"/>
              <w:contextualSpacing/>
              <w:mirrorIndents/>
              <w:jc w:val="right"/>
              <w:rPr>
                <w:sz w:val="16"/>
                <w:szCs w:val="16"/>
              </w:rPr>
            </w:pPr>
            <w:r w:rsidRPr="004C2764">
              <w:rPr>
                <w:sz w:val="16"/>
                <w:szCs w:val="16"/>
              </w:rPr>
              <w:t>2.359.711,00</w:t>
            </w:r>
          </w:p>
        </w:tc>
      </w:tr>
      <w:tr w:rsidR="002E4D4F" w:rsidRPr="004C2764" w14:paraId="298D6F5E" w14:textId="77777777" w:rsidTr="003245A7">
        <w:trPr>
          <w:trHeight w:val="225"/>
          <w:tblCellSpacing w:w="0" w:type="dxa"/>
        </w:trPr>
        <w:tc>
          <w:tcPr>
            <w:tcW w:w="5842" w:type="dxa"/>
            <w:vAlign w:val="center"/>
            <w:hideMark/>
          </w:tcPr>
          <w:p w14:paraId="0151419B" w14:textId="77777777" w:rsidR="002E4D4F" w:rsidRPr="004C2764" w:rsidRDefault="002E4D4F" w:rsidP="00453D45">
            <w:pPr>
              <w:spacing w:before="0"/>
              <w:contextualSpacing/>
              <w:mirrorIndents/>
              <w:jc w:val="left"/>
              <w:rPr>
                <w:sz w:val="16"/>
                <w:szCs w:val="16"/>
              </w:rPr>
            </w:pPr>
            <w:r w:rsidRPr="004C2764">
              <w:rPr>
                <w:sz w:val="16"/>
                <w:szCs w:val="16"/>
              </w:rPr>
              <w:t>4. geleistete Anzahlungen und Anlagen im Bau</w:t>
            </w:r>
          </w:p>
        </w:tc>
        <w:tc>
          <w:tcPr>
            <w:tcW w:w="1843" w:type="dxa"/>
            <w:vAlign w:val="center"/>
            <w:hideMark/>
          </w:tcPr>
          <w:p w14:paraId="254E8D69" w14:textId="77777777" w:rsidR="002E4D4F" w:rsidRPr="004C2764" w:rsidRDefault="002E4D4F" w:rsidP="00AE724A">
            <w:pPr>
              <w:spacing w:before="0"/>
              <w:contextualSpacing/>
              <w:mirrorIndents/>
              <w:jc w:val="right"/>
              <w:rPr>
                <w:sz w:val="16"/>
                <w:szCs w:val="16"/>
              </w:rPr>
            </w:pPr>
            <w:r w:rsidRPr="004C2764">
              <w:rPr>
                <w:sz w:val="16"/>
                <w:szCs w:val="16"/>
              </w:rPr>
              <w:t>1.432.316,82</w:t>
            </w:r>
          </w:p>
        </w:tc>
        <w:tc>
          <w:tcPr>
            <w:tcW w:w="1427" w:type="dxa"/>
            <w:vAlign w:val="center"/>
            <w:hideMark/>
          </w:tcPr>
          <w:p w14:paraId="5193AE2A" w14:textId="77777777" w:rsidR="002E4D4F" w:rsidRPr="004C2764" w:rsidRDefault="002E4D4F" w:rsidP="00AE724A">
            <w:pPr>
              <w:spacing w:before="0"/>
              <w:contextualSpacing/>
              <w:mirrorIndents/>
              <w:jc w:val="right"/>
              <w:rPr>
                <w:sz w:val="16"/>
                <w:szCs w:val="16"/>
              </w:rPr>
            </w:pPr>
            <w:r w:rsidRPr="004C2764">
              <w:rPr>
                <w:sz w:val="16"/>
                <w:szCs w:val="16"/>
              </w:rPr>
              <w:t>279.442,94</w:t>
            </w:r>
          </w:p>
        </w:tc>
      </w:tr>
      <w:tr w:rsidR="002E4D4F" w:rsidRPr="004C2764" w14:paraId="73502651" w14:textId="77777777" w:rsidTr="003245A7">
        <w:trPr>
          <w:trHeight w:val="237"/>
          <w:tblCellSpacing w:w="0" w:type="dxa"/>
        </w:trPr>
        <w:tc>
          <w:tcPr>
            <w:tcW w:w="5842" w:type="dxa"/>
            <w:shd w:val="clear" w:color="auto" w:fill="F0F0F0"/>
            <w:vAlign w:val="center"/>
            <w:hideMark/>
          </w:tcPr>
          <w:p w14:paraId="31F62CBC" w14:textId="77777777" w:rsidR="002E4D4F" w:rsidRPr="004C2764" w:rsidRDefault="002E4D4F" w:rsidP="00453D45">
            <w:pPr>
              <w:spacing w:before="0"/>
              <w:contextualSpacing/>
              <w:mirrorIndents/>
              <w:jc w:val="left"/>
              <w:rPr>
                <w:sz w:val="16"/>
                <w:szCs w:val="16"/>
              </w:rPr>
            </w:pPr>
          </w:p>
        </w:tc>
        <w:tc>
          <w:tcPr>
            <w:tcW w:w="1843" w:type="dxa"/>
            <w:shd w:val="clear" w:color="auto" w:fill="F0F0F0"/>
            <w:vAlign w:val="center"/>
            <w:hideMark/>
          </w:tcPr>
          <w:p w14:paraId="4C1EFBFE" w14:textId="77777777" w:rsidR="002E4D4F" w:rsidRPr="004C2764" w:rsidRDefault="002E4D4F" w:rsidP="00AE724A">
            <w:pPr>
              <w:spacing w:before="0"/>
              <w:contextualSpacing/>
              <w:mirrorIndents/>
              <w:jc w:val="right"/>
              <w:rPr>
                <w:sz w:val="16"/>
                <w:szCs w:val="16"/>
              </w:rPr>
            </w:pPr>
            <w:r w:rsidRPr="004C2764">
              <w:rPr>
                <w:sz w:val="16"/>
                <w:szCs w:val="16"/>
              </w:rPr>
              <w:t>15.214.425,82</w:t>
            </w:r>
          </w:p>
        </w:tc>
        <w:tc>
          <w:tcPr>
            <w:tcW w:w="1427" w:type="dxa"/>
            <w:shd w:val="clear" w:color="auto" w:fill="F0F0F0"/>
            <w:vAlign w:val="center"/>
            <w:hideMark/>
          </w:tcPr>
          <w:p w14:paraId="5BB614FD" w14:textId="77777777" w:rsidR="002E4D4F" w:rsidRPr="004C2764" w:rsidRDefault="002E4D4F" w:rsidP="00AE724A">
            <w:pPr>
              <w:spacing w:before="0"/>
              <w:contextualSpacing/>
              <w:mirrorIndents/>
              <w:jc w:val="right"/>
              <w:rPr>
                <w:sz w:val="16"/>
                <w:szCs w:val="16"/>
              </w:rPr>
            </w:pPr>
            <w:r w:rsidRPr="004C2764">
              <w:rPr>
                <w:sz w:val="16"/>
                <w:szCs w:val="16"/>
              </w:rPr>
              <w:t>12.590.590,94</w:t>
            </w:r>
          </w:p>
        </w:tc>
      </w:tr>
      <w:tr w:rsidR="002E4D4F" w:rsidRPr="004C2764" w14:paraId="3CACF4C8" w14:textId="77777777" w:rsidTr="003245A7">
        <w:trPr>
          <w:trHeight w:val="225"/>
          <w:tblCellSpacing w:w="0" w:type="dxa"/>
        </w:trPr>
        <w:tc>
          <w:tcPr>
            <w:tcW w:w="5842" w:type="dxa"/>
            <w:vAlign w:val="center"/>
            <w:hideMark/>
          </w:tcPr>
          <w:p w14:paraId="64DAEDA8" w14:textId="77777777" w:rsidR="002E4D4F" w:rsidRPr="004C2764" w:rsidRDefault="002E4D4F" w:rsidP="00453D45">
            <w:pPr>
              <w:spacing w:before="0"/>
              <w:contextualSpacing/>
              <w:mirrorIndents/>
              <w:jc w:val="left"/>
              <w:rPr>
                <w:sz w:val="16"/>
                <w:szCs w:val="16"/>
              </w:rPr>
            </w:pPr>
            <w:r w:rsidRPr="004C2764">
              <w:rPr>
                <w:sz w:val="16"/>
                <w:szCs w:val="16"/>
              </w:rPr>
              <w:t>III. Finanzanlagen</w:t>
            </w:r>
          </w:p>
        </w:tc>
        <w:tc>
          <w:tcPr>
            <w:tcW w:w="1843" w:type="dxa"/>
            <w:vAlign w:val="center"/>
            <w:hideMark/>
          </w:tcPr>
          <w:p w14:paraId="3DDC262A" w14:textId="77777777" w:rsidR="002E4D4F" w:rsidRPr="004C2764" w:rsidRDefault="002E4D4F" w:rsidP="00AE724A">
            <w:pPr>
              <w:spacing w:before="0"/>
              <w:contextualSpacing/>
              <w:mirrorIndents/>
              <w:jc w:val="right"/>
              <w:rPr>
                <w:sz w:val="16"/>
                <w:szCs w:val="16"/>
              </w:rPr>
            </w:pPr>
          </w:p>
        </w:tc>
        <w:tc>
          <w:tcPr>
            <w:tcW w:w="1427" w:type="dxa"/>
            <w:vAlign w:val="center"/>
            <w:hideMark/>
          </w:tcPr>
          <w:p w14:paraId="41B0F4D2" w14:textId="77777777" w:rsidR="002E4D4F" w:rsidRPr="004C2764" w:rsidRDefault="002E4D4F" w:rsidP="00AE724A">
            <w:pPr>
              <w:spacing w:before="0"/>
              <w:contextualSpacing/>
              <w:mirrorIndents/>
              <w:jc w:val="right"/>
              <w:rPr>
                <w:sz w:val="16"/>
                <w:szCs w:val="16"/>
              </w:rPr>
            </w:pPr>
          </w:p>
        </w:tc>
      </w:tr>
      <w:tr w:rsidR="002E4D4F" w:rsidRPr="004C2764" w14:paraId="35E16200" w14:textId="77777777" w:rsidTr="003245A7">
        <w:trPr>
          <w:trHeight w:val="237"/>
          <w:tblCellSpacing w:w="0" w:type="dxa"/>
        </w:trPr>
        <w:tc>
          <w:tcPr>
            <w:tcW w:w="5842" w:type="dxa"/>
            <w:shd w:val="clear" w:color="auto" w:fill="F0F0F0"/>
            <w:vAlign w:val="center"/>
            <w:hideMark/>
          </w:tcPr>
          <w:p w14:paraId="523763FD" w14:textId="77777777" w:rsidR="002E4D4F" w:rsidRPr="004C2764" w:rsidRDefault="002E4D4F" w:rsidP="00453D45">
            <w:pPr>
              <w:spacing w:before="0"/>
              <w:contextualSpacing/>
              <w:mirrorIndents/>
              <w:jc w:val="left"/>
              <w:rPr>
                <w:sz w:val="16"/>
                <w:szCs w:val="16"/>
              </w:rPr>
            </w:pPr>
            <w:r w:rsidRPr="004C2764">
              <w:rPr>
                <w:sz w:val="16"/>
                <w:szCs w:val="16"/>
              </w:rPr>
              <w:t>Anteile an verbundenen Unternehmen</w:t>
            </w:r>
          </w:p>
        </w:tc>
        <w:tc>
          <w:tcPr>
            <w:tcW w:w="1843" w:type="dxa"/>
            <w:shd w:val="clear" w:color="auto" w:fill="F0F0F0"/>
            <w:vAlign w:val="center"/>
            <w:hideMark/>
          </w:tcPr>
          <w:p w14:paraId="3203B7C1" w14:textId="77777777" w:rsidR="002E4D4F" w:rsidRPr="004C2764" w:rsidRDefault="002E4D4F" w:rsidP="00AE724A">
            <w:pPr>
              <w:spacing w:before="0"/>
              <w:contextualSpacing/>
              <w:mirrorIndents/>
              <w:jc w:val="right"/>
              <w:rPr>
                <w:sz w:val="16"/>
                <w:szCs w:val="16"/>
              </w:rPr>
            </w:pPr>
            <w:r w:rsidRPr="004C2764">
              <w:rPr>
                <w:sz w:val="16"/>
                <w:szCs w:val="16"/>
              </w:rPr>
              <w:t>11.911.416,85</w:t>
            </w:r>
          </w:p>
        </w:tc>
        <w:tc>
          <w:tcPr>
            <w:tcW w:w="1427" w:type="dxa"/>
            <w:shd w:val="clear" w:color="auto" w:fill="F0F0F0"/>
            <w:vAlign w:val="center"/>
            <w:hideMark/>
          </w:tcPr>
          <w:p w14:paraId="53AD2E98" w14:textId="77777777" w:rsidR="002E4D4F" w:rsidRPr="004C2764" w:rsidRDefault="002E4D4F" w:rsidP="00AE724A">
            <w:pPr>
              <w:spacing w:before="0"/>
              <w:contextualSpacing/>
              <w:mirrorIndents/>
              <w:jc w:val="right"/>
              <w:rPr>
                <w:sz w:val="16"/>
                <w:szCs w:val="16"/>
              </w:rPr>
            </w:pPr>
            <w:r w:rsidRPr="004C2764">
              <w:rPr>
                <w:sz w:val="16"/>
                <w:szCs w:val="16"/>
              </w:rPr>
              <w:t>11.911.416,85</w:t>
            </w:r>
          </w:p>
        </w:tc>
      </w:tr>
      <w:tr w:rsidR="002E4D4F" w:rsidRPr="004C2764" w14:paraId="606E3ED1" w14:textId="77777777" w:rsidTr="003245A7">
        <w:trPr>
          <w:trHeight w:val="225"/>
          <w:tblCellSpacing w:w="0" w:type="dxa"/>
        </w:trPr>
        <w:tc>
          <w:tcPr>
            <w:tcW w:w="5842" w:type="dxa"/>
            <w:vAlign w:val="center"/>
            <w:hideMark/>
          </w:tcPr>
          <w:p w14:paraId="2279593E" w14:textId="77777777" w:rsidR="002E4D4F" w:rsidRPr="004C2764" w:rsidRDefault="002E4D4F" w:rsidP="00484323">
            <w:pPr>
              <w:spacing w:before="0"/>
              <w:contextualSpacing/>
              <w:mirrorIndents/>
              <w:rPr>
                <w:sz w:val="16"/>
                <w:szCs w:val="16"/>
              </w:rPr>
            </w:pPr>
          </w:p>
        </w:tc>
        <w:tc>
          <w:tcPr>
            <w:tcW w:w="1843" w:type="dxa"/>
            <w:vAlign w:val="center"/>
            <w:hideMark/>
          </w:tcPr>
          <w:p w14:paraId="24615EB1" w14:textId="77777777" w:rsidR="002E4D4F" w:rsidRPr="004C2764" w:rsidRDefault="002E4D4F" w:rsidP="00AE724A">
            <w:pPr>
              <w:spacing w:before="0"/>
              <w:contextualSpacing/>
              <w:mirrorIndents/>
              <w:jc w:val="right"/>
              <w:rPr>
                <w:sz w:val="16"/>
                <w:szCs w:val="16"/>
              </w:rPr>
            </w:pPr>
            <w:r w:rsidRPr="004C2764">
              <w:rPr>
                <w:sz w:val="16"/>
                <w:szCs w:val="16"/>
              </w:rPr>
              <w:t>27.205.644,67</w:t>
            </w:r>
          </w:p>
        </w:tc>
        <w:tc>
          <w:tcPr>
            <w:tcW w:w="1427" w:type="dxa"/>
            <w:vAlign w:val="center"/>
            <w:hideMark/>
          </w:tcPr>
          <w:p w14:paraId="467A647F" w14:textId="77777777" w:rsidR="002E4D4F" w:rsidRPr="004C2764" w:rsidRDefault="002E4D4F" w:rsidP="00AE724A">
            <w:pPr>
              <w:spacing w:before="0"/>
              <w:contextualSpacing/>
              <w:mirrorIndents/>
              <w:jc w:val="right"/>
              <w:rPr>
                <w:sz w:val="16"/>
                <w:szCs w:val="16"/>
              </w:rPr>
            </w:pPr>
            <w:r w:rsidRPr="004C2764">
              <w:rPr>
                <w:sz w:val="16"/>
                <w:szCs w:val="16"/>
              </w:rPr>
              <w:t>24.546.140,79</w:t>
            </w:r>
          </w:p>
        </w:tc>
      </w:tr>
    </w:tbl>
    <w:p w14:paraId="0A1C5281" w14:textId="77777777" w:rsidR="00453D45" w:rsidRDefault="00453D45" w:rsidP="00484323">
      <w:pPr>
        <w:spacing w:before="0"/>
        <w:contextualSpacing/>
        <w:mirrorIndents/>
        <w:outlineLvl w:val="2"/>
        <w:rPr>
          <w:b/>
          <w:bCs/>
          <w:sz w:val="18"/>
          <w:szCs w:val="18"/>
        </w:rPr>
      </w:pPr>
    </w:p>
    <w:p w14:paraId="6036D805" w14:textId="77777777" w:rsidR="0043227C" w:rsidRPr="0087518D" w:rsidRDefault="0043227C" w:rsidP="00453D45">
      <w:pPr>
        <w:spacing w:before="0"/>
        <w:contextualSpacing/>
        <w:mirrorIndents/>
        <w:jc w:val="center"/>
        <w:outlineLvl w:val="2"/>
        <w:rPr>
          <w:b/>
          <w:bCs/>
          <w:sz w:val="10"/>
          <w:szCs w:val="18"/>
        </w:rPr>
      </w:pPr>
    </w:p>
    <w:p w14:paraId="006CBA3C" w14:textId="381A3382" w:rsidR="002E4D4F" w:rsidRPr="0087518D" w:rsidRDefault="002E4D4F" w:rsidP="00453D45">
      <w:pPr>
        <w:spacing w:before="0"/>
        <w:contextualSpacing/>
        <w:mirrorIndents/>
        <w:jc w:val="center"/>
        <w:outlineLvl w:val="2"/>
        <w:rPr>
          <w:bCs/>
          <w:sz w:val="20"/>
          <w:szCs w:val="18"/>
        </w:rPr>
      </w:pPr>
      <w:r w:rsidRPr="0087518D">
        <w:rPr>
          <w:bCs/>
          <w:sz w:val="20"/>
          <w:szCs w:val="18"/>
        </w:rPr>
        <w:t>Bestätigungsvermerk des unabhängigen Abschlussprüfers</w:t>
      </w:r>
    </w:p>
    <w:p w14:paraId="3F8A9011" w14:textId="77777777" w:rsidR="00453D45" w:rsidRPr="0087518D" w:rsidRDefault="00453D45" w:rsidP="00453D45">
      <w:pPr>
        <w:spacing w:before="0"/>
        <w:contextualSpacing/>
        <w:mirrorIndents/>
        <w:jc w:val="center"/>
        <w:outlineLvl w:val="2"/>
        <w:rPr>
          <w:b/>
          <w:bCs/>
          <w:sz w:val="12"/>
          <w:szCs w:val="18"/>
        </w:rPr>
      </w:pPr>
    </w:p>
    <w:p w14:paraId="66314F42" w14:textId="41C5C467" w:rsidR="002E4D4F" w:rsidRDefault="002E4D4F" w:rsidP="00484323">
      <w:pPr>
        <w:spacing w:before="0"/>
        <w:contextualSpacing/>
        <w:mirrorIndents/>
        <w:rPr>
          <w:sz w:val="18"/>
          <w:szCs w:val="18"/>
        </w:rPr>
      </w:pPr>
      <w:r w:rsidRPr="00CD2E4B">
        <w:rPr>
          <w:sz w:val="18"/>
          <w:szCs w:val="18"/>
        </w:rPr>
        <w:t>An die EUROVIA Verkehrsbau GmbH (vormals: EUROVIA Verkehrsbau Union GmbH), Berlin</w:t>
      </w:r>
    </w:p>
    <w:p w14:paraId="5B0C704B" w14:textId="77777777" w:rsidR="00453D45" w:rsidRPr="0087518D" w:rsidRDefault="00453D45" w:rsidP="00484323">
      <w:pPr>
        <w:spacing w:before="0"/>
        <w:contextualSpacing/>
        <w:mirrorIndents/>
        <w:rPr>
          <w:sz w:val="12"/>
          <w:szCs w:val="18"/>
        </w:rPr>
      </w:pPr>
    </w:p>
    <w:p w14:paraId="0CBA916A" w14:textId="073CD507" w:rsidR="002E4D4F" w:rsidRDefault="002E4D4F" w:rsidP="00484323">
      <w:pPr>
        <w:spacing w:before="0"/>
        <w:contextualSpacing/>
        <w:mirrorIndents/>
        <w:rPr>
          <w:sz w:val="18"/>
          <w:szCs w:val="18"/>
        </w:rPr>
      </w:pPr>
      <w:r w:rsidRPr="00CD2E4B">
        <w:rPr>
          <w:b/>
          <w:bCs/>
          <w:sz w:val="18"/>
          <w:szCs w:val="18"/>
        </w:rPr>
        <w:t>Prüfungsurteile</w:t>
      </w:r>
      <w:r w:rsidRPr="00CD2E4B">
        <w:rPr>
          <w:sz w:val="18"/>
          <w:szCs w:val="18"/>
        </w:rPr>
        <w:t xml:space="preserve"> </w:t>
      </w:r>
    </w:p>
    <w:p w14:paraId="43C5109C" w14:textId="77777777" w:rsidR="00453D45" w:rsidRPr="0087518D" w:rsidRDefault="00453D45" w:rsidP="00484323">
      <w:pPr>
        <w:spacing w:before="0"/>
        <w:contextualSpacing/>
        <w:mirrorIndents/>
        <w:rPr>
          <w:sz w:val="10"/>
          <w:szCs w:val="18"/>
        </w:rPr>
      </w:pPr>
    </w:p>
    <w:p w14:paraId="6C6946CD" w14:textId="7A1B0ACF" w:rsidR="002E4D4F" w:rsidRDefault="002E4D4F" w:rsidP="00484323">
      <w:pPr>
        <w:spacing w:before="0"/>
        <w:contextualSpacing/>
        <w:mirrorIndents/>
        <w:rPr>
          <w:sz w:val="18"/>
          <w:szCs w:val="18"/>
        </w:rPr>
      </w:pPr>
      <w:r w:rsidRPr="00CD2E4B">
        <w:rPr>
          <w:sz w:val="18"/>
          <w:szCs w:val="18"/>
        </w:rPr>
        <w:t>Wir haben den Jahresabschluss der EUROVIA Verkehrsbau GmbH (vormals: EUROVIA Verkehrsbau Union GmbH), Berlin, - bestehend aus der Bilanz zum 31. Dezember 2022 und der Gewinn- und Verlustrechnung für das Geschäftsjahr vom 1. Januar bis zum 31. Dezember 2022 sowie dem Anhang, einschließlich der Darstellung der Bilanzierungs- und Bewertungsmethoden - geprüft. Darüber hinaus haben wir den Lagebericht der EUROVIA Verkehrsbau GmbH, Berlin, für das Geschäftsjahr vom 1. Januar bis zum 31. Dezember 2022 geprüft. Die im Abschnitt VI. des Lageberichts enthaltene Erklärung zur Unternehmensführung nach § 289f Abs. 4 HGB (Angaben zur Frauenquote) haben wir in Einklang mit den deutschen gesetzlichen Vorschriften nicht inhaltlich geprüft.</w:t>
      </w:r>
    </w:p>
    <w:p w14:paraId="7A7A94BE" w14:textId="77777777" w:rsidR="00453D45" w:rsidRPr="00CD2E4B" w:rsidRDefault="00453D45" w:rsidP="00484323">
      <w:pPr>
        <w:spacing w:before="0"/>
        <w:contextualSpacing/>
        <w:mirrorIndents/>
        <w:rPr>
          <w:sz w:val="18"/>
          <w:szCs w:val="18"/>
        </w:rPr>
      </w:pPr>
    </w:p>
    <w:p w14:paraId="1DCE28A0" w14:textId="4BA92C71" w:rsidR="002E4D4F" w:rsidRDefault="002E4D4F" w:rsidP="00484323">
      <w:pPr>
        <w:spacing w:before="0"/>
        <w:contextualSpacing/>
        <w:mirrorIndents/>
        <w:rPr>
          <w:sz w:val="18"/>
          <w:szCs w:val="18"/>
        </w:rPr>
      </w:pPr>
      <w:r w:rsidRPr="00CD2E4B">
        <w:rPr>
          <w:sz w:val="18"/>
          <w:szCs w:val="18"/>
        </w:rPr>
        <w:t>Nach unserer Beurteilung aufgrund der bei der Prüfung gewonnenen Erkenntnisse</w:t>
      </w:r>
    </w:p>
    <w:p w14:paraId="341AC8CA" w14:textId="77777777" w:rsidR="00453D45" w:rsidRPr="0087518D" w:rsidRDefault="00453D45" w:rsidP="00484323">
      <w:pPr>
        <w:spacing w:before="0"/>
        <w:contextualSpacing/>
        <w:mirrorIndents/>
        <w:rPr>
          <w:sz w:val="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
        <w:gridCol w:w="8977"/>
      </w:tblGrid>
      <w:tr w:rsidR="002E4D4F" w:rsidRPr="00CD2E4B" w14:paraId="3A08B424" w14:textId="77777777" w:rsidTr="0087518D">
        <w:trPr>
          <w:tblCellSpacing w:w="15" w:type="dxa"/>
        </w:trPr>
        <w:tc>
          <w:tcPr>
            <w:tcW w:w="0" w:type="auto"/>
            <w:hideMark/>
          </w:tcPr>
          <w:p w14:paraId="08F9493C" w14:textId="77777777" w:rsidR="002E4D4F" w:rsidRPr="00CD2E4B" w:rsidRDefault="002E4D4F" w:rsidP="0087518D">
            <w:pPr>
              <w:spacing w:before="0"/>
              <w:contextualSpacing/>
              <w:mirrorIndents/>
              <w:jc w:val="left"/>
              <w:rPr>
                <w:sz w:val="18"/>
                <w:szCs w:val="18"/>
              </w:rPr>
            </w:pPr>
            <w:r w:rsidRPr="00CD2E4B">
              <w:rPr>
                <w:sz w:val="18"/>
                <w:szCs w:val="18"/>
              </w:rPr>
              <w:t>•</w:t>
            </w:r>
          </w:p>
        </w:tc>
        <w:tc>
          <w:tcPr>
            <w:tcW w:w="0" w:type="auto"/>
            <w:vAlign w:val="center"/>
            <w:hideMark/>
          </w:tcPr>
          <w:p w14:paraId="429EFA34" w14:textId="77777777" w:rsidR="002E4D4F" w:rsidRDefault="002E4D4F" w:rsidP="00484323">
            <w:pPr>
              <w:spacing w:before="0"/>
              <w:contextualSpacing/>
              <w:mirrorIndents/>
              <w:rPr>
                <w:sz w:val="18"/>
                <w:szCs w:val="18"/>
              </w:rPr>
            </w:pPr>
            <w:r w:rsidRPr="00CD2E4B">
              <w:rPr>
                <w:sz w:val="18"/>
                <w:szCs w:val="18"/>
              </w:rPr>
              <w:t>entspricht der beigefügte Jahresabschluss in allen wesentlichen Belangen den deutschen, für Kapitalgesellschaften geltenden handelsrechtlichen Vorschriften und vermittelt unter Beachtung der deutschen Grundsätze ordnungsmäßiger Buchführung ein den tatsächlichen Verhältnissen entsprechendes Bild der Vermögens- und Finanzlage der Gesellschaft zum 31. Dezember 2022 sowie ihrer Ertragslage für das Geschäftsjahr vom 1. Januar bis zum 31. Dezember 2022 und</w:t>
            </w:r>
          </w:p>
          <w:p w14:paraId="5E7B44BB" w14:textId="0295A9C7" w:rsidR="00453D45" w:rsidRPr="00CD2E4B" w:rsidRDefault="00453D45" w:rsidP="00484323">
            <w:pPr>
              <w:spacing w:before="0"/>
              <w:contextualSpacing/>
              <w:mirrorIndents/>
              <w:rPr>
                <w:sz w:val="18"/>
                <w:szCs w:val="18"/>
              </w:rPr>
            </w:pPr>
          </w:p>
        </w:tc>
      </w:tr>
      <w:tr w:rsidR="002E4D4F" w:rsidRPr="00CD2E4B" w14:paraId="50C42623" w14:textId="77777777" w:rsidTr="0087518D">
        <w:trPr>
          <w:tblCellSpacing w:w="15" w:type="dxa"/>
        </w:trPr>
        <w:tc>
          <w:tcPr>
            <w:tcW w:w="0" w:type="auto"/>
            <w:hideMark/>
          </w:tcPr>
          <w:p w14:paraId="7AF3ACBB" w14:textId="77777777" w:rsidR="002E4D4F" w:rsidRPr="00CD2E4B" w:rsidRDefault="002E4D4F" w:rsidP="0087518D">
            <w:pPr>
              <w:spacing w:before="0"/>
              <w:contextualSpacing/>
              <w:mirrorIndents/>
              <w:jc w:val="left"/>
              <w:rPr>
                <w:sz w:val="18"/>
                <w:szCs w:val="18"/>
              </w:rPr>
            </w:pPr>
            <w:r w:rsidRPr="00CD2E4B">
              <w:rPr>
                <w:sz w:val="18"/>
                <w:szCs w:val="18"/>
              </w:rPr>
              <w:t>•</w:t>
            </w:r>
          </w:p>
        </w:tc>
        <w:tc>
          <w:tcPr>
            <w:tcW w:w="0" w:type="auto"/>
            <w:vAlign w:val="center"/>
            <w:hideMark/>
          </w:tcPr>
          <w:p w14:paraId="36929F08" w14:textId="77777777" w:rsidR="002E4D4F" w:rsidRDefault="002E4D4F" w:rsidP="00484323">
            <w:pPr>
              <w:spacing w:before="0"/>
              <w:contextualSpacing/>
              <w:mirrorIndents/>
              <w:rPr>
                <w:sz w:val="18"/>
                <w:szCs w:val="18"/>
              </w:rPr>
            </w:pPr>
            <w:r w:rsidRPr="00CD2E4B">
              <w:rPr>
                <w:sz w:val="18"/>
                <w:szCs w:val="18"/>
              </w:rPr>
              <w:t>vermittelt der beigefügte Lagebericht insgesamt ein zutreffendes Bild von der Lage der Gesellschaft. In allen wesentlichen Belangen steht dieser Lagebericht in Einklang mit dem Jahresabschluss, entspricht den deutschen gesetzlichen Vorschriften und stellt die Chancen und Risiken der zukünftigen Entwicklung zutreffend dar. Unser Prüfungsurteil zum Lagebericht erstreckt sich nicht auf den Inhalt der oben genannten Erklärung zur Unternehmensführung nach § 289f Abs. 4 HGB.</w:t>
            </w:r>
          </w:p>
          <w:p w14:paraId="71367219" w14:textId="67F17E99" w:rsidR="00453D45" w:rsidRPr="00CD2E4B" w:rsidRDefault="00453D45" w:rsidP="00484323">
            <w:pPr>
              <w:spacing w:before="0"/>
              <w:contextualSpacing/>
              <w:mirrorIndents/>
              <w:rPr>
                <w:sz w:val="18"/>
                <w:szCs w:val="18"/>
              </w:rPr>
            </w:pPr>
          </w:p>
        </w:tc>
      </w:tr>
    </w:tbl>
    <w:p w14:paraId="1FF4ACDF" w14:textId="77777777" w:rsidR="0087518D" w:rsidRDefault="0087518D" w:rsidP="00484323">
      <w:pPr>
        <w:spacing w:before="0"/>
        <w:contextualSpacing/>
        <w:mirrorIndents/>
        <w:rPr>
          <w:sz w:val="18"/>
          <w:szCs w:val="18"/>
        </w:rPr>
      </w:pPr>
    </w:p>
    <w:p w14:paraId="0FF7ECB4" w14:textId="5E4BE09C" w:rsidR="002E4D4F" w:rsidRDefault="002E4D4F" w:rsidP="00484323">
      <w:pPr>
        <w:spacing w:before="0"/>
        <w:contextualSpacing/>
        <w:mirrorIndents/>
        <w:rPr>
          <w:sz w:val="18"/>
          <w:szCs w:val="18"/>
        </w:rPr>
      </w:pPr>
      <w:r w:rsidRPr="00CD2E4B">
        <w:rPr>
          <w:sz w:val="18"/>
          <w:szCs w:val="18"/>
        </w:rPr>
        <w:t>Gemäß § 322 Abs. 3 Satz 1 HGB erklären wir, dass unsere Prüfung zu keinen Einwendungen gegen die Ordnungsmäßigkeit des Jahresabschlusses und des Lageberichts geführt hat.</w:t>
      </w:r>
    </w:p>
    <w:p w14:paraId="3B8586FA" w14:textId="77777777" w:rsidR="00453D45" w:rsidRPr="00CD2E4B" w:rsidRDefault="00453D45" w:rsidP="00484323">
      <w:pPr>
        <w:spacing w:before="0"/>
        <w:contextualSpacing/>
        <w:mirrorIndents/>
        <w:rPr>
          <w:sz w:val="18"/>
          <w:szCs w:val="18"/>
        </w:rPr>
      </w:pPr>
    </w:p>
    <w:p w14:paraId="35405CA7" w14:textId="0C97FE5D" w:rsidR="002E4D4F" w:rsidRDefault="002E4D4F" w:rsidP="00484323">
      <w:pPr>
        <w:spacing w:before="0"/>
        <w:contextualSpacing/>
        <w:mirrorIndents/>
        <w:rPr>
          <w:sz w:val="18"/>
          <w:szCs w:val="18"/>
        </w:rPr>
      </w:pPr>
      <w:r w:rsidRPr="00CD2E4B">
        <w:rPr>
          <w:b/>
          <w:bCs/>
          <w:sz w:val="18"/>
          <w:szCs w:val="18"/>
        </w:rPr>
        <w:t>Grundlage für die Prüfungsurteile</w:t>
      </w:r>
      <w:r w:rsidRPr="00CD2E4B">
        <w:rPr>
          <w:sz w:val="18"/>
          <w:szCs w:val="18"/>
        </w:rPr>
        <w:t xml:space="preserve"> </w:t>
      </w:r>
    </w:p>
    <w:p w14:paraId="3E05EB96" w14:textId="77777777" w:rsidR="00453D45" w:rsidRPr="0087518D" w:rsidRDefault="00453D45" w:rsidP="00484323">
      <w:pPr>
        <w:spacing w:before="0"/>
        <w:contextualSpacing/>
        <w:mirrorIndents/>
        <w:rPr>
          <w:sz w:val="10"/>
          <w:szCs w:val="18"/>
        </w:rPr>
      </w:pPr>
    </w:p>
    <w:p w14:paraId="012F5368" w14:textId="03B7BED5" w:rsidR="002E4D4F" w:rsidRDefault="002E4D4F" w:rsidP="00484323">
      <w:pPr>
        <w:spacing w:before="0"/>
        <w:contextualSpacing/>
        <w:mirrorIndents/>
        <w:rPr>
          <w:sz w:val="18"/>
          <w:szCs w:val="18"/>
        </w:rPr>
      </w:pPr>
      <w:r w:rsidRPr="00CD2E4B">
        <w:rPr>
          <w:sz w:val="18"/>
          <w:szCs w:val="18"/>
        </w:rPr>
        <w:t>Wir haben unsere Prüfung des Jahresabschlusses und des Lageberichts in Übereinstimmung mit § 317 HGB unter Beachtung der vom Institut der Wirtschaftsprüfer (IDW) festgestellten deutschen Grundsätze ordnungsmäßiger Abschlussprüfung durchgeführt. Unsere Verantwortung nach diesen Vorschriften und Grundsätzen ist im Abschnitt „Verantwortung des Abschlussprüfers für die Prüfung des Jahresabschlusses und des Lageberichts“ unseres Bestätigungsvermerks weitergehend beschrieben. Wir sind von dem Unternehmen unabhängig in Übereinstimmung mit den deutschen handelsrechtlichen und berufsrechtlichen Vorschriften und haben unsere sonstigen deutschen Berufspflichten in Übereinstimmung mit diesen Anforderungen erfüllt. Wir sind der Auffassung, dass die von uns erlangten Prüfungsnachweise ausreichend und geeignet sind, um als Grundlage für unsere Prüfungsurteile zum Jahresabschluss und zum Lagebericht zu dienen.</w:t>
      </w:r>
    </w:p>
    <w:p w14:paraId="3B20AF6C" w14:textId="77777777" w:rsidR="00A360DC" w:rsidRDefault="00A360DC" w:rsidP="00484323">
      <w:pPr>
        <w:spacing w:before="0"/>
        <w:contextualSpacing/>
        <w:mirrorIndents/>
        <w:rPr>
          <w:sz w:val="18"/>
          <w:szCs w:val="18"/>
        </w:rPr>
      </w:pPr>
    </w:p>
    <w:p w14:paraId="0F9F5D01" w14:textId="262F3C5D" w:rsidR="002E4D4F" w:rsidRDefault="002E4D4F" w:rsidP="00484323">
      <w:pPr>
        <w:spacing w:before="0"/>
        <w:contextualSpacing/>
        <w:mirrorIndents/>
        <w:rPr>
          <w:sz w:val="18"/>
          <w:szCs w:val="18"/>
        </w:rPr>
      </w:pPr>
      <w:r w:rsidRPr="00CD2E4B">
        <w:rPr>
          <w:b/>
          <w:bCs/>
          <w:sz w:val="18"/>
          <w:szCs w:val="18"/>
        </w:rPr>
        <w:t>Sonstige Informationen</w:t>
      </w:r>
      <w:r w:rsidRPr="00CD2E4B">
        <w:rPr>
          <w:sz w:val="18"/>
          <w:szCs w:val="18"/>
        </w:rPr>
        <w:t xml:space="preserve"> </w:t>
      </w:r>
    </w:p>
    <w:p w14:paraId="7D2B74E1" w14:textId="77777777" w:rsidR="0087518D" w:rsidRPr="0087518D" w:rsidRDefault="0087518D" w:rsidP="00484323">
      <w:pPr>
        <w:spacing w:before="0"/>
        <w:contextualSpacing/>
        <w:mirrorIndents/>
        <w:rPr>
          <w:sz w:val="14"/>
          <w:szCs w:val="18"/>
        </w:rPr>
      </w:pPr>
    </w:p>
    <w:p w14:paraId="6FBFA6E2" w14:textId="1BBC3372" w:rsidR="002E4D4F" w:rsidRDefault="002E4D4F" w:rsidP="00484323">
      <w:pPr>
        <w:spacing w:before="0"/>
        <w:contextualSpacing/>
        <w:mirrorIndents/>
        <w:rPr>
          <w:sz w:val="18"/>
          <w:szCs w:val="18"/>
        </w:rPr>
      </w:pPr>
      <w:r w:rsidRPr="00CD2E4B">
        <w:rPr>
          <w:sz w:val="18"/>
          <w:szCs w:val="18"/>
        </w:rPr>
        <w:t>Die gesetzlichen Vertreter sind für die sonstigen Informationen verantwortlich. Die sonstigen Informationen umfassen die in Abschnitt VI. des Lageberichts enthaltene Erklärung zur Unternehmensführung nach § 289f Abs. 4 HGB (Angaben zur Frauenquote).</w:t>
      </w:r>
    </w:p>
    <w:p w14:paraId="2672284C" w14:textId="2851F606" w:rsidR="002E4D4F" w:rsidRDefault="002E4D4F" w:rsidP="00484323">
      <w:pPr>
        <w:spacing w:before="0"/>
        <w:contextualSpacing/>
        <w:mirrorIndents/>
        <w:rPr>
          <w:sz w:val="18"/>
          <w:szCs w:val="18"/>
        </w:rPr>
      </w:pPr>
      <w:r w:rsidRPr="00CD2E4B">
        <w:rPr>
          <w:sz w:val="18"/>
          <w:szCs w:val="18"/>
        </w:rPr>
        <w:lastRenderedPageBreak/>
        <w:t>Unsere Prüfungsurteile zum Jahresabschluss und zum Lagebericht erstrecken sich nicht auf die sonstigen Informationen, und dementsprechend geben wir weder ein Prüfungsurteil noch irgendeine andere Form von Prüfungsschlussfolgerung hierzu ab.</w:t>
      </w:r>
    </w:p>
    <w:p w14:paraId="6B581759" w14:textId="77777777" w:rsidR="00453D45" w:rsidRPr="006E0A1F" w:rsidRDefault="00453D45" w:rsidP="00484323">
      <w:pPr>
        <w:spacing w:before="0"/>
        <w:contextualSpacing/>
        <w:mirrorIndents/>
        <w:rPr>
          <w:sz w:val="16"/>
          <w:szCs w:val="18"/>
        </w:rPr>
      </w:pPr>
    </w:p>
    <w:p w14:paraId="0480B4F8" w14:textId="2D84A300" w:rsidR="002E4D4F" w:rsidRDefault="002E4D4F" w:rsidP="00484323">
      <w:pPr>
        <w:spacing w:before="0"/>
        <w:contextualSpacing/>
        <w:mirrorIndents/>
        <w:rPr>
          <w:sz w:val="18"/>
          <w:szCs w:val="18"/>
        </w:rPr>
      </w:pPr>
      <w:r w:rsidRPr="00CD2E4B">
        <w:rPr>
          <w:sz w:val="18"/>
          <w:szCs w:val="18"/>
        </w:rPr>
        <w:t>Im Zusammenhang mit unserer Prüfung haben wir die Verantwortung, die oben genannten sonstigen Informationen zu lesen und dabei zu würdigen, ob die sonstigen Informationen</w:t>
      </w:r>
    </w:p>
    <w:p w14:paraId="546DFF9B" w14:textId="77777777" w:rsidR="00453D45" w:rsidRPr="006E0A1F" w:rsidRDefault="00453D45" w:rsidP="00484323">
      <w:pPr>
        <w:spacing w:before="0"/>
        <w:contextualSpacing/>
        <w:mirrorIndents/>
        <w:rPr>
          <w:sz w:val="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
        <w:gridCol w:w="8977"/>
      </w:tblGrid>
      <w:tr w:rsidR="002E4D4F" w:rsidRPr="00CD2E4B" w14:paraId="5327023D" w14:textId="77777777" w:rsidTr="008A7BD2">
        <w:trPr>
          <w:tblCellSpacing w:w="15" w:type="dxa"/>
        </w:trPr>
        <w:tc>
          <w:tcPr>
            <w:tcW w:w="0" w:type="auto"/>
            <w:hideMark/>
          </w:tcPr>
          <w:p w14:paraId="58AB3AE6" w14:textId="77777777" w:rsidR="002E4D4F" w:rsidRPr="00CD2E4B" w:rsidRDefault="002E4D4F" w:rsidP="008A7BD2">
            <w:pPr>
              <w:spacing w:before="0"/>
              <w:contextualSpacing/>
              <w:mirrorIndents/>
              <w:jc w:val="left"/>
              <w:rPr>
                <w:sz w:val="18"/>
                <w:szCs w:val="18"/>
              </w:rPr>
            </w:pPr>
            <w:r w:rsidRPr="00CD2E4B">
              <w:rPr>
                <w:sz w:val="18"/>
                <w:szCs w:val="18"/>
              </w:rPr>
              <w:t>•</w:t>
            </w:r>
          </w:p>
        </w:tc>
        <w:tc>
          <w:tcPr>
            <w:tcW w:w="0" w:type="auto"/>
            <w:vAlign w:val="center"/>
            <w:hideMark/>
          </w:tcPr>
          <w:p w14:paraId="10D5105C" w14:textId="77777777" w:rsidR="002E4D4F" w:rsidRDefault="002E4D4F" w:rsidP="00484323">
            <w:pPr>
              <w:spacing w:before="0"/>
              <w:contextualSpacing/>
              <w:mirrorIndents/>
              <w:rPr>
                <w:sz w:val="18"/>
                <w:szCs w:val="18"/>
              </w:rPr>
            </w:pPr>
            <w:r w:rsidRPr="00CD2E4B">
              <w:rPr>
                <w:sz w:val="18"/>
                <w:szCs w:val="18"/>
              </w:rPr>
              <w:t>wesentliche Unstimmigkeiten zum Jahresabschluss, zu den inhaltlich geprüften Lageberichtsangaben oder zu unseren bei der Prüfung erlangten Kenntnissen aufweisen oder</w:t>
            </w:r>
          </w:p>
          <w:p w14:paraId="3BFF7B39" w14:textId="78207929" w:rsidR="00453D45" w:rsidRPr="00CD2E4B" w:rsidRDefault="00453D45" w:rsidP="00484323">
            <w:pPr>
              <w:spacing w:before="0"/>
              <w:contextualSpacing/>
              <w:mirrorIndents/>
              <w:rPr>
                <w:sz w:val="18"/>
                <w:szCs w:val="18"/>
              </w:rPr>
            </w:pPr>
          </w:p>
        </w:tc>
      </w:tr>
      <w:tr w:rsidR="002E4D4F" w:rsidRPr="00CD2E4B" w14:paraId="2FBD9E7F" w14:textId="77777777" w:rsidTr="008A7BD2">
        <w:trPr>
          <w:tblCellSpacing w:w="15" w:type="dxa"/>
        </w:trPr>
        <w:tc>
          <w:tcPr>
            <w:tcW w:w="0" w:type="auto"/>
            <w:hideMark/>
          </w:tcPr>
          <w:p w14:paraId="1A8DB168" w14:textId="77777777" w:rsidR="002E4D4F" w:rsidRPr="00CD2E4B" w:rsidRDefault="002E4D4F" w:rsidP="008A7BD2">
            <w:pPr>
              <w:spacing w:before="0"/>
              <w:contextualSpacing/>
              <w:mirrorIndents/>
              <w:jc w:val="left"/>
              <w:rPr>
                <w:sz w:val="18"/>
                <w:szCs w:val="18"/>
              </w:rPr>
            </w:pPr>
            <w:r w:rsidRPr="00CD2E4B">
              <w:rPr>
                <w:sz w:val="18"/>
                <w:szCs w:val="18"/>
              </w:rPr>
              <w:t>•</w:t>
            </w:r>
          </w:p>
        </w:tc>
        <w:tc>
          <w:tcPr>
            <w:tcW w:w="0" w:type="auto"/>
            <w:vAlign w:val="center"/>
            <w:hideMark/>
          </w:tcPr>
          <w:p w14:paraId="12D45DD5" w14:textId="77777777" w:rsidR="002E4D4F" w:rsidRDefault="002E4D4F" w:rsidP="00484323">
            <w:pPr>
              <w:spacing w:before="0"/>
              <w:contextualSpacing/>
              <w:mirrorIndents/>
              <w:rPr>
                <w:sz w:val="18"/>
                <w:szCs w:val="18"/>
              </w:rPr>
            </w:pPr>
            <w:r w:rsidRPr="00CD2E4B">
              <w:rPr>
                <w:sz w:val="18"/>
                <w:szCs w:val="18"/>
              </w:rPr>
              <w:t>anderweitig wesentlich falsch dargestellt erscheinen.</w:t>
            </w:r>
          </w:p>
          <w:p w14:paraId="48DBB50D" w14:textId="1AF3B786" w:rsidR="00453D45" w:rsidRPr="00CD2E4B" w:rsidRDefault="00453D45" w:rsidP="00484323">
            <w:pPr>
              <w:spacing w:before="0"/>
              <w:contextualSpacing/>
              <w:mirrorIndents/>
              <w:rPr>
                <w:sz w:val="18"/>
                <w:szCs w:val="18"/>
              </w:rPr>
            </w:pPr>
          </w:p>
        </w:tc>
      </w:tr>
    </w:tbl>
    <w:p w14:paraId="76FB78E3" w14:textId="77777777" w:rsidR="008A7BD2" w:rsidRDefault="008A7BD2" w:rsidP="00484323">
      <w:pPr>
        <w:spacing w:before="0"/>
        <w:contextualSpacing/>
        <w:mirrorIndents/>
        <w:rPr>
          <w:b/>
          <w:bCs/>
          <w:sz w:val="18"/>
          <w:szCs w:val="18"/>
        </w:rPr>
      </w:pPr>
    </w:p>
    <w:p w14:paraId="187641C2" w14:textId="00131439" w:rsidR="002E4D4F" w:rsidRDefault="002E4D4F" w:rsidP="00484323">
      <w:pPr>
        <w:spacing w:before="0"/>
        <w:contextualSpacing/>
        <w:mirrorIndents/>
        <w:rPr>
          <w:sz w:val="18"/>
          <w:szCs w:val="18"/>
        </w:rPr>
      </w:pPr>
      <w:r w:rsidRPr="00CD2E4B">
        <w:rPr>
          <w:b/>
          <w:bCs/>
          <w:sz w:val="18"/>
          <w:szCs w:val="18"/>
        </w:rPr>
        <w:t>Verantwortung der gesetzlichen Vertreter für den Jahresabschluss und den Lagebericht</w:t>
      </w:r>
      <w:r w:rsidRPr="00CD2E4B">
        <w:rPr>
          <w:sz w:val="18"/>
          <w:szCs w:val="18"/>
        </w:rPr>
        <w:t xml:space="preserve"> </w:t>
      </w:r>
    </w:p>
    <w:p w14:paraId="57529996" w14:textId="77777777" w:rsidR="00453D45" w:rsidRPr="008A7BD2" w:rsidRDefault="00453D45" w:rsidP="00484323">
      <w:pPr>
        <w:spacing w:before="0"/>
        <w:contextualSpacing/>
        <w:mirrorIndents/>
        <w:rPr>
          <w:sz w:val="12"/>
          <w:szCs w:val="18"/>
        </w:rPr>
      </w:pPr>
    </w:p>
    <w:p w14:paraId="0BC57E3B" w14:textId="16DAF59F" w:rsidR="002E4D4F" w:rsidRDefault="002E4D4F" w:rsidP="00484323">
      <w:pPr>
        <w:spacing w:before="0"/>
        <w:contextualSpacing/>
        <w:mirrorIndents/>
        <w:rPr>
          <w:sz w:val="18"/>
          <w:szCs w:val="18"/>
        </w:rPr>
      </w:pPr>
      <w:r w:rsidRPr="00CD2E4B">
        <w:rPr>
          <w:sz w:val="18"/>
          <w:szCs w:val="18"/>
        </w:rPr>
        <w:t>Die gesetzlichen Vertreter sind verantwortlich für die Aufstellung des Jahresabschlusses, der den deutschen, für Kapitalgesellschaften geltenden handelsrechtlichen Vorschriften in allen wesentlichen Belangen entspricht, und dafür, dass der Jahresabschluss unter Beachtung der deutschen Grundsätze ordnungsmäßiger Buchführung ein den tatsächlichen Verhältnissen entsprechendes Bild der Vermögens-, Finanz- und Ertragslage der Gesellschaft vermittelt. Ferner sind die gesetzlichen Vertreter verantwortlich für die internen Kontrollen, die sie in Übereinstimmung mit den deutschen Grundsätzen ordnungsmäßiger Buchführung als notwendig bestimmt haben, um die Aufstellung eines Jahresabschlusses zu ermöglichen, der frei von wesentlichen falschen Darstellungen aufgrund von dolosen Handlungen (d.h. Manipulationen der Rechnungslegung und Vermögensschädigungen) oder Irrtümern ist.</w:t>
      </w:r>
    </w:p>
    <w:p w14:paraId="690D9E57" w14:textId="77777777" w:rsidR="00453D45" w:rsidRPr="006E0A1F" w:rsidRDefault="00453D45" w:rsidP="00484323">
      <w:pPr>
        <w:spacing w:before="0"/>
        <w:contextualSpacing/>
        <w:mirrorIndents/>
        <w:rPr>
          <w:sz w:val="16"/>
          <w:szCs w:val="18"/>
        </w:rPr>
      </w:pPr>
    </w:p>
    <w:p w14:paraId="32884D3D" w14:textId="4A8057AE" w:rsidR="002E4D4F" w:rsidRDefault="002E4D4F" w:rsidP="00484323">
      <w:pPr>
        <w:spacing w:before="0"/>
        <w:contextualSpacing/>
        <w:mirrorIndents/>
        <w:rPr>
          <w:sz w:val="18"/>
          <w:szCs w:val="18"/>
        </w:rPr>
      </w:pPr>
      <w:r w:rsidRPr="00CD2E4B">
        <w:rPr>
          <w:sz w:val="18"/>
          <w:szCs w:val="18"/>
        </w:rPr>
        <w:t>Bei der Aufstellung des Jahresabschlusses sind die gesetzlichen Vertreter dafür verantwortlich, die Fähigkeit der Gesellschaft zur Fortführung der Unternehmenstätigkeit zu beurteilen. Des Weiteren haben sie die Verantwortung, Sachverhalte im Zusammenhang mit der Fortführung der Unternehmenstätigkeit, sofern einschlägig, anzugeben. Darüber hinaus sind sie dafür verantwortlich, auf der Grundlage des Rechnungslegungsgrundsatzes der Fortführung der Unternehmenstätigkeit zu bilanzieren, sofern dem nicht tatsächliche oder rechtliche Gegebenheiten entgegenstehen.</w:t>
      </w:r>
    </w:p>
    <w:p w14:paraId="38B09384" w14:textId="77777777" w:rsidR="00453D45" w:rsidRPr="006E0A1F" w:rsidRDefault="00453D45" w:rsidP="00484323">
      <w:pPr>
        <w:spacing w:before="0"/>
        <w:contextualSpacing/>
        <w:mirrorIndents/>
        <w:rPr>
          <w:sz w:val="16"/>
          <w:szCs w:val="18"/>
        </w:rPr>
      </w:pPr>
    </w:p>
    <w:p w14:paraId="3207F2A8" w14:textId="133CFAE1" w:rsidR="002E4D4F" w:rsidRDefault="002E4D4F" w:rsidP="00484323">
      <w:pPr>
        <w:spacing w:before="0"/>
        <w:contextualSpacing/>
        <w:mirrorIndents/>
        <w:rPr>
          <w:sz w:val="18"/>
          <w:szCs w:val="18"/>
        </w:rPr>
      </w:pPr>
      <w:r w:rsidRPr="00CD2E4B">
        <w:rPr>
          <w:sz w:val="18"/>
          <w:szCs w:val="18"/>
        </w:rPr>
        <w:t>Außerdem sind die gesetzlichen Vertreter verantwortlich für die Aufstellung des Lageberichts, der insgesamt ein zutreffendes Bild von der Lage der Gesellschaft vermittelt sowie in allen wesentlichen Belangen mit dem Jahresabschluss in Einklang steht, den deutschen gesetzlichen Vorschriften entspricht und die Chancen und Risiken der zukünftigen Entwicklung zutreffend darstellt. Ferner sind die gesetzlichen Vertreter verantwortlich für die Vorkehrungen und Maßnahmen (Systeme), die sie als notwendig erachtet haben, um die Aufstellung eines Lageberichts in Übereinstimmung mit den anzuwendenden deutschen gesetzlichen Vorschriften zu ermöglichen und um ausreichende geeignete Nachweise für die Aussagen im Lagebericht erbringen zu können.</w:t>
      </w:r>
    </w:p>
    <w:p w14:paraId="257153C5" w14:textId="77777777" w:rsidR="00453D45" w:rsidRPr="00CD2E4B" w:rsidRDefault="00453D45" w:rsidP="00484323">
      <w:pPr>
        <w:spacing w:before="0"/>
        <w:contextualSpacing/>
        <w:mirrorIndents/>
        <w:rPr>
          <w:sz w:val="18"/>
          <w:szCs w:val="18"/>
        </w:rPr>
      </w:pPr>
    </w:p>
    <w:p w14:paraId="75F4D42B" w14:textId="77777777" w:rsidR="002E4D4F" w:rsidRPr="00CD2E4B" w:rsidRDefault="002E4D4F" w:rsidP="00484323">
      <w:pPr>
        <w:spacing w:before="0"/>
        <w:contextualSpacing/>
        <w:mirrorIndents/>
        <w:rPr>
          <w:sz w:val="18"/>
          <w:szCs w:val="18"/>
        </w:rPr>
      </w:pPr>
      <w:r w:rsidRPr="00CD2E4B">
        <w:rPr>
          <w:b/>
          <w:bCs/>
          <w:sz w:val="18"/>
          <w:szCs w:val="18"/>
        </w:rPr>
        <w:t>Verantwortung des Abschlussprüfers für die Prüfung des Jahresabschlusses und des Lageberichts</w:t>
      </w:r>
      <w:r w:rsidRPr="00CD2E4B">
        <w:rPr>
          <w:sz w:val="18"/>
          <w:szCs w:val="18"/>
        </w:rPr>
        <w:t xml:space="preserve"> </w:t>
      </w:r>
    </w:p>
    <w:p w14:paraId="12603A20" w14:textId="77777777" w:rsidR="008A7BD2" w:rsidRPr="008A7BD2" w:rsidRDefault="008A7BD2" w:rsidP="00484323">
      <w:pPr>
        <w:spacing w:before="0"/>
        <w:contextualSpacing/>
        <w:mirrorIndents/>
        <w:rPr>
          <w:sz w:val="12"/>
          <w:szCs w:val="18"/>
        </w:rPr>
      </w:pPr>
    </w:p>
    <w:p w14:paraId="4C7C7E37" w14:textId="2859A6C9" w:rsidR="002E4D4F" w:rsidRDefault="002E4D4F" w:rsidP="00484323">
      <w:pPr>
        <w:spacing w:before="0"/>
        <w:contextualSpacing/>
        <w:mirrorIndents/>
        <w:rPr>
          <w:sz w:val="18"/>
          <w:szCs w:val="18"/>
        </w:rPr>
      </w:pPr>
      <w:r w:rsidRPr="00CD2E4B">
        <w:rPr>
          <w:sz w:val="18"/>
          <w:szCs w:val="18"/>
        </w:rPr>
        <w:t>Unsere Zielsetzung ist, hinreichende Sicherheit darüber zu erlangen, ob der Jahresabschluss als Ganzes frei von wesentlichen falschen Darstellungen aufgrund von dolosen Handlungen oder Irrtümern ist, und ob der Lagebericht insgesamt ein zutreffendes Bild von der Lage der Gesellschaft vermittelt sowie in allen wesentlichen Belangen mit dem Jahresabschluss sowie mit den bei der Prüfung gewonnenen Erkenntnissen in Einklang steht, den deutschen gesetzlichen Vorschriften entspricht und die Chancen und Risiken der zukünftigen Entwicklung zutreffend darstellt, sowie einen Bestätigungsvermerk zu erteilen, der unsere Prüfungsurteile zum Jahresabschluss und zum Lagebericht beinhaltet.</w:t>
      </w:r>
    </w:p>
    <w:p w14:paraId="3DC2B926" w14:textId="77777777" w:rsidR="00453D45" w:rsidRPr="006E0A1F" w:rsidRDefault="00453D45" w:rsidP="00484323">
      <w:pPr>
        <w:spacing w:before="0"/>
        <w:contextualSpacing/>
        <w:mirrorIndents/>
        <w:rPr>
          <w:sz w:val="16"/>
          <w:szCs w:val="18"/>
        </w:rPr>
      </w:pPr>
    </w:p>
    <w:p w14:paraId="5F02E2EA" w14:textId="7245B2B4" w:rsidR="002E4D4F" w:rsidRDefault="002E4D4F" w:rsidP="00484323">
      <w:pPr>
        <w:spacing w:before="0"/>
        <w:contextualSpacing/>
        <w:mirrorIndents/>
        <w:rPr>
          <w:sz w:val="18"/>
          <w:szCs w:val="18"/>
        </w:rPr>
      </w:pPr>
      <w:r w:rsidRPr="00CD2E4B">
        <w:rPr>
          <w:sz w:val="18"/>
          <w:szCs w:val="18"/>
        </w:rPr>
        <w:t>Hinreichende Sicherheit ist ein hohes Maß an Sicherheit, aber keine Garantie dafür, dass eine in Übereinstimmung mit § 317 HGB unter Beachtung der vom Institut der Wirtschaftsprüfer (IDW) festgestellten deutschen Grundsätze ordnungsmäßiger Abschlussprüfung durchgeführte Prüfung eine wesentliche falsche Darstellung stets aufdeckt. Falsche Darstellungen können aus dolosen Handlungen oder Irrtümern resultieren und werden als wesentlich angesehen, wenn vernünftigerweise erwartet werden könnte, dass sie einzeln oder insgesamt die auf der Grundlage dieses Jahresabschlusses und Lageberichts getroffenen wirtschaftlichen Entscheidungen von Adressaten beeinflussen.</w:t>
      </w:r>
    </w:p>
    <w:p w14:paraId="76E5A3AA" w14:textId="77777777" w:rsidR="00453D45" w:rsidRPr="006E0A1F" w:rsidRDefault="00453D45" w:rsidP="00484323">
      <w:pPr>
        <w:spacing w:before="0"/>
        <w:contextualSpacing/>
        <w:mirrorIndents/>
        <w:rPr>
          <w:sz w:val="16"/>
          <w:szCs w:val="18"/>
        </w:rPr>
      </w:pPr>
    </w:p>
    <w:p w14:paraId="0CC80A2C" w14:textId="49C37612" w:rsidR="002E4D4F" w:rsidRDefault="002E4D4F" w:rsidP="00484323">
      <w:pPr>
        <w:spacing w:before="0"/>
        <w:contextualSpacing/>
        <w:mirrorIndents/>
        <w:rPr>
          <w:sz w:val="18"/>
          <w:szCs w:val="18"/>
        </w:rPr>
      </w:pPr>
      <w:r w:rsidRPr="00CD2E4B">
        <w:rPr>
          <w:sz w:val="18"/>
          <w:szCs w:val="18"/>
        </w:rPr>
        <w:t>Während der Prüfung üben wir pflichtgemäßes Ermessen aus und bewahren eine kritische Grundhaltung. Darüber hinaus</w:t>
      </w:r>
    </w:p>
    <w:p w14:paraId="6A957158" w14:textId="77777777" w:rsidR="006E0A1F" w:rsidRPr="006E0A1F" w:rsidRDefault="006E0A1F" w:rsidP="00484323">
      <w:pPr>
        <w:spacing w:before="0"/>
        <w:contextualSpacing/>
        <w:mirrorIndents/>
        <w:rPr>
          <w:sz w:val="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
        <w:gridCol w:w="8977"/>
      </w:tblGrid>
      <w:tr w:rsidR="002E4D4F" w:rsidRPr="00CD2E4B" w14:paraId="6EE41A3B" w14:textId="77777777" w:rsidTr="006E0A1F">
        <w:trPr>
          <w:tblCellSpacing w:w="15" w:type="dxa"/>
        </w:trPr>
        <w:tc>
          <w:tcPr>
            <w:tcW w:w="0" w:type="auto"/>
            <w:hideMark/>
          </w:tcPr>
          <w:p w14:paraId="713AE152" w14:textId="77777777" w:rsidR="002E4D4F" w:rsidRPr="00CD2E4B" w:rsidRDefault="002E4D4F" w:rsidP="006E0A1F">
            <w:pPr>
              <w:spacing w:before="0"/>
              <w:contextualSpacing/>
              <w:mirrorIndents/>
              <w:jc w:val="left"/>
              <w:rPr>
                <w:sz w:val="18"/>
                <w:szCs w:val="18"/>
              </w:rPr>
            </w:pPr>
            <w:r w:rsidRPr="00CD2E4B">
              <w:rPr>
                <w:sz w:val="18"/>
                <w:szCs w:val="18"/>
              </w:rPr>
              <w:t>•</w:t>
            </w:r>
          </w:p>
        </w:tc>
        <w:tc>
          <w:tcPr>
            <w:tcW w:w="0" w:type="auto"/>
            <w:vAlign w:val="center"/>
            <w:hideMark/>
          </w:tcPr>
          <w:p w14:paraId="2E97A12F" w14:textId="77777777" w:rsidR="002E4D4F" w:rsidRDefault="002E4D4F" w:rsidP="00484323">
            <w:pPr>
              <w:spacing w:before="0"/>
              <w:contextualSpacing/>
              <w:mirrorIndents/>
              <w:rPr>
                <w:sz w:val="18"/>
                <w:szCs w:val="18"/>
              </w:rPr>
            </w:pPr>
            <w:r w:rsidRPr="00CD2E4B">
              <w:rPr>
                <w:sz w:val="18"/>
                <w:szCs w:val="18"/>
              </w:rPr>
              <w:t>identifizieren und beurteilen wir die Risiken wesentlicher falscher Darstellungen im Jahresabschluss und im Lagebericht aufgrund von dolosen Handlungen oder Irrtümern, planen und führen Prüfungshand</w:t>
            </w:r>
            <w:r w:rsidRPr="00CD2E4B">
              <w:rPr>
                <w:sz w:val="18"/>
                <w:szCs w:val="18"/>
              </w:rPr>
              <w:lastRenderedPageBreak/>
              <w:t>lungen als Reaktion auf diese Risiken durch sowie erlangen Prüfungsnachweise, die ausreichend und geeignet sind, um als Grundlage für unsere Prüfungsurteile zu dienen. Das Risiko, dass aus dolosen Handlungen resultierende wesentliche falsche Darstellungen nicht aufgedeckt werden, ist höher als das Risiko, dass aus Irrtümern resultierende wesentliche falsche Darstellungen nicht aufgedeckt werden, da dolose Handlungen kollusives Zusammenwirken, Fälschungen, beabsichtigte Unvollständigkeiten, irreführende Darstellungen bzw. das Außerkraftsetzen interner Kontrollen beinhalten können.</w:t>
            </w:r>
          </w:p>
          <w:p w14:paraId="7AE2EE7D" w14:textId="62C4AFC2" w:rsidR="00453D45" w:rsidRPr="00CD2E4B" w:rsidRDefault="00453D45" w:rsidP="00484323">
            <w:pPr>
              <w:spacing w:before="0"/>
              <w:contextualSpacing/>
              <w:mirrorIndents/>
              <w:rPr>
                <w:sz w:val="18"/>
                <w:szCs w:val="18"/>
              </w:rPr>
            </w:pPr>
          </w:p>
        </w:tc>
      </w:tr>
      <w:tr w:rsidR="002E4D4F" w:rsidRPr="00CD2E4B" w14:paraId="71136629" w14:textId="77777777" w:rsidTr="006E0A1F">
        <w:trPr>
          <w:tblCellSpacing w:w="15" w:type="dxa"/>
        </w:trPr>
        <w:tc>
          <w:tcPr>
            <w:tcW w:w="0" w:type="auto"/>
            <w:hideMark/>
          </w:tcPr>
          <w:p w14:paraId="3FCF4E22" w14:textId="77777777" w:rsidR="002E4D4F" w:rsidRPr="00CD2E4B" w:rsidRDefault="002E4D4F" w:rsidP="006E0A1F">
            <w:pPr>
              <w:spacing w:before="0"/>
              <w:contextualSpacing/>
              <w:mirrorIndents/>
              <w:jc w:val="left"/>
              <w:rPr>
                <w:sz w:val="18"/>
                <w:szCs w:val="18"/>
              </w:rPr>
            </w:pPr>
            <w:r w:rsidRPr="00CD2E4B">
              <w:rPr>
                <w:sz w:val="18"/>
                <w:szCs w:val="18"/>
              </w:rPr>
              <w:lastRenderedPageBreak/>
              <w:t>•</w:t>
            </w:r>
          </w:p>
        </w:tc>
        <w:tc>
          <w:tcPr>
            <w:tcW w:w="0" w:type="auto"/>
            <w:vAlign w:val="center"/>
            <w:hideMark/>
          </w:tcPr>
          <w:p w14:paraId="0A88470E" w14:textId="77777777" w:rsidR="002E4D4F" w:rsidRDefault="002E4D4F" w:rsidP="00484323">
            <w:pPr>
              <w:spacing w:before="0"/>
              <w:contextualSpacing/>
              <w:mirrorIndents/>
              <w:rPr>
                <w:sz w:val="18"/>
                <w:szCs w:val="18"/>
              </w:rPr>
            </w:pPr>
            <w:r w:rsidRPr="00CD2E4B">
              <w:rPr>
                <w:sz w:val="18"/>
                <w:szCs w:val="18"/>
              </w:rPr>
              <w:t>gewinnen wir ein Verständnis von dem für die Prüfung des Jahresabschlusses relevanten internen Kontrollsystem und den für die Prüfung des Lageberichts relevanten Vorkehrungen und Maßnahmen, um Prüfungshandlungen zu planen, die unter den gegebenen Umständen angemessen sind, jedoch nicht mit dem Ziel, ein Prüfungsurteil zur Wirksamkeit dieser Systeme der Gesellschaft abzugeben.</w:t>
            </w:r>
          </w:p>
          <w:p w14:paraId="0EF53C35" w14:textId="0A0F5DA5" w:rsidR="00453D45" w:rsidRPr="00CD2E4B" w:rsidRDefault="00453D45" w:rsidP="00484323">
            <w:pPr>
              <w:spacing w:before="0"/>
              <w:contextualSpacing/>
              <w:mirrorIndents/>
              <w:rPr>
                <w:sz w:val="18"/>
                <w:szCs w:val="18"/>
              </w:rPr>
            </w:pPr>
          </w:p>
        </w:tc>
      </w:tr>
      <w:tr w:rsidR="002E4D4F" w:rsidRPr="00CD2E4B" w14:paraId="18BC3A89" w14:textId="77777777" w:rsidTr="006E0A1F">
        <w:trPr>
          <w:tblCellSpacing w:w="15" w:type="dxa"/>
        </w:trPr>
        <w:tc>
          <w:tcPr>
            <w:tcW w:w="0" w:type="auto"/>
            <w:hideMark/>
          </w:tcPr>
          <w:p w14:paraId="104339D8" w14:textId="77777777" w:rsidR="002E4D4F" w:rsidRPr="00CD2E4B" w:rsidRDefault="002E4D4F" w:rsidP="006E0A1F">
            <w:pPr>
              <w:spacing w:before="0"/>
              <w:contextualSpacing/>
              <w:mirrorIndents/>
              <w:jc w:val="left"/>
              <w:rPr>
                <w:sz w:val="18"/>
                <w:szCs w:val="18"/>
              </w:rPr>
            </w:pPr>
            <w:r w:rsidRPr="00CD2E4B">
              <w:rPr>
                <w:sz w:val="18"/>
                <w:szCs w:val="18"/>
              </w:rPr>
              <w:t>•</w:t>
            </w:r>
          </w:p>
        </w:tc>
        <w:tc>
          <w:tcPr>
            <w:tcW w:w="0" w:type="auto"/>
            <w:vAlign w:val="center"/>
            <w:hideMark/>
          </w:tcPr>
          <w:p w14:paraId="7CD9199C" w14:textId="77777777" w:rsidR="002E4D4F" w:rsidRDefault="002E4D4F" w:rsidP="00484323">
            <w:pPr>
              <w:spacing w:before="0"/>
              <w:contextualSpacing/>
              <w:mirrorIndents/>
              <w:rPr>
                <w:sz w:val="18"/>
                <w:szCs w:val="18"/>
              </w:rPr>
            </w:pPr>
            <w:r w:rsidRPr="00CD2E4B">
              <w:rPr>
                <w:sz w:val="18"/>
                <w:szCs w:val="18"/>
              </w:rPr>
              <w:t>beurteilen wir die Angemessenheit der von den gesetzlichen Vertretern angewandten Rechnungslegungsmethoden sowie die Vertretbarkeit der von den gesetzlichen Vertretern dargestellten geschätzten Werte und damit zusammenhängenden Angaben.</w:t>
            </w:r>
          </w:p>
          <w:p w14:paraId="7E0ECC30" w14:textId="291A9BD6" w:rsidR="00453D45" w:rsidRPr="00CD2E4B" w:rsidRDefault="00453D45" w:rsidP="00484323">
            <w:pPr>
              <w:spacing w:before="0"/>
              <w:contextualSpacing/>
              <w:mirrorIndents/>
              <w:rPr>
                <w:sz w:val="18"/>
                <w:szCs w:val="18"/>
              </w:rPr>
            </w:pPr>
          </w:p>
        </w:tc>
      </w:tr>
      <w:tr w:rsidR="002E4D4F" w:rsidRPr="00CD2E4B" w14:paraId="53AAFC19" w14:textId="77777777" w:rsidTr="006E0A1F">
        <w:trPr>
          <w:tblCellSpacing w:w="15" w:type="dxa"/>
        </w:trPr>
        <w:tc>
          <w:tcPr>
            <w:tcW w:w="0" w:type="auto"/>
            <w:hideMark/>
          </w:tcPr>
          <w:p w14:paraId="081E5F3B" w14:textId="77777777" w:rsidR="002E4D4F" w:rsidRPr="00CD2E4B" w:rsidRDefault="002E4D4F" w:rsidP="006E0A1F">
            <w:pPr>
              <w:spacing w:before="0"/>
              <w:contextualSpacing/>
              <w:mirrorIndents/>
              <w:jc w:val="left"/>
              <w:rPr>
                <w:sz w:val="18"/>
                <w:szCs w:val="18"/>
              </w:rPr>
            </w:pPr>
            <w:r w:rsidRPr="00CD2E4B">
              <w:rPr>
                <w:sz w:val="18"/>
                <w:szCs w:val="18"/>
              </w:rPr>
              <w:t>•</w:t>
            </w:r>
          </w:p>
        </w:tc>
        <w:tc>
          <w:tcPr>
            <w:tcW w:w="0" w:type="auto"/>
            <w:vAlign w:val="center"/>
            <w:hideMark/>
          </w:tcPr>
          <w:p w14:paraId="51C88D1F" w14:textId="77777777" w:rsidR="002E4D4F" w:rsidRDefault="002E4D4F" w:rsidP="00484323">
            <w:pPr>
              <w:spacing w:before="0"/>
              <w:contextualSpacing/>
              <w:mirrorIndents/>
              <w:rPr>
                <w:sz w:val="18"/>
                <w:szCs w:val="18"/>
              </w:rPr>
            </w:pPr>
            <w:r w:rsidRPr="00CD2E4B">
              <w:rPr>
                <w:sz w:val="18"/>
                <w:szCs w:val="18"/>
              </w:rPr>
              <w:t>ziehen wir Schlussfolgerungen über die Angemessenheit des von den gesetzlichen Vertretern angewandten Rechnungslegungsgrundsatzes der Fortführung der Unternehmenstätigkeit sowie, auf der Grundlage der erlangten Prüfungsnachweise, ob eine wesentliche Unsicherheit im Zusammenhang mit Ereignissen oder Gegebenheiten besteht, die bedeutsame Zweifel an der Fähigkeit der Gesellschaft zur Fortführung der Unternehmenstätigkeit aufwerfen können. Falls wir zu dem Schluss kommen, dass eine wesentliche Unsicherheit besteht, sind wir verpflichtet, im Bestätigungsvermerk auf die dazugehörigen Angaben im Jahresabschluss und im Lagebericht aufmerksam zu machen oder, falls diese Angaben unangemessen sind, unser jeweiliges Prüfungsurteil zu modifizieren. Wir ziehen unsere Schlussfolgerungen auf der Grundlage der bis zum Datum unseres Bestätigungsvermerks erlangten Prüfungsnachweise. Zukünftige Ereignisse oder Gegebenheiten können jedoch dazu führen, dass die Gesellschaft ihre Unternehmenstätigkeit nicht mehr fortführen kann.</w:t>
            </w:r>
          </w:p>
          <w:p w14:paraId="10381C86" w14:textId="2FB870B5" w:rsidR="00453D45" w:rsidRPr="00CD2E4B" w:rsidRDefault="00453D45" w:rsidP="00484323">
            <w:pPr>
              <w:spacing w:before="0"/>
              <w:contextualSpacing/>
              <w:mirrorIndents/>
              <w:rPr>
                <w:sz w:val="18"/>
                <w:szCs w:val="18"/>
              </w:rPr>
            </w:pPr>
          </w:p>
        </w:tc>
      </w:tr>
      <w:tr w:rsidR="002E4D4F" w:rsidRPr="00CD2E4B" w14:paraId="01D475E1" w14:textId="77777777" w:rsidTr="006E0A1F">
        <w:trPr>
          <w:tblCellSpacing w:w="15" w:type="dxa"/>
        </w:trPr>
        <w:tc>
          <w:tcPr>
            <w:tcW w:w="0" w:type="auto"/>
            <w:hideMark/>
          </w:tcPr>
          <w:p w14:paraId="6196267E" w14:textId="77777777" w:rsidR="002E4D4F" w:rsidRPr="00CD2E4B" w:rsidRDefault="002E4D4F" w:rsidP="006E0A1F">
            <w:pPr>
              <w:spacing w:before="0"/>
              <w:contextualSpacing/>
              <w:mirrorIndents/>
              <w:jc w:val="left"/>
              <w:rPr>
                <w:sz w:val="18"/>
                <w:szCs w:val="18"/>
              </w:rPr>
            </w:pPr>
            <w:r w:rsidRPr="00CD2E4B">
              <w:rPr>
                <w:sz w:val="18"/>
                <w:szCs w:val="18"/>
              </w:rPr>
              <w:t>•</w:t>
            </w:r>
          </w:p>
        </w:tc>
        <w:tc>
          <w:tcPr>
            <w:tcW w:w="0" w:type="auto"/>
            <w:vAlign w:val="center"/>
            <w:hideMark/>
          </w:tcPr>
          <w:p w14:paraId="0179BEC5" w14:textId="77777777" w:rsidR="002E4D4F" w:rsidRDefault="002E4D4F" w:rsidP="00484323">
            <w:pPr>
              <w:spacing w:before="0"/>
              <w:contextualSpacing/>
              <w:mirrorIndents/>
              <w:rPr>
                <w:sz w:val="18"/>
                <w:szCs w:val="18"/>
              </w:rPr>
            </w:pPr>
            <w:r w:rsidRPr="00CD2E4B">
              <w:rPr>
                <w:sz w:val="18"/>
                <w:szCs w:val="18"/>
              </w:rPr>
              <w:t>beurteilen wir Darstellung, Aufbau und Inhalt des Jahresabschlusses insgesamt einschließlich der Angaben sowie ob der Jahresabschluss die zugrunde liegenden Geschäftsvorfälle und Ereignisse so darstellt, dass der Jahresabschluss unter Beachtung der deutschen Grundsätze ordnungsmäßiger Buchführung ein den tatsächlichen Verhältnissen entsprechendes Bild der Vermögens-, Finanz- und Ertragslage der Gesellschaft vermittelt.</w:t>
            </w:r>
          </w:p>
          <w:p w14:paraId="584FA0B0" w14:textId="15DAAF0A" w:rsidR="00453D45" w:rsidRPr="00CD2E4B" w:rsidRDefault="00453D45" w:rsidP="00484323">
            <w:pPr>
              <w:spacing w:before="0"/>
              <w:contextualSpacing/>
              <w:mirrorIndents/>
              <w:rPr>
                <w:sz w:val="18"/>
                <w:szCs w:val="18"/>
              </w:rPr>
            </w:pPr>
          </w:p>
        </w:tc>
      </w:tr>
      <w:tr w:rsidR="002E4D4F" w:rsidRPr="00CD2E4B" w14:paraId="6D450786" w14:textId="77777777" w:rsidTr="006E0A1F">
        <w:trPr>
          <w:tblCellSpacing w:w="15" w:type="dxa"/>
        </w:trPr>
        <w:tc>
          <w:tcPr>
            <w:tcW w:w="0" w:type="auto"/>
            <w:hideMark/>
          </w:tcPr>
          <w:p w14:paraId="4EBAE878" w14:textId="77777777" w:rsidR="002E4D4F" w:rsidRPr="00CD2E4B" w:rsidRDefault="002E4D4F" w:rsidP="006E0A1F">
            <w:pPr>
              <w:spacing w:before="0"/>
              <w:contextualSpacing/>
              <w:mirrorIndents/>
              <w:jc w:val="left"/>
              <w:rPr>
                <w:sz w:val="18"/>
                <w:szCs w:val="18"/>
              </w:rPr>
            </w:pPr>
            <w:r w:rsidRPr="00CD2E4B">
              <w:rPr>
                <w:sz w:val="18"/>
                <w:szCs w:val="18"/>
              </w:rPr>
              <w:t>•</w:t>
            </w:r>
          </w:p>
        </w:tc>
        <w:tc>
          <w:tcPr>
            <w:tcW w:w="0" w:type="auto"/>
            <w:vAlign w:val="center"/>
            <w:hideMark/>
          </w:tcPr>
          <w:p w14:paraId="09A33B94" w14:textId="77777777" w:rsidR="002E4D4F" w:rsidRDefault="002E4D4F" w:rsidP="00484323">
            <w:pPr>
              <w:spacing w:before="0"/>
              <w:contextualSpacing/>
              <w:mirrorIndents/>
              <w:rPr>
                <w:sz w:val="18"/>
                <w:szCs w:val="18"/>
              </w:rPr>
            </w:pPr>
            <w:r w:rsidRPr="00CD2E4B">
              <w:rPr>
                <w:sz w:val="18"/>
                <w:szCs w:val="18"/>
              </w:rPr>
              <w:t>beurteilen wir den Einklang des Lageberichts mit dem Jahresabschluss, seine Gesetzesentsprechung und das von ihm vermittelte Bild von der Lage der Gesellschaft.</w:t>
            </w:r>
          </w:p>
          <w:p w14:paraId="7375121E" w14:textId="36983E85" w:rsidR="00453D45" w:rsidRPr="00CD2E4B" w:rsidRDefault="00453D45" w:rsidP="00484323">
            <w:pPr>
              <w:spacing w:before="0"/>
              <w:contextualSpacing/>
              <w:mirrorIndents/>
              <w:rPr>
                <w:sz w:val="18"/>
                <w:szCs w:val="18"/>
              </w:rPr>
            </w:pPr>
          </w:p>
        </w:tc>
      </w:tr>
      <w:tr w:rsidR="002E4D4F" w:rsidRPr="00CD2E4B" w14:paraId="375DD881" w14:textId="77777777" w:rsidTr="006E0A1F">
        <w:trPr>
          <w:tblCellSpacing w:w="15" w:type="dxa"/>
        </w:trPr>
        <w:tc>
          <w:tcPr>
            <w:tcW w:w="0" w:type="auto"/>
            <w:hideMark/>
          </w:tcPr>
          <w:p w14:paraId="0C3E9EFD" w14:textId="77777777" w:rsidR="002E4D4F" w:rsidRPr="00CD2E4B" w:rsidRDefault="002E4D4F" w:rsidP="006E0A1F">
            <w:pPr>
              <w:spacing w:before="0"/>
              <w:contextualSpacing/>
              <w:mirrorIndents/>
              <w:jc w:val="left"/>
              <w:rPr>
                <w:sz w:val="18"/>
                <w:szCs w:val="18"/>
              </w:rPr>
            </w:pPr>
            <w:r w:rsidRPr="00CD2E4B">
              <w:rPr>
                <w:sz w:val="18"/>
                <w:szCs w:val="18"/>
              </w:rPr>
              <w:t>•</w:t>
            </w:r>
          </w:p>
        </w:tc>
        <w:tc>
          <w:tcPr>
            <w:tcW w:w="0" w:type="auto"/>
            <w:vAlign w:val="center"/>
            <w:hideMark/>
          </w:tcPr>
          <w:p w14:paraId="3D19A99C" w14:textId="77777777" w:rsidR="002E4D4F" w:rsidRDefault="002E4D4F" w:rsidP="00484323">
            <w:pPr>
              <w:spacing w:before="0"/>
              <w:contextualSpacing/>
              <w:mirrorIndents/>
              <w:rPr>
                <w:sz w:val="18"/>
                <w:szCs w:val="18"/>
              </w:rPr>
            </w:pPr>
            <w:r w:rsidRPr="00CD2E4B">
              <w:rPr>
                <w:sz w:val="18"/>
                <w:szCs w:val="18"/>
              </w:rPr>
              <w:t>führen wir Prüfungshandlungen zu den von den gesetzlichen Vertretern dargestellten zukunftsorientierten Angaben im Lagebericht durch. Auf Basis ausreichender geeigneter Prüfungsnachweise vollziehen wir dabei insbesondere die den zukunftsorientierten Angaben von den gesetzlichen Vertretern zugrunde gelegten bedeutsamen Annahmen nach und beurteilen die sachgerechte Ableitung der zukunftsorientierten Angaben aus diesen Annahmen. Ein eigenständiges Prüfungsurteil zu den zukunftsorientierten Angaben sowie zu den zugrunde liegenden Annahmen geben wir nicht ab. Es besteht ein erhebliches unvermeidbares Risiko, dass künftige Ereignisse wesentlich von den zukunftsorientierten Angaben abweichen.</w:t>
            </w:r>
          </w:p>
          <w:p w14:paraId="5965F466" w14:textId="563151BD" w:rsidR="00453D45" w:rsidRPr="00CD2E4B" w:rsidRDefault="00453D45" w:rsidP="00484323">
            <w:pPr>
              <w:spacing w:before="0"/>
              <w:contextualSpacing/>
              <w:mirrorIndents/>
              <w:rPr>
                <w:sz w:val="18"/>
                <w:szCs w:val="18"/>
              </w:rPr>
            </w:pPr>
          </w:p>
        </w:tc>
      </w:tr>
    </w:tbl>
    <w:p w14:paraId="27A227DE" w14:textId="77777777" w:rsidR="006E0A1F" w:rsidRDefault="006E0A1F" w:rsidP="00484323">
      <w:pPr>
        <w:spacing w:before="0"/>
        <w:contextualSpacing/>
        <w:mirrorIndents/>
        <w:rPr>
          <w:sz w:val="18"/>
          <w:szCs w:val="18"/>
        </w:rPr>
      </w:pPr>
    </w:p>
    <w:p w14:paraId="26479279" w14:textId="022A30E3" w:rsidR="002E4D4F" w:rsidRPr="00CD2E4B" w:rsidRDefault="002E4D4F" w:rsidP="00484323">
      <w:pPr>
        <w:spacing w:before="0"/>
        <w:contextualSpacing/>
        <w:mirrorIndents/>
        <w:rPr>
          <w:sz w:val="18"/>
          <w:szCs w:val="18"/>
        </w:rPr>
      </w:pPr>
      <w:r w:rsidRPr="00CD2E4B">
        <w:rPr>
          <w:sz w:val="18"/>
          <w:szCs w:val="18"/>
        </w:rPr>
        <w:t>Wir erörtern mit den für die Überwachung Verantwortlichen unter anderem den geplanten Umfang und die Zeitplanung der Prüfung sowie bedeutsame Prüfungsfeststellungen, einschließlich etwaiger bedeutsamer Mängel im internen Kontrollsystem, die wir während unserer Prüfung feststellen.</w:t>
      </w:r>
    </w:p>
    <w:p w14:paraId="22CAFBFC" w14:textId="77777777" w:rsidR="002E4D4F" w:rsidRPr="00CD2E4B" w:rsidRDefault="002E4D4F" w:rsidP="00484323">
      <w:pPr>
        <w:spacing w:before="0"/>
        <w:contextualSpacing/>
        <w:mirrorIndents/>
        <w:rPr>
          <w:sz w:val="18"/>
          <w:szCs w:val="18"/>
        </w:rPr>
      </w:pPr>
      <w:r w:rsidRPr="00CD2E4B">
        <w:rPr>
          <w:sz w:val="18"/>
          <w:szCs w:val="18"/>
        </w:rPr>
        <w:t> </w:t>
      </w:r>
    </w:p>
    <w:p w14:paraId="6031A5B9" w14:textId="12E03A5B" w:rsidR="002E4D4F" w:rsidRDefault="002E4D4F" w:rsidP="00484323">
      <w:pPr>
        <w:spacing w:before="0"/>
        <w:contextualSpacing/>
        <w:mirrorIndents/>
        <w:rPr>
          <w:bCs/>
          <w:sz w:val="18"/>
          <w:szCs w:val="18"/>
        </w:rPr>
      </w:pPr>
      <w:r w:rsidRPr="002F5011">
        <w:rPr>
          <w:bCs/>
          <w:sz w:val="18"/>
          <w:szCs w:val="18"/>
        </w:rPr>
        <w:t>Berlin, den 12. Mai 2023</w:t>
      </w:r>
    </w:p>
    <w:p w14:paraId="3F2B8336" w14:textId="77777777" w:rsidR="006E0A1F" w:rsidRPr="002F5011" w:rsidRDefault="006E0A1F" w:rsidP="00484323">
      <w:pPr>
        <w:spacing w:before="0"/>
        <w:contextualSpacing/>
        <w:mirrorIndents/>
        <w:rPr>
          <w:bCs/>
          <w:sz w:val="18"/>
          <w:szCs w:val="18"/>
        </w:rPr>
      </w:pPr>
    </w:p>
    <w:p w14:paraId="6BAF865E" w14:textId="77777777" w:rsidR="002E4D4F" w:rsidRPr="00CD2E4B" w:rsidRDefault="002E4D4F" w:rsidP="002F5011">
      <w:pPr>
        <w:spacing w:before="0"/>
        <w:contextualSpacing/>
        <w:mirrorIndents/>
        <w:jc w:val="center"/>
        <w:rPr>
          <w:b/>
          <w:bCs/>
          <w:sz w:val="18"/>
          <w:szCs w:val="18"/>
        </w:rPr>
      </w:pPr>
      <w:r w:rsidRPr="00CD2E4B">
        <w:rPr>
          <w:b/>
          <w:bCs/>
          <w:sz w:val="18"/>
          <w:szCs w:val="18"/>
        </w:rPr>
        <w:t>Deloitte GmbH</w:t>
      </w:r>
      <w:r w:rsidRPr="00CD2E4B">
        <w:rPr>
          <w:b/>
          <w:bCs/>
          <w:sz w:val="18"/>
          <w:szCs w:val="18"/>
        </w:rPr>
        <w:br/>
        <w:t>Wirtschaftsprüfungsgesellschaft</w:t>
      </w:r>
    </w:p>
    <w:p w14:paraId="47C2AE06" w14:textId="77777777" w:rsidR="002E4D4F" w:rsidRPr="006E0A1F" w:rsidRDefault="002E4D4F" w:rsidP="002F5011">
      <w:pPr>
        <w:spacing w:before="0"/>
        <w:contextualSpacing/>
        <w:mirrorIndents/>
        <w:jc w:val="center"/>
        <w:rPr>
          <w:bCs/>
          <w:sz w:val="18"/>
          <w:szCs w:val="18"/>
        </w:rPr>
      </w:pPr>
      <w:r w:rsidRPr="006E0A1F">
        <w:rPr>
          <w:bCs/>
          <w:i/>
          <w:iCs/>
          <w:sz w:val="18"/>
          <w:szCs w:val="18"/>
        </w:rPr>
        <w:t>Michael Pfeiffer, Wirtschaftsprüfer</w:t>
      </w:r>
    </w:p>
    <w:p w14:paraId="129AE8FC" w14:textId="77777777" w:rsidR="002E4D4F" w:rsidRPr="006E0A1F" w:rsidRDefault="002E4D4F" w:rsidP="002F5011">
      <w:pPr>
        <w:spacing w:before="0"/>
        <w:contextualSpacing/>
        <w:mirrorIndents/>
        <w:jc w:val="center"/>
        <w:rPr>
          <w:bCs/>
          <w:sz w:val="18"/>
          <w:szCs w:val="18"/>
        </w:rPr>
      </w:pPr>
      <w:r w:rsidRPr="006E0A1F">
        <w:rPr>
          <w:bCs/>
          <w:i/>
          <w:iCs/>
          <w:sz w:val="18"/>
          <w:szCs w:val="18"/>
        </w:rPr>
        <w:t>Wibke Großmann, Wirtschaftsprüferin</w:t>
      </w:r>
    </w:p>
    <w:p w14:paraId="5BE8C5FD" w14:textId="77777777" w:rsidR="002E4D4F" w:rsidRPr="00484323" w:rsidRDefault="002E4D4F" w:rsidP="00484323">
      <w:pPr>
        <w:spacing w:before="0"/>
        <w:contextualSpacing/>
        <w:mirrorIndents/>
        <w:rPr>
          <w:sz w:val="20"/>
        </w:rPr>
      </w:pPr>
    </w:p>
    <w:p w14:paraId="3133C978" w14:textId="75A7D531" w:rsidR="0048553F" w:rsidRPr="00484323" w:rsidRDefault="0048553F" w:rsidP="00484323">
      <w:pPr>
        <w:spacing w:before="0"/>
        <w:contextualSpacing/>
        <w:mirrorIndents/>
        <w:rPr>
          <w:sz w:val="20"/>
        </w:rPr>
      </w:pPr>
    </w:p>
    <w:sectPr w:rsidR="0048553F" w:rsidRPr="00484323" w:rsidSect="0022375B">
      <w:headerReference w:type="default" r:id="rId9"/>
      <w:footerReference w:type="default" r:id="rId10"/>
      <w:headerReference w:type="first" r:id="rId11"/>
      <w:footerReference w:type="first" r:id="rId12"/>
      <w:type w:val="continuous"/>
      <w:pgSz w:w="11907" w:h="16839" w:code="9"/>
      <w:pgMar w:top="1100" w:right="1701" w:bottom="1134" w:left="1134" w:header="1134" w:footer="6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6ABF" w14:textId="77777777" w:rsidR="00F162DD" w:rsidRDefault="00F162DD">
      <w:pPr>
        <w:spacing w:before="0"/>
      </w:pPr>
      <w:r>
        <w:separator/>
      </w:r>
    </w:p>
  </w:endnote>
  <w:endnote w:type="continuationSeparator" w:id="0">
    <w:p w14:paraId="176E97D3" w14:textId="77777777" w:rsidR="00F162DD" w:rsidRDefault="00F162D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343"/>
    </w:tblGrid>
    <w:tr w:rsidR="00F162DD" w:rsidRPr="0009625D" w14:paraId="721155A8" w14:textId="77777777" w:rsidTr="002E4D4F">
      <w:trPr>
        <w:trHeight w:hRule="exact" w:val="1333"/>
      </w:trPr>
      <w:tc>
        <w:tcPr>
          <w:tcW w:w="2694" w:type="dxa"/>
          <w:vAlign w:val="bottom"/>
        </w:tcPr>
        <w:p w14:paraId="1516B970" w14:textId="77777777" w:rsidR="00F162DD" w:rsidRPr="005F3383" w:rsidRDefault="00F162DD" w:rsidP="00CB6DEC">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28727473"/>
              <w:docPartObj>
                <w:docPartGallery w:val="Page Numbers (Top of Page)"/>
                <w:docPartUnique/>
              </w:docPartObj>
            </w:sdtPr>
            <w:sdtEnd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Pr>
                  <w:rFonts w:eastAsiaTheme="minorHAnsi" w:cstheme="minorBidi"/>
                  <w:sz w:val="20"/>
                  <w:lang w:eastAsia="en-US"/>
                </w:rPr>
                <w:t>2</w:t>
              </w:r>
              <w:r w:rsidRPr="005F3383">
                <w:rPr>
                  <w:rFonts w:eastAsiaTheme="minorHAnsi" w:cstheme="minorBidi"/>
                  <w:sz w:val="20"/>
                  <w:lang w:eastAsia="en-US"/>
                </w:rPr>
                <w:fldChar w:fldCharType="end"/>
              </w:r>
            </w:sdtContent>
          </w:sdt>
        </w:p>
        <w:p w14:paraId="23D4ACD2" w14:textId="2EEFB48B" w:rsidR="00F162DD" w:rsidRPr="005F3383" w:rsidRDefault="00F162DD" w:rsidP="00CB6DEC">
          <w:pPr>
            <w:tabs>
              <w:tab w:val="left" w:pos="2100"/>
            </w:tabs>
            <w:spacing w:before="0"/>
            <w:jc w:val="left"/>
            <w:rPr>
              <w:sz w:val="18"/>
              <w:szCs w:val="18"/>
            </w:rPr>
          </w:pPr>
          <w:r>
            <w:rPr>
              <w:rFonts w:eastAsiaTheme="minorHAnsi" w:cstheme="minorBidi"/>
              <w:b/>
              <w:color w:val="00B0F0"/>
              <w:sz w:val="18"/>
              <w:szCs w:val="18"/>
              <w:lang w:eastAsia="en-US"/>
            </w:rPr>
            <w:t>JAE / JAP 2025</w:t>
          </w:r>
        </w:p>
      </w:tc>
      <w:tc>
        <w:tcPr>
          <w:tcW w:w="4143" w:type="dxa"/>
          <w:vAlign w:val="bottom"/>
        </w:tcPr>
        <w:p w14:paraId="30F6B16F" w14:textId="77777777" w:rsidR="00F162DD" w:rsidRDefault="00F162DD" w:rsidP="00CB6DEC">
          <w:pPr>
            <w:tabs>
              <w:tab w:val="center" w:pos="4536"/>
              <w:tab w:val="right" w:pos="9072"/>
              <w:tab w:val="left" w:pos="9781"/>
            </w:tabs>
            <w:spacing w:before="0"/>
            <w:jc w:val="center"/>
            <w:rPr>
              <w:sz w:val="20"/>
            </w:rPr>
          </w:pPr>
          <w:r>
            <w:rPr>
              <w:noProof/>
              <w:sz w:val="20"/>
            </w:rPr>
            <w:drawing>
              <wp:inline distT="0" distB="0" distL="0" distR="0" wp14:anchorId="6873D616" wp14:editId="3EE906E6">
                <wp:extent cx="2283571" cy="324000"/>
                <wp:effectExtent l="0" t="0" r="254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571" cy="324000"/>
                        </a:xfrm>
                        <a:prstGeom prst="rect">
                          <a:avLst/>
                        </a:prstGeom>
                        <a:noFill/>
                        <a:ln>
                          <a:noFill/>
                        </a:ln>
                      </pic:spPr>
                    </pic:pic>
                  </a:graphicData>
                </a:graphic>
              </wp:inline>
            </w:drawing>
          </w:r>
        </w:p>
      </w:tc>
      <w:tc>
        <w:tcPr>
          <w:tcW w:w="2343" w:type="dxa"/>
          <w:vAlign w:val="bottom"/>
        </w:tcPr>
        <w:p w14:paraId="0301AB32" w14:textId="2BBD664A" w:rsidR="00F162DD" w:rsidRPr="0009625D" w:rsidRDefault="00F162DD" w:rsidP="00CB6DEC">
          <w:pPr>
            <w:tabs>
              <w:tab w:val="left" w:pos="1731"/>
            </w:tabs>
            <w:spacing w:before="0"/>
            <w:ind w:right="-110"/>
            <w:jc w:val="right"/>
            <w:rPr>
              <w:rFonts w:eastAsiaTheme="minorHAnsi" w:cstheme="minorBidi"/>
              <w:b/>
              <w:color w:val="00B0F0"/>
              <w:sz w:val="16"/>
              <w:szCs w:val="16"/>
              <w:lang w:eastAsia="en-US"/>
            </w:rPr>
          </w:pPr>
          <w:r>
            <w:rPr>
              <w:rFonts w:eastAsiaTheme="minorHAnsi" w:cstheme="minorBidi"/>
              <w:b/>
              <w:color w:val="00B0F0"/>
              <w:sz w:val="20"/>
              <w:lang w:eastAsia="en-US"/>
            </w:rPr>
            <w:t>Handout 7</w:t>
          </w:r>
        </w:p>
      </w:tc>
    </w:tr>
  </w:tbl>
  <w:p w14:paraId="1E100C97" w14:textId="77777777" w:rsidR="00F162DD" w:rsidRPr="00B04C50" w:rsidRDefault="00F162DD" w:rsidP="00CB6DEC">
    <w:pPr>
      <w:pStyle w:val="Fuzeile"/>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586"/>
      <w:gridCol w:w="4143"/>
      <w:gridCol w:w="2343"/>
    </w:tblGrid>
    <w:tr w:rsidR="00F162DD" w:rsidRPr="0009625D" w14:paraId="04D2F801" w14:textId="77777777" w:rsidTr="00043EFF">
      <w:trPr>
        <w:trHeight w:hRule="exact" w:val="1333"/>
      </w:trPr>
      <w:tc>
        <w:tcPr>
          <w:tcW w:w="2586" w:type="dxa"/>
          <w:vAlign w:val="bottom"/>
        </w:tcPr>
        <w:p w14:paraId="095BBDD1" w14:textId="77777777" w:rsidR="00F162DD" w:rsidRPr="005F3383" w:rsidRDefault="00F162DD" w:rsidP="00B04C50">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Pr>
              <w:rFonts w:cstheme="minorBidi"/>
              <w:sz w:val="20"/>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2146730466"/>
              <w:docPartObj>
                <w:docPartGallery w:val="Page Numbers (Top of Page)"/>
                <w:docPartUnique/>
              </w:docPartObj>
            </w:sdtPr>
            <w:sdtEnd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Pr>
                  <w:rFonts w:cstheme="minorBidi"/>
                  <w:sz w:val="20"/>
                </w:rPr>
                <w:t>3</w:t>
              </w:r>
              <w:r w:rsidRPr="005F3383">
                <w:rPr>
                  <w:rFonts w:eastAsiaTheme="minorHAnsi" w:cstheme="minorBidi"/>
                  <w:sz w:val="20"/>
                  <w:lang w:eastAsia="en-US"/>
                </w:rPr>
                <w:fldChar w:fldCharType="end"/>
              </w:r>
            </w:sdtContent>
          </w:sdt>
        </w:p>
        <w:p w14:paraId="1F8DB8E5" w14:textId="522581A8" w:rsidR="00F162DD" w:rsidRPr="005F3383" w:rsidRDefault="00F162DD" w:rsidP="00B04C50">
          <w:pPr>
            <w:tabs>
              <w:tab w:val="left" w:pos="2100"/>
            </w:tabs>
            <w:spacing w:before="0"/>
            <w:jc w:val="left"/>
            <w:rPr>
              <w:sz w:val="18"/>
              <w:szCs w:val="18"/>
            </w:rPr>
          </w:pPr>
          <w:r>
            <w:rPr>
              <w:rFonts w:eastAsiaTheme="minorHAnsi" w:cstheme="minorBidi"/>
              <w:b/>
              <w:color w:val="00B0F0"/>
              <w:sz w:val="18"/>
              <w:szCs w:val="18"/>
              <w:lang w:eastAsia="en-US"/>
            </w:rPr>
            <w:t>JAE / JAP 2025</w:t>
          </w:r>
        </w:p>
      </w:tc>
      <w:tc>
        <w:tcPr>
          <w:tcW w:w="4143" w:type="dxa"/>
          <w:vAlign w:val="bottom"/>
        </w:tcPr>
        <w:p w14:paraId="1AFAE4FD" w14:textId="77777777" w:rsidR="00F162DD" w:rsidRDefault="00F162DD" w:rsidP="00B04C50">
          <w:pPr>
            <w:tabs>
              <w:tab w:val="center" w:pos="4536"/>
              <w:tab w:val="right" w:pos="9072"/>
              <w:tab w:val="left" w:pos="9781"/>
            </w:tabs>
            <w:spacing w:before="0"/>
            <w:jc w:val="center"/>
            <w:rPr>
              <w:sz w:val="20"/>
            </w:rPr>
          </w:pPr>
          <w:r>
            <w:rPr>
              <w:noProof/>
              <w:sz w:val="20"/>
            </w:rPr>
            <w:drawing>
              <wp:inline distT="0" distB="0" distL="0" distR="0" wp14:anchorId="0CBA7788" wp14:editId="688844F1">
                <wp:extent cx="2283571" cy="324000"/>
                <wp:effectExtent l="0" t="0" r="254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571" cy="324000"/>
                        </a:xfrm>
                        <a:prstGeom prst="rect">
                          <a:avLst/>
                        </a:prstGeom>
                        <a:noFill/>
                        <a:ln>
                          <a:noFill/>
                        </a:ln>
                      </pic:spPr>
                    </pic:pic>
                  </a:graphicData>
                </a:graphic>
              </wp:inline>
            </w:drawing>
          </w:r>
        </w:p>
      </w:tc>
      <w:tc>
        <w:tcPr>
          <w:tcW w:w="2343" w:type="dxa"/>
          <w:vAlign w:val="bottom"/>
        </w:tcPr>
        <w:p w14:paraId="262F6F71" w14:textId="41BF46B0" w:rsidR="00F162DD" w:rsidRPr="0009625D" w:rsidRDefault="00F162DD" w:rsidP="00B04C50">
          <w:pPr>
            <w:tabs>
              <w:tab w:val="left" w:pos="1731"/>
            </w:tabs>
            <w:spacing w:before="0"/>
            <w:ind w:right="-110"/>
            <w:jc w:val="right"/>
            <w:rPr>
              <w:rFonts w:eastAsiaTheme="minorHAnsi" w:cstheme="minorBidi"/>
              <w:b/>
              <w:color w:val="00B0F0"/>
              <w:sz w:val="16"/>
              <w:szCs w:val="16"/>
              <w:lang w:eastAsia="en-US"/>
            </w:rPr>
          </w:pPr>
          <w:r>
            <w:rPr>
              <w:rFonts w:eastAsiaTheme="minorHAnsi" w:cstheme="minorBidi"/>
              <w:b/>
              <w:color w:val="00B0F0"/>
              <w:sz w:val="20"/>
              <w:lang w:eastAsia="en-US"/>
            </w:rPr>
            <w:t>Handout 7</w:t>
          </w:r>
        </w:p>
      </w:tc>
    </w:tr>
  </w:tbl>
  <w:p w14:paraId="2C80E973" w14:textId="77777777" w:rsidR="00F162DD" w:rsidRPr="00B04C50" w:rsidRDefault="00F162DD" w:rsidP="00B04C50">
    <w:pPr>
      <w:pStyle w:val="Fuzeil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55292" w14:textId="77777777" w:rsidR="00F162DD" w:rsidRDefault="00F162DD" w:rsidP="00EE217B">
      <w:pPr>
        <w:pStyle w:val="Fuzeile"/>
      </w:pPr>
    </w:p>
    <w:p w14:paraId="76CD688D" w14:textId="77777777" w:rsidR="00F162DD" w:rsidRPr="00EE217B" w:rsidRDefault="00F162DD" w:rsidP="00EE217B">
      <w:pPr>
        <w:spacing w:before="0"/>
        <w:jc w:val="center"/>
      </w:pPr>
      <w:r w:rsidRPr="00027F72">
        <w:separator/>
      </w:r>
      <w:r w:rsidRPr="00027F72">
        <w:separator/>
      </w:r>
    </w:p>
  </w:footnote>
  <w:footnote w:type="continuationSeparator" w:id="0">
    <w:p w14:paraId="0D32A3DE" w14:textId="77777777" w:rsidR="00F162DD" w:rsidRDefault="00F162DD" w:rsidP="00711AB6">
      <w:pPr>
        <w:spacing w:before="0"/>
        <w:jc w:val="center"/>
      </w:pPr>
    </w:p>
    <w:p w14:paraId="6AC52F59" w14:textId="77777777" w:rsidR="00F162DD" w:rsidRPr="00711AB6" w:rsidRDefault="00F162DD"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BD918" w14:textId="77777777" w:rsidR="00F162DD" w:rsidRPr="00665F75" w:rsidRDefault="00F162DD" w:rsidP="00B73242">
    <w:pPr>
      <w:pStyle w:val="Kopfzeile"/>
      <w:pBdr>
        <w:bottom w:val="none" w:sz="0" w:space="0" w:color="auto"/>
      </w:pBdr>
      <w:spacing w:before="0"/>
      <w:rPr>
        <w:sz w:val="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64B0" w14:textId="77777777" w:rsidR="00F162DD" w:rsidRPr="008C6EBB" w:rsidRDefault="00F162DD" w:rsidP="008C6EBB">
    <w:pPr>
      <w:pStyle w:val="Kopfzeile"/>
      <w:pBdr>
        <w:bottom w:val="none" w:sz="0" w:space="0" w:color="auto"/>
      </w:pBdr>
      <w:spacing w:before="0"/>
      <w:rPr>
        <w:sz w:val="2"/>
      </w:rPr>
    </w:pPr>
    <w:r w:rsidRPr="008C6EBB">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9"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653C8F"/>
    <w:multiLevelType w:val="hybridMultilevel"/>
    <w:tmpl w:val="F6C2FD4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5110B0"/>
    <w:multiLevelType w:val="hybridMultilevel"/>
    <w:tmpl w:val="F7A8A662"/>
    <w:lvl w:ilvl="0" w:tplc="D862E642">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17" w15:restartNumberingAfterBreak="0">
    <w:nsid w:val="69C15C43"/>
    <w:multiLevelType w:val="hybridMultilevel"/>
    <w:tmpl w:val="EE68B302"/>
    <w:lvl w:ilvl="0" w:tplc="70584770">
      <w:start w:val="1"/>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num w:numId="1">
    <w:abstractNumId w:val="1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16"/>
  </w:num>
  <w:num w:numId="12">
    <w:abstractNumId w:val="9"/>
  </w:num>
  <w:num w:numId="13">
    <w:abstractNumId w:val="10"/>
  </w:num>
  <w:num w:numId="14">
    <w:abstractNumId w:val="15"/>
  </w:num>
  <w:num w:numId="15">
    <w:abstractNumId w:val="13"/>
  </w:num>
  <w:num w:numId="16">
    <w:abstractNumId w:val="11"/>
  </w:num>
  <w:num w:numId="17">
    <w:abstractNumId w:val="12"/>
  </w:num>
  <w:num w:numId="18">
    <w:abstractNumId w:val="17"/>
  </w:num>
  <w:num w:numId="1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0D0"/>
    <w:rsid w:val="00002230"/>
    <w:rsid w:val="00002EED"/>
    <w:rsid w:val="000030A9"/>
    <w:rsid w:val="00011542"/>
    <w:rsid w:val="0001477C"/>
    <w:rsid w:val="0002748A"/>
    <w:rsid w:val="0003242D"/>
    <w:rsid w:val="0004061E"/>
    <w:rsid w:val="00043EFF"/>
    <w:rsid w:val="000503CF"/>
    <w:rsid w:val="0005326E"/>
    <w:rsid w:val="000616B8"/>
    <w:rsid w:val="00064F40"/>
    <w:rsid w:val="0006766A"/>
    <w:rsid w:val="00075E7C"/>
    <w:rsid w:val="00080B9A"/>
    <w:rsid w:val="00086B8A"/>
    <w:rsid w:val="0009344D"/>
    <w:rsid w:val="00097B2B"/>
    <w:rsid w:val="000B1337"/>
    <w:rsid w:val="000E26F7"/>
    <w:rsid w:val="00111AC6"/>
    <w:rsid w:val="001205E2"/>
    <w:rsid w:val="00143F11"/>
    <w:rsid w:val="00160003"/>
    <w:rsid w:val="00164457"/>
    <w:rsid w:val="00165A53"/>
    <w:rsid w:val="00180880"/>
    <w:rsid w:val="00184E10"/>
    <w:rsid w:val="001942AA"/>
    <w:rsid w:val="0019585B"/>
    <w:rsid w:val="001A1B58"/>
    <w:rsid w:val="001B3F50"/>
    <w:rsid w:val="001B7E25"/>
    <w:rsid w:val="001C0D6B"/>
    <w:rsid w:val="001C1789"/>
    <w:rsid w:val="001C5BEA"/>
    <w:rsid w:val="001D22E2"/>
    <w:rsid w:val="001E1F96"/>
    <w:rsid w:val="001E38E2"/>
    <w:rsid w:val="001E7A82"/>
    <w:rsid w:val="001F04DD"/>
    <w:rsid w:val="002065BE"/>
    <w:rsid w:val="0021047B"/>
    <w:rsid w:val="00213C34"/>
    <w:rsid w:val="00215211"/>
    <w:rsid w:val="0022375B"/>
    <w:rsid w:val="00257647"/>
    <w:rsid w:val="002717FB"/>
    <w:rsid w:val="00283F41"/>
    <w:rsid w:val="00284FA6"/>
    <w:rsid w:val="00285560"/>
    <w:rsid w:val="00285C0D"/>
    <w:rsid w:val="00290924"/>
    <w:rsid w:val="0029592F"/>
    <w:rsid w:val="002A064F"/>
    <w:rsid w:val="002B17CE"/>
    <w:rsid w:val="002B298F"/>
    <w:rsid w:val="002B37AC"/>
    <w:rsid w:val="002C6479"/>
    <w:rsid w:val="002D0908"/>
    <w:rsid w:val="002D7E2D"/>
    <w:rsid w:val="002E4D4F"/>
    <w:rsid w:val="002E66A7"/>
    <w:rsid w:val="002F09D8"/>
    <w:rsid w:val="002F5011"/>
    <w:rsid w:val="002F6B99"/>
    <w:rsid w:val="002F771F"/>
    <w:rsid w:val="00304799"/>
    <w:rsid w:val="003214A5"/>
    <w:rsid w:val="003245A7"/>
    <w:rsid w:val="00340216"/>
    <w:rsid w:val="00342964"/>
    <w:rsid w:val="00352142"/>
    <w:rsid w:val="00360F3D"/>
    <w:rsid w:val="00364269"/>
    <w:rsid w:val="0036796B"/>
    <w:rsid w:val="00376DCD"/>
    <w:rsid w:val="00382BCD"/>
    <w:rsid w:val="003932A1"/>
    <w:rsid w:val="003970A1"/>
    <w:rsid w:val="003A6FEB"/>
    <w:rsid w:val="003B420D"/>
    <w:rsid w:val="003D7D5D"/>
    <w:rsid w:val="003E348F"/>
    <w:rsid w:val="003E5835"/>
    <w:rsid w:val="003F1B18"/>
    <w:rsid w:val="004076E9"/>
    <w:rsid w:val="00412925"/>
    <w:rsid w:val="0041402E"/>
    <w:rsid w:val="00416098"/>
    <w:rsid w:val="004248A0"/>
    <w:rsid w:val="0042569B"/>
    <w:rsid w:val="0043227C"/>
    <w:rsid w:val="00433509"/>
    <w:rsid w:val="00440D21"/>
    <w:rsid w:val="00445BB8"/>
    <w:rsid w:val="0044742E"/>
    <w:rsid w:val="00453D45"/>
    <w:rsid w:val="00454705"/>
    <w:rsid w:val="00465DB3"/>
    <w:rsid w:val="00484323"/>
    <w:rsid w:val="0048553F"/>
    <w:rsid w:val="004867BC"/>
    <w:rsid w:val="00490172"/>
    <w:rsid w:val="0049126F"/>
    <w:rsid w:val="004927D2"/>
    <w:rsid w:val="00493761"/>
    <w:rsid w:val="004B2234"/>
    <w:rsid w:val="004B5526"/>
    <w:rsid w:val="004B5A8E"/>
    <w:rsid w:val="004B6415"/>
    <w:rsid w:val="004C2764"/>
    <w:rsid w:val="004C3F5D"/>
    <w:rsid w:val="004C60FF"/>
    <w:rsid w:val="004D3D4E"/>
    <w:rsid w:val="004D43D5"/>
    <w:rsid w:val="004D6C91"/>
    <w:rsid w:val="004E699D"/>
    <w:rsid w:val="004F1C26"/>
    <w:rsid w:val="004F1E92"/>
    <w:rsid w:val="0050152B"/>
    <w:rsid w:val="005060F4"/>
    <w:rsid w:val="00516C43"/>
    <w:rsid w:val="0052103B"/>
    <w:rsid w:val="00525CDB"/>
    <w:rsid w:val="00527267"/>
    <w:rsid w:val="00534A4B"/>
    <w:rsid w:val="005473EF"/>
    <w:rsid w:val="0055136F"/>
    <w:rsid w:val="0055156D"/>
    <w:rsid w:val="00553655"/>
    <w:rsid w:val="00566DD2"/>
    <w:rsid w:val="00567521"/>
    <w:rsid w:val="005706DF"/>
    <w:rsid w:val="00583AA1"/>
    <w:rsid w:val="005913EC"/>
    <w:rsid w:val="005921A2"/>
    <w:rsid w:val="005967E6"/>
    <w:rsid w:val="005B57D7"/>
    <w:rsid w:val="005B7F7F"/>
    <w:rsid w:val="005C1C85"/>
    <w:rsid w:val="005C5708"/>
    <w:rsid w:val="005D1825"/>
    <w:rsid w:val="005D26BD"/>
    <w:rsid w:val="005D2A74"/>
    <w:rsid w:val="005E07BD"/>
    <w:rsid w:val="005E7803"/>
    <w:rsid w:val="005F6F40"/>
    <w:rsid w:val="0063125C"/>
    <w:rsid w:val="00632C1A"/>
    <w:rsid w:val="006454CF"/>
    <w:rsid w:val="0065198F"/>
    <w:rsid w:val="00652124"/>
    <w:rsid w:val="006521FF"/>
    <w:rsid w:val="0066506D"/>
    <w:rsid w:val="00665F75"/>
    <w:rsid w:val="0066763B"/>
    <w:rsid w:val="00684B37"/>
    <w:rsid w:val="006B45CA"/>
    <w:rsid w:val="006B7D85"/>
    <w:rsid w:val="006C4228"/>
    <w:rsid w:val="006D45A1"/>
    <w:rsid w:val="006E0A1F"/>
    <w:rsid w:val="006E24F6"/>
    <w:rsid w:val="006E7126"/>
    <w:rsid w:val="007026D1"/>
    <w:rsid w:val="00711AB6"/>
    <w:rsid w:val="00714DF2"/>
    <w:rsid w:val="00716DD5"/>
    <w:rsid w:val="00720E5C"/>
    <w:rsid w:val="00742EA1"/>
    <w:rsid w:val="00744772"/>
    <w:rsid w:val="007506E6"/>
    <w:rsid w:val="007626C5"/>
    <w:rsid w:val="00763FC1"/>
    <w:rsid w:val="007648E0"/>
    <w:rsid w:val="00765666"/>
    <w:rsid w:val="00770901"/>
    <w:rsid w:val="00771424"/>
    <w:rsid w:val="0078728B"/>
    <w:rsid w:val="00790130"/>
    <w:rsid w:val="00796513"/>
    <w:rsid w:val="007A060E"/>
    <w:rsid w:val="007A3E0C"/>
    <w:rsid w:val="007B1945"/>
    <w:rsid w:val="007D3976"/>
    <w:rsid w:val="007E0249"/>
    <w:rsid w:val="007F3A7C"/>
    <w:rsid w:val="00802ED4"/>
    <w:rsid w:val="00805892"/>
    <w:rsid w:val="0081072B"/>
    <w:rsid w:val="008248D3"/>
    <w:rsid w:val="008359AE"/>
    <w:rsid w:val="008444E6"/>
    <w:rsid w:val="008471C9"/>
    <w:rsid w:val="00855B99"/>
    <w:rsid w:val="00862DDF"/>
    <w:rsid w:val="0087068F"/>
    <w:rsid w:val="00870FFE"/>
    <w:rsid w:val="00872C95"/>
    <w:rsid w:val="00872F5F"/>
    <w:rsid w:val="0087518D"/>
    <w:rsid w:val="0087591D"/>
    <w:rsid w:val="0088020C"/>
    <w:rsid w:val="00884570"/>
    <w:rsid w:val="00891EEA"/>
    <w:rsid w:val="008976BA"/>
    <w:rsid w:val="008A2789"/>
    <w:rsid w:val="008A5560"/>
    <w:rsid w:val="008A7BD2"/>
    <w:rsid w:val="008C44B0"/>
    <w:rsid w:val="008C6EBB"/>
    <w:rsid w:val="008D1A8E"/>
    <w:rsid w:val="008E0D82"/>
    <w:rsid w:val="008E0FC7"/>
    <w:rsid w:val="008E4151"/>
    <w:rsid w:val="008E4517"/>
    <w:rsid w:val="008F75E7"/>
    <w:rsid w:val="009022FD"/>
    <w:rsid w:val="009075A9"/>
    <w:rsid w:val="00911C62"/>
    <w:rsid w:val="0091481B"/>
    <w:rsid w:val="009212B4"/>
    <w:rsid w:val="009227C4"/>
    <w:rsid w:val="0095198B"/>
    <w:rsid w:val="00970211"/>
    <w:rsid w:val="009760D0"/>
    <w:rsid w:val="0099236A"/>
    <w:rsid w:val="009A6E64"/>
    <w:rsid w:val="009B381F"/>
    <w:rsid w:val="009C2FF2"/>
    <w:rsid w:val="009C4876"/>
    <w:rsid w:val="009C6EFB"/>
    <w:rsid w:val="009D429E"/>
    <w:rsid w:val="009E1FB1"/>
    <w:rsid w:val="009F6E01"/>
    <w:rsid w:val="00A06317"/>
    <w:rsid w:val="00A237ED"/>
    <w:rsid w:val="00A23F04"/>
    <w:rsid w:val="00A26274"/>
    <w:rsid w:val="00A31197"/>
    <w:rsid w:val="00A360DC"/>
    <w:rsid w:val="00A5114A"/>
    <w:rsid w:val="00A613A1"/>
    <w:rsid w:val="00A649A3"/>
    <w:rsid w:val="00A7113B"/>
    <w:rsid w:val="00A75CE3"/>
    <w:rsid w:val="00A8486F"/>
    <w:rsid w:val="00A87FE5"/>
    <w:rsid w:val="00A946ED"/>
    <w:rsid w:val="00AA65D6"/>
    <w:rsid w:val="00AB62C4"/>
    <w:rsid w:val="00AC17EE"/>
    <w:rsid w:val="00AD3212"/>
    <w:rsid w:val="00AE290A"/>
    <w:rsid w:val="00AE724A"/>
    <w:rsid w:val="00AF1983"/>
    <w:rsid w:val="00B04C50"/>
    <w:rsid w:val="00B06A1B"/>
    <w:rsid w:val="00B10CCC"/>
    <w:rsid w:val="00B13741"/>
    <w:rsid w:val="00B15817"/>
    <w:rsid w:val="00B1680D"/>
    <w:rsid w:val="00B22993"/>
    <w:rsid w:val="00B22DED"/>
    <w:rsid w:val="00B261B2"/>
    <w:rsid w:val="00B40ACF"/>
    <w:rsid w:val="00B52927"/>
    <w:rsid w:val="00B6345C"/>
    <w:rsid w:val="00B73242"/>
    <w:rsid w:val="00B77530"/>
    <w:rsid w:val="00BA02EC"/>
    <w:rsid w:val="00BA1533"/>
    <w:rsid w:val="00BA1564"/>
    <w:rsid w:val="00BA7590"/>
    <w:rsid w:val="00BB0F1F"/>
    <w:rsid w:val="00BC6A51"/>
    <w:rsid w:val="00BD2864"/>
    <w:rsid w:val="00BD37FF"/>
    <w:rsid w:val="00BD62C0"/>
    <w:rsid w:val="00BE368B"/>
    <w:rsid w:val="00BF0354"/>
    <w:rsid w:val="00BF2B89"/>
    <w:rsid w:val="00BF7EB9"/>
    <w:rsid w:val="00C00899"/>
    <w:rsid w:val="00C0450C"/>
    <w:rsid w:val="00C24E59"/>
    <w:rsid w:val="00C30D7D"/>
    <w:rsid w:val="00C40EAB"/>
    <w:rsid w:val="00C43D74"/>
    <w:rsid w:val="00C470A2"/>
    <w:rsid w:val="00C61048"/>
    <w:rsid w:val="00C8522D"/>
    <w:rsid w:val="00C91AC1"/>
    <w:rsid w:val="00C940C7"/>
    <w:rsid w:val="00CA5FDE"/>
    <w:rsid w:val="00CA6FFC"/>
    <w:rsid w:val="00CB24C7"/>
    <w:rsid w:val="00CB6DEC"/>
    <w:rsid w:val="00CB74A1"/>
    <w:rsid w:val="00CC19EF"/>
    <w:rsid w:val="00CD1A9A"/>
    <w:rsid w:val="00CD2E4B"/>
    <w:rsid w:val="00CD4117"/>
    <w:rsid w:val="00CD56A2"/>
    <w:rsid w:val="00CE73C2"/>
    <w:rsid w:val="00D13BD1"/>
    <w:rsid w:val="00D45365"/>
    <w:rsid w:val="00D46322"/>
    <w:rsid w:val="00D61222"/>
    <w:rsid w:val="00DA6374"/>
    <w:rsid w:val="00DB333A"/>
    <w:rsid w:val="00DB3534"/>
    <w:rsid w:val="00DB3B77"/>
    <w:rsid w:val="00DC5CF9"/>
    <w:rsid w:val="00DD25BB"/>
    <w:rsid w:val="00DD3447"/>
    <w:rsid w:val="00DD415C"/>
    <w:rsid w:val="00DD5810"/>
    <w:rsid w:val="00DD7175"/>
    <w:rsid w:val="00DE10AB"/>
    <w:rsid w:val="00DE2B44"/>
    <w:rsid w:val="00E016C0"/>
    <w:rsid w:val="00E14FB1"/>
    <w:rsid w:val="00E153A6"/>
    <w:rsid w:val="00E211D2"/>
    <w:rsid w:val="00E342CA"/>
    <w:rsid w:val="00E368C3"/>
    <w:rsid w:val="00E41BA7"/>
    <w:rsid w:val="00E50734"/>
    <w:rsid w:val="00E54CF5"/>
    <w:rsid w:val="00E57522"/>
    <w:rsid w:val="00E57793"/>
    <w:rsid w:val="00E61BCD"/>
    <w:rsid w:val="00E77518"/>
    <w:rsid w:val="00E82B21"/>
    <w:rsid w:val="00EA2ACF"/>
    <w:rsid w:val="00EA74B3"/>
    <w:rsid w:val="00EC00F0"/>
    <w:rsid w:val="00EE217B"/>
    <w:rsid w:val="00EF058A"/>
    <w:rsid w:val="00EF2558"/>
    <w:rsid w:val="00F029CC"/>
    <w:rsid w:val="00F02A61"/>
    <w:rsid w:val="00F162DD"/>
    <w:rsid w:val="00F2421E"/>
    <w:rsid w:val="00F3121A"/>
    <w:rsid w:val="00F338FA"/>
    <w:rsid w:val="00F35247"/>
    <w:rsid w:val="00F43427"/>
    <w:rsid w:val="00F508B7"/>
    <w:rsid w:val="00F51F9C"/>
    <w:rsid w:val="00F579A0"/>
    <w:rsid w:val="00F607DD"/>
    <w:rsid w:val="00F672A4"/>
    <w:rsid w:val="00F67FF5"/>
    <w:rsid w:val="00F87375"/>
    <w:rsid w:val="00F920AB"/>
    <w:rsid w:val="00FA1E51"/>
    <w:rsid w:val="00FB19BE"/>
    <w:rsid w:val="00FB74D4"/>
    <w:rsid w:val="00FD0600"/>
    <w:rsid w:val="00FD6CCC"/>
    <w:rsid w:val="00FE65A7"/>
    <w:rsid w:val="00FF47FA"/>
    <w:rsid w:val="00FF54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74F11CF2"/>
  <w15:docId w15:val="{15B8959A-6434-4265-9CD5-0B724CEC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link w:val="berschrift3Zchn"/>
    <w:uiPriority w:val="9"/>
    <w:qFormat/>
    <w:rsid w:val="00CB24C7"/>
    <w:pPr>
      <w:numPr>
        <w:ilvl w:val="2"/>
      </w:numPr>
      <w:spacing w:before="360"/>
      <w:ind w:left="709" w:hanging="709"/>
      <w:outlineLvl w:val="2"/>
    </w:pPr>
    <w:rPr>
      <w:sz w:val="24"/>
    </w:rPr>
  </w:style>
  <w:style w:type="paragraph" w:styleId="berschrift4">
    <w:name w:val="heading 4"/>
    <w:basedOn w:val="berschrift3"/>
    <w:next w:val="Standardeinzug"/>
    <w:link w:val="berschrift4Zchn"/>
    <w:uiPriority w:val="9"/>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uiPriority w:val="99"/>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character" w:customStyle="1" w:styleId="berschrift3Zchn">
    <w:name w:val="Überschrift 3 Zchn"/>
    <w:basedOn w:val="Absatz-Standardschriftart"/>
    <w:link w:val="berschrift3"/>
    <w:uiPriority w:val="9"/>
    <w:rsid w:val="002E4D4F"/>
    <w:rPr>
      <w:rFonts w:ascii="Futura Md BT" w:hAnsi="Futura Md BT"/>
      <w:b/>
      <w:color w:val="00A7DE"/>
      <w:kern w:val="28"/>
      <w:sz w:val="24"/>
    </w:rPr>
  </w:style>
  <w:style w:type="character" w:customStyle="1" w:styleId="berschrift4Zchn">
    <w:name w:val="Überschrift 4 Zchn"/>
    <w:basedOn w:val="Absatz-Standardschriftart"/>
    <w:link w:val="berschrift4"/>
    <w:uiPriority w:val="9"/>
    <w:rsid w:val="002E4D4F"/>
    <w:rPr>
      <w:rFonts w:ascii="Futura Md BT" w:hAnsi="Futura Md BT"/>
      <w:color w:val="00A7DE"/>
      <w:kern w:val="28"/>
      <w:sz w:val="24"/>
    </w:rPr>
  </w:style>
  <w:style w:type="numbering" w:customStyle="1" w:styleId="KeineListe1">
    <w:name w:val="Keine Liste1"/>
    <w:next w:val="KeineListe"/>
    <w:uiPriority w:val="99"/>
    <w:semiHidden/>
    <w:unhideWhenUsed/>
    <w:rsid w:val="002E4D4F"/>
  </w:style>
  <w:style w:type="paragraph" w:customStyle="1" w:styleId="msonormal0">
    <w:name w:val="msonormal"/>
    <w:basedOn w:val="Standard"/>
    <w:rsid w:val="002E4D4F"/>
    <w:pPr>
      <w:spacing w:before="100" w:beforeAutospacing="1" w:after="100" w:afterAutospacing="1"/>
      <w:jc w:val="left"/>
    </w:pPr>
    <w:rPr>
      <w:rFonts w:ascii="Times New Roman" w:hAnsi="Times New Roman"/>
      <w:sz w:val="24"/>
      <w:szCs w:val="24"/>
    </w:rPr>
  </w:style>
  <w:style w:type="paragraph" w:styleId="StandardWeb">
    <w:name w:val="Normal (Web)"/>
    <w:basedOn w:val="Standard"/>
    <w:uiPriority w:val="99"/>
    <w:semiHidden/>
    <w:unhideWhenUsed/>
    <w:rsid w:val="002E4D4F"/>
    <w:pPr>
      <w:spacing w:before="100" w:beforeAutospacing="1" w:after="100" w:afterAutospacing="1"/>
      <w:jc w:val="left"/>
    </w:pPr>
    <w:rPr>
      <w:rFonts w:ascii="Times New Roman" w:hAnsi="Times New Roman"/>
      <w:sz w:val="24"/>
      <w:szCs w:val="24"/>
    </w:rPr>
  </w:style>
  <w:style w:type="character" w:styleId="BesuchterLink">
    <w:name w:val="FollowedHyperlink"/>
    <w:basedOn w:val="Absatz-Standardschriftart"/>
    <w:uiPriority w:val="99"/>
    <w:semiHidden/>
    <w:unhideWhenUsed/>
    <w:rsid w:val="002E4D4F"/>
    <w:rPr>
      <w:color w:val="800080"/>
      <w:u w:val="single"/>
    </w:rPr>
  </w:style>
  <w:style w:type="paragraph" w:customStyle="1" w:styleId="tblpfl">
    <w:name w:val="tbl_p_fl"/>
    <w:basedOn w:val="Standard"/>
    <w:rsid w:val="002E4D4F"/>
    <w:pPr>
      <w:spacing w:before="100" w:beforeAutospacing="1" w:after="100" w:afterAutospacing="1"/>
      <w:jc w:val="left"/>
    </w:pPr>
    <w:rPr>
      <w:rFonts w:ascii="Times New Roman" w:hAnsi="Times New Roman"/>
      <w:sz w:val="24"/>
      <w:szCs w:val="24"/>
    </w:rPr>
  </w:style>
  <w:style w:type="paragraph" w:customStyle="1" w:styleId="listpfl">
    <w:name w:val="list_p_fl"/>
    <w:basedOn w:val="Standard"/>
    <w:rsid w:val="002E4D4F"/>
    <w:pPr>
      <w:spacing w:before="100" w:beforeAutospacing="1" w:after="100" w:afterAutospacing="1"/>
      <w:jc w:val="left"/>
    </w:pPr>
    <w:rPr>
      <w:rFonts w:ascii="Times New Roman" w:hAnsi="Times New Roman"/>
      <w:sz w:val="24"/>
      <w:szCs w:val="24"/>
    </w:rPr>
  </w:style>
  <w:style w:type="paragraph" w:customStyle="1" w:styleId="listpf">
    <w:name w:val="list_p_f"/>
    <w:basedOn w:val="Standard"/>
    <w:rsid w:val="002E4D4F"/>
    <w:pPr>
      <w:spacing w:before="100" w:beforeAutospacing="1" w:after="100" w:afterAutospacing="1"/>
      <w:jc w:val="left"/>
    </w:pPr>
    <w:rPr>
      <w:rFonts w:ascii="Times New Roman" w:hAnsi="Times New Roman"/>
      <w:sz w:val="24"/>
      <w:szCs w:val="24"/>
    </w:rPr>
  </w:style>
  <w:style w:type="paragraph" w:customStyle="1" w:styleId="listpl">
    <w:name w:val="list_p_l"/>
    <w:basedOn w:val="Standard"/>
    <w:rsid w:val="002E4D4F"/>
    <w:pPr>
      <w:spacing w:before="100" w:beforeAutospacing="1" w:after="100" w:afterAutospacing="1"/>
      <w:jc w:val="left"/>
    </w:pPr>
    <w:rPr>
      <w:rFonts w:ascii="Times New Roman" w:hAnsi="Times New Roman"/>
      <w:sz w:val="24"/>
      <w:szCs w:val="24"/>
    </w:rPr>
  </w:style>
  <w:style w:type="paragraph" w:styleId="berarbeitung">
    <w:name w:val="Revision"/>
    <w:hidden/>
    <w:uiPriority w:val="99"/>
    <w:semiHidden/>
    <w:rsid w:val="002E4D4F"/>
    <w:rPr>
      <w:rFonts w:ascii="Century Gothic" w:eastAsiaTheme="minorHAnsi" w:hAnsi="Century Gothic" w:cstheme="minorBidi"/>
      <w:sz w:val="22"/>
      <w:szCs w:val="22"/>
      <w:lang w:eastAsia="en-US"/>
    </w:rPr>
  </w:style>
  <w:style w:type="character" w:styleId="NichtaufgelsteErwhnung">
    <w:name w:val="Unresolved Mention"/>
    <w:basedOn w:val="Absatz-Standardschriftart"/>
    <w:uiPriority w:val="99"/>
    <w:semiHidden/>
    <w:unhideWhenUsed/>
    <w:rsid w:val="002E4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AB7193CB-E17E-4D4E-B062-7F331DDC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9274</Words>
  <Characters>58430</Characters>
  <Application>Microsoft Office Word</Application>
  <DocSecurity>0</DocSecurity>
  <Lines>486</Lines>
  <Paragraphs>135</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67569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Bender, Tobias - LÖSLE</dc:creator>
  <cp:lastModifiedBy>Koch, Anja - AUDfIT</cp:lastModifiedBy>
  <cp:revision>63</cp:revision>
  <cp:lastPrinted>2025-10-13T13:29:00Z</cp:lastPrinted>
  <dcterms:created xsi:type="dcterms:W3CDTF">2019-01-28T13:31:00Z</dcterms:created>
  <dcterms:modified xsi:type="dcterms:W3CDTF">2025-10-13T13:30:00Z</dcterms:modified>
</cp:coreProperties>
</file>