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3927B9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3927B9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3927B9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414D05" w:rsidRPr="003927B9">
              <w:rPr>
                <w:rFonts w:ascii="Century Gothic" w:hAnsi="Century Gothic"/>
                <w:color w:val="00B0F0"/>
                <w:sz w:val="28"/>
              </w:rPr>
              <w:t>2</w:t>
            </w:r>
            <w:r w:rsidR="003A7861" w:rsidRPr="003927B9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3927B9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414D05" w:rsidRPr="003927B9">
              <w:rPr>
                <w:rFonts w:ascii="Century Gothic" w:hAnsi="Century Gothic"/>
                <w:color w:val="00B0F0"/>
                <w:sz w:val="28"/>
              </w:rPr>
              <w:t>Zinsabgrenzung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CD6AFE" w:rsidRDefault="00AF76A2" w:rsidP="001C38BE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p w:rsidR="00C929A0" w:rsidRPr="00B760B6" w:rsidRDefault="00414D05" w:rsidP="003A7861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Bei der Kreissparkasse wurde am 1. November </w:t>
            </w:r>
            <w:r w:rsidR="00B620A9">
              <w:rPr>
                <w:sz w:val="24"/>
                <w:szCs w:val="28"/>
              </w:rPr>
              <w:t>des Geschäftsjahres</w:t>
            </w:r>
            <w:r>
              <w:rPr>
                <w:sz w:val="24"/>
                <w:szCs w:val="28"/>
              </w:rPr>
              <w:t xml:space="preserve"> ein Festgeld i. H. v. Mio. EUR </w:t>
            </w:r>
            <w:r w:rsidR="00D3468F">
              <w:rPr>
                <w:sz w:val="24"/>
                <w:szCs w:val="28"/>
              </w:rPr>
              <w:t xml:space="preserve">4 </w:t>
            </w:r>
            <w:r>
              <w:rPr>
                <w:sz w:val="24"/>
                <w:szCs w:val="28"/>
              </w:rPr>
              <w:t>zu einem Zinssatz von 5,25 % für 3 Monate angelegt.</w:t>
            </w: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:rsidTr="00182B83">
        <w:tc>
          <w:tcPr>
            <w:tcW w:w="9072" w:type="dxa"/>
          </w:tcPr>
          <w:p w:rsidR="00B760B6" w:rsidRPr="00DF6B90" w:rsidRDefault="00414D05" w:rsidP="00DF6B90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Was muss unter den sonstigen Vermögensgegenständen bilanziert werden?</w:t>
            </w:r>
          </w:p>
        </w:tc>
      </w:tr>
    </w:tbl>
    <w:p w:rsidR="005E0577" w:rsidRPr="00414D05" w:rsidRDefault="005E0577" w:rsidP="008A5560">
      <w:pPr>
        <w:spacing w:before="0"/>
        <w:rPr>
          <w:sz w:val="24"/>
          <w:szCs w:val="28"/>
        </w:rPr>
      </w:pPr>
    </w:p>
    <w:sectPr w:rsidR="005E0577" w:rsidRPr="00414D05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C96" w:rsidRDefault="00E23C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59693299" wp14:editId="33C6F611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A42445" w:rsidRPr="0009625D" w:rsidTr="00CF1C02">
      <w:trPr>
        <w:trHeight w:hRule="exact" w:val="1333"/>
      </w:trPr>
      <w:tc>
        <w:tcPr>
          <w:tcW w:w="2694" w:type="dxa"/>
          <w:vAlign w:val="bottom"/>
        </w:tcPr>
        <w:p w:rsidR="00A42445" w:rsidRPr="005F3383" w:rsidRDefault="00A42445" w:rsidP="00A42445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2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32579447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A42445" w:rsidRPr="005F3383" w:rsidRDefault="00A42445" w:rsidP="00A42445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A42445" w:rsidRDefault="00A42445" w:rsidP="00A42445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0573BB3" wp14:editId="5D9A3A36">
                <wp:extent cx="2283571" cy="324000"/>
                <wp:effectExtent l="0" t="0" r="254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A42445" w:rsidRPr="0009625D" w:rsidRDefault="00A42445" w:rsidP="00A42445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8</w:t>
          </w:r>
          <w:bookmarkStart w:id="0" w:name="_GoBack"/>
          <w:bookmarkEnd w:id="0"/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/2</w:t>
          </w:r>
        </w:p>
      </w:tc>
    </w:tr>
  </w:tbl>
  <w:p w:rsidR="007506E6" w:rsidRPr="00A42445" w:rsidRDefault="007506E6" w:rsidP="00A42445">
    <w:pPr>
      <w:pStyle w:val="Fuzeile"/>
      <w:tabs>
        <w:tab w:val="clear" w:pos="4536"/>
        <w:tab w:val="clear" w:pos="9072"/>
        <w:tab w:val="left" w:pos="586"/>
      </w:tabs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C96" w:rsidRDefault="00E23C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57307B" wp14:editId="11EB9157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97A57" w:rsidRPr="00B97A5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97A57" w:rsidRPr="00B97A5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#2308 </w:t>
                          </w:r>
                          <w:r w:rsidR="00B97A57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2: Zinsabgrenzung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7307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97A57" w:rsidRPr="00B97A57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97A57" w:rsidRPr="00B97A57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#2308 </w:t>
                    </w:r>
                    <w:r w:rsidR="00B97A57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Praxisfall 2: Zinsabgrenzung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5"/>
  </w:num>
  <w:num w:numId="18">
    <w:abstractNumId w:val="16"/>
  </w:num>
  <w:num w:numId="19">
    <w:abstractNumId w:val="11"/>
  </w:num>
  <w:num w:numId="2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6BBE"/>
    <w:rsid w:val="00111AC6"/>
    <w:rsid w:val="001205E2"/>
    <w:rsid w:val="00143F11"/>
    <w:rsid w:val="00165A53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C38BE"/>
    <w:rsid w:val="001D22E2"/>
    <w:rsid w:val="001E1F96"/>
    <w:rsid w:val="001E38E2"/>
    <w:rsid w:val="001E7A82"/>
    <w:rsid w:val="001F04DD"/>
    <w:rsid w:val="002065BE"/>
    <w:rsid w:val="0021047B"/>
    <w:rsid w:val="00213C34"/>
    <w:rsid w:val="00222629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27B9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E24F6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34D9C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42445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50770"/>
    <w:rsid w:val="00B620A9"/>
    <w:rsid w:val="00B6345C"/>
    <w:rsid w:val="00B66196"/>
    <w:rsid w:val="00B73242"/>
    <w:rsid w:val="00B760B6"/>
    <w:rsid w:val="00B77530"/>
    <w:rsid w:val="00B91F5A"/>
    <w:rsid w:val="00B97A57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A5FDE"/>
    <w:rsid w:val="00CA64ED"/>
    <w:rsid w:val="00CA6FFC"/>
    <w:rsid w:val="00CB24C7"/>
    <w:rsid w:val="00CB3640"/>
    <w:rsid w:val="00CC19EF"/>
    <w:rsid w:val="00CD1A9A"/>
    <w:rsid w:val="00CD4117"/>
    <w:rsid w:val="00CD6AFE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23C96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053A78A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2D26E677-303E-44F6-8A50-7D266414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24</cp:revision>
  <cp:lastPrinted>2025-02-13T14:03:00Z</cp:lastPrinted>
  <dcterms:created xsi:type="dcterms:W3CDTF">2023-05-22T12:36:00Z</dcterms:created>
  <dcterms:modified xsi:type="dcterms:W3CDTF">2025-10-08T10:05:00Z</dcterms:modified>
</cp:coreProperties>
</file>