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2D3140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5D5E66">
              <w:rPr>
                <w:rFonts w:ascii="Century Gothic" w:hAnsi="Century Gothic"/>
                <w:color w:val="00B0F0"/>
                <w:sz w:val="28"/>
              </w:rPr>
              <w:t>Lösungshinweis</w:t>
            </w:r>
            <w:r w:rsidR="00C66661" w:rsidRPr="005D5E66">
              <w:rPr>
                <w:rFonts w:ascii="Century Gothic" w:hAnsi="Century Gothic"/>
                <w:color w:val="00B0F0"/>
                <w:sz w:val="28"/>
              </w:rPr>
              <w:t>e</w:t>
            </w:r>
            <w:r w:rsidRPr="005D5E66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5D5E66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5D5E66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5D5E66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414D05" w:rsidRPr="005D5E66">
              <w:rPr>
                <w:rFonts w:ascii="Century Gothic" w:hAnsi="Century Gothic"/>
                <w:color w:val="00B0F0"/>
                <w:sz w:val="28"/>
              </w:rPr>
              <w:t>2</w:t>
            </w:r>
            <w:r w:rsidR="003A7861" w:rsidRPr="005D5E66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5D5E66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14D05" w:rsidRPr="005D5E66">
              <w:rPr>
                <w:rFonts w:ascii="Century Gothic" w:hAnsi="Century Gothic"/>
                <w:color w:val="00B0F0"/>
                <w:sz w:val="28"/>
              </w:rPr>
              <w:t>Zinsabgrenzung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947030" w:rsidRDefault="00AF76A2" w:rsidP="004B301C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29A0" w:rsidRPr="00B760B6" w:rsidRDefault="00414D05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Bei der Kreissparkasse wurde am 1. November </w:t>
            </w:r>
            <w:r w:rsidR="00846F00">
              <w:rPr>
                <w:sz w:val="24"/>
                <w:szCs w:val="28"/>
              </w:rPr>
              <w:t>des Geschäftsjahres</w:t>
            </w:r>
            <w:r>
              <w:rPr>
                <w:sz w:val="24"/>
                <w:szCs w:val="28"/>
              </w:rPr>
              <w:t xml:space="preserve"> ein Festgeld i. H. v. Mio. EUR </w:t>
            </w:r>
            <w:r w:rsidR="00D3468F">
              <w:rPr>
                <w:sz w:val="24"/>
                <w:szCs w:val="28"/>
              </w:rPr>
              <w:t xml:space="preserve">4 </w:t>
            </w:r>
            <w:r>
              <w:rPr>
                <w:sz w:val="24"/>
                <w:szCs w:val="28"/>
              </w:rPr>
              <w:t>zu einem Zinssatz von 5,25 % für 3 Monate angelegt.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B760B6" w:rsidRPr="00DF6B90" w:rsidRDefault="00414D05" w:rsidP="00DF6B9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Was muss unter den sonstigen Vermögensgegenständen bilanziert werden?</w:t>
            </w:r>
          </w:p>
        </w:tc>
      </w:tr>
      <w:tr w:rsidR="002D3140" w:rsidRPr="002D3140" w:rsidTr="00182B83">
        <w:tc>
          <w:tcPr>
            <w:tcW w:w="9072" w:type="dxa"/>
          </w:tcPr>
          <w:p w:rsidR="002D3140" w:rsidRPr="002D3140" w:rsidRDefault="002D3140" w:rsidP="00DF6B90">
            <w:pPr>
              <w:spacing w:before="0"/>
              <w:rPr>
                <w:sz w:val="2"/>
                <w:szCs w:val="28"/>
              </w:rPr>
            </w:pPr>
          </w:p>
        </w:tc>
      </w:tr>
      <w:tr w:rsidR="002D3140" w:rsidRPr="00E65739" w:rsidTr="00E905B7">
        <w:tc>
          <w:tcPr>
            <w:tcW w:w="9072" w:type="dxa"/>
            <w:shd w:val="clear" w:color="auto" w:fill="D9D9D9" w:themeFill="background1" w:themeFillShade="D9"/>
          </w:tcPr>
          <w:p w:rsidR="002D3140" w:rsidRPr="00E65739" w:rsidRDefault="002D3140" w:rsidP="00E905B7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D21725" w:rsidRPr="002D3140" w:rsidTr="00182B83">
        <w:tc>
          <w:tcPr>
            <w:tcW w:w="9072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4962"/>
              <w:gridCol w:w="1842"/>
              <w:gridCol w:w="1583"/>
            </w:tblGrid>
            <w:tr w:rsidR="00D21725" w:rsidRPr="00D21725" w:rsidTr="00D21725">
              <w:tc>
                <w:tcPr>
                  <w:tcW w:w="459" w:type="dxa"/>
                </w:tcPr>
                <w:p w:rsidR="00D21725" w:rsidRPr="00D21725" w:rsidRDefault="00D21725" w:rsidP="00D21725">
                  <w:pPr>
                    <w:spacing w:before="0"/>
                    <w:rPr>
                      <w:b/>
                      <w:sz w:val="24"/>
                      <w:szCs w:val="28"/>
                    </w:rPr>
                  </w:pPr>
                  <w:r w:rsidRPr="00D21725">
                    <w:rPr>
                      <w:b/>
                      <w:sz w:val="24"/>
                      <w:szCs w:val="28"/>
                    </w:rPr>
                    <w:t>1.</w:t>
                  </w:r>
                </w:p>
              </w:tc>
              <w:tc>
                <w:tcPr>
                  <w:tcW w:w="8387" w:type="dxa"/>
                  <w:gridSpan w:val="3"/>
                </w:tcPr>
                <w:p w:rsidR="00D21725" w:rsidRPr="00D21725" w:rsidRDefault="00D21725" w:rsidP="00DF6B90">
                  <w:pPr>
                    <w:spacing w:before="0"/>
                    <w:rPr>
                      <w:b/>
                      <w:sz w:val="24"/>
                      <w:szCs w:val="28"/>
                    </w:rPr>
                  </w:pPr>
                  <w:r w:rsidRPr="00D21725">
                    <w:rPr>
                      <w:b/>
                      <w:sz w:val="24"/>
                      <w:szCs w:val="28"/>
                    </w:rPr>
                    <w:t>Ermittlung Wertansatz</w:t>
                  </w:r>
                </w:p>
              </w:tc>
            </w:tr>
            <w:tr w:rsidR="00D21725" w:rsidRPr="00D21725" w:rsidTr="00D21725">
              <w:tc>
                <w:tcPr>
                  <w:tcW w:w="459" w:type="dxa"/>
                </w:tcPr>
                <w:p w:rsidR="00D21725" w:rsidRPr="00D21725" w:rsidRDefault="00D21725" w:rsidP="00D21725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8387" w:type="dxa"/>
                  <w:gridSpan w:val="3"/>
                </w:tcPr>
                <w:p w:rsidR="00D21725" w:rsidRPr="00D21725" w:rsidRDefault="00D21725" w:rsidP="00DF6B90">
                  <w:pPr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4.000.000,00 EUR * 0,0525 * 3/12 = 52.500,00 EUR</w:t>
                  </w:r>
                </w:p>
              </w:tc>
            </w:tr>
            <w:tr w:rsidR="00D21725" w:rsidRPr="00D21725" w:rsidTr="00D21725">
              <w:tc>
                <w:tcPr>
                  <w:tcW w:w="459" w:type="dxa"/>
                </w:tcPr>
                <w:p w:rsidR="00D21725" w:rsidRPr="00D21725" w:rsidRDefault="00D21725" w:rsidP="00D21725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8387" w:type="dxa"/>
                  <w:gridSpan w:val="3"/>
                </w:tcPr>
                <w:p w:rsidR="00D21725" w:rsidRDefault="00D21725" w:rsidP="00D21725">
                  <w:pPr>
                    <w:tabs>
                      <w:tab w:val="left" w:pos="3007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Davon Zinsertrag </w:t>
                  </w:r>
                  <w:r w:rsidR="00846F00">
                    <w:rPr>
                      <w:sz w:val="24"/>
                      <w:szCs w:val="28"/>
                    </w:rPr>
                    <w:t xml:space="preserve">im </w:t>
                  </w:r>
                  <w:proofErr w:type="spellStart"/>
                  <w:r w:rsidR="00846F00">
                    <w:rPr>
                      <w:sz w:val="24"/>
                      <w:szCs w:val="28"/>
                    </w:rPr>
                    <w:t>Gj</w:t>
                  </w:r>
                  <w:proofErr w:type="spellEnd"/>
                  <w:r w:rsidR="00846F00">
                    <w:rPr>
                      <w:sz w:val="24"/>
                      <w:szCs w:val="28"/>
                    </w:rPr>
                    <w:t>.</w:t>
                  </w:r>
                  <w:r>
                    <w:rPr>
                      <w:sz w:val="24"/>
                      <w:szCs w:val="28"/>
                    </w:rPr>
                    <w:t>: 2/3 = 35.000,00 EUR</w:t>
                  </w:r>
                </w:p>
              </w:tc>
            </w:tr>
            <w:tr w:rsidR="00D21725" w:rsidRPr="00D21725" w:rsidTr="00D21725">
              <w:tc>
                <w:tcPr>
                  <w:tcW w:w="459" w:type="dxa"/>
                </w:tcPr>
                <w:p w:rsidR="00D21725" w:rsidRPr="00D21725" w:rsidRDefault="00D21725" w:rsidP="00D21725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8387" w:type="dxa"/>
                  <w:gridSpan w:val="3"/>
                </w:tcPr>
                <w:p w:rsidR="00D21725" w:rsidRDefault="00D21725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D21725" w:rsidRPr="00D21725" w:rsidTr="00D21725">
              <w:tc>
                <w:tcPr>
                  <w:tcW w:w="459" w:type="dxa"/>
                </w:tcPr>
                <w:p w:rsidR="00D21725" w:rsidRPr="00D21725" w:rsidRDefault="00D21725" w:rsidP="00D21725">
                  <w:pPr>
                    <w:spacing w:before="0"/>
                    <w:rPr>
                      <w:b/>
                      <w:sz w:val="24"/>
                      <w:szCs w:val="28"/>
                    </w:rPr>
                  </w:pPr>
                  <w:r w:rsidRPr="00D21725">
                    <w:rPr>
                      <w:b/>
                      <w:sz w:val="24"/>
                      <w:szCs w:val="28"/>
                    </w:rPr>
                    <w:t>2.</w:t>
                  </w:r>
                </w:p>
              </w:tc>
              <w:tc>
                <w:tcPr>
                  <w:tcW w:w="8387" w:type="dxa"/>
                  <w:gridSpan w:val="3"/>
                </w:tcPr>
                <w:p w:rsidR="00D21725" w:rsidRPr="00D21725" w:rsidRDefault="00D21725" w:rsidP="00DF6B90">
                  <w:pPr>
                    <w:spacing w:before="0"/>
                    <w:rPr>
                      <w:b/>
                      <w:sz w:val="24"/>
                      <w:szCs w:val="28"/>
                    </w:rPr>
                  </w:pPr>
                  <w:r w:rsidRPr="00D21725">
                    <w:rPr>
                      <w:b/>
                      <w:sz w:val="24"/>
                      <w:szCs w:val="28"/>
                    </w:rPr>
                    <w:t>Buchung</w:t>
                  </w:r>
                </w:p>
              </w:tc>
            </w:tr>
            <w:tr w:rsidR="00A7327E" w:rsidTr="00A7327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327E" w:rsidRDefault="00A7327E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327E" w:rsidRDefault="00A7327E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327E" w:rsidRPr="00D21725" w:rsidRDefault="00A7327E" w:rsidP="00D21725">
                  <w:pPr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Soll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327E" w:rsidRPr="00D21725" w:rsidRDefault="00A7327E" w:rsidP="00D21725">
                  <w:pPr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Haben</w:t>
                  </w:r>
                </w:p>
              </w:tc>
            </w:tr>
            <w:tr w:rsidR="00175502" w:rsidTr="001755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Pr="00A7327E" w:rsidRDefault="00A7327E" w:rsidP="00D21725">
                  <w:pPr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A7327E"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Pr="00A7327E" w:rsidRDefault="00A7327E" w:rsidP="00D21725">
                  <w:pPr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A7327E"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</w:tr>
            <w:tr w:rsidR="00175502" w:rsidTr="001755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175502">
                  <w:pPr>
                    <w:spacing w:befor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Sonstige Vermögensgegenstände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21725">
                  <w:pPr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35.000,00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21725">
                  <w:pPr>
                    <w:spacing w:before="0"/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  <w:tr w:rsidR="00175502" w:rsidTr="001755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F6B90">
                  <w:pPr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175502">
                  <w:pPr>
                    <w:spacing w:befor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an sonstige Zinsen und ähnliche Erträge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21725">
                  <w:pPr>
                    <w:spacing w:before="0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5502" w:rsidRDefault="00175502" w:rsidP="00D21725">
                  <w:pPr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35.000,00</w:t>
                  </w:r>
                </w:p>
              </w:tc>
            </w:tr>
          </w:tbl>
          <w:p w:rsidR="00D21725" w:rsidRPr="002D3140" w:rsidRDefault="00D21725" w:rsidP="00DF6B90">
            <w:pPr>
              <w:spacing w:before="0"/>
              <w:rPr>
                <w:sz w:val="24"/>
                <w:szCs w:val="28"/>
              </w:rPr>
            </w:pPr>
          </w:p>
        </w:tc>
      </w:tr>
      <w:tr w:rsidR="00D21725" w:rsidRPr="002D3140" w:rsidTr="00182B83">
        <w:tc>
          <w:tcPr>
            <w:tcW w:w="9072" w:type="dxa"/>
          </w:tcPr>
          <w:p w:rsidR="00D21725" w:rsidRPr="002D3140" w:rsidRDefault="00D21725" w:rsidP="00DF6B90">
            <w:pPr>
              <w:spacing w:before="0"/>
              <w:rPr>
                <w:sz w:val="24"/>
                <w:szCs w:val="28"/>
              </w:rPr>
            </w:pPr>
          </w:p>
        </w:tc>
      </w:tr>
    </w:tbl>
    <w:p w:rsidR="005E0577" w:rsidRPr="00414D05" w:rsidRDefault="005E0577" w:rsidP="002D314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836" w:rsidRDefault="001018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101836" w:rsidRPr="0009625D" w:rsidTr="00CF1C02">
      <w:trPr>
        <w:trHeight w:hRule="exact" w:val="1333"/>
      </w:trPr>
      <w:tc>
        <w:tcPr>
          <w:tcW w:w="2694" w:type="dxa"/>
          <w:vAlign w:val="bottom"/>
        </w:tcPr>
        <w:p w:rsidR="00101836" w:rsidRPr="005F3383" w:rsidRDefault="00101836" w:rsidP="0010183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101836" w:rsidRPr="005F3383" w:rsidRDefault="00101836" w:rsidP="0010183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101836" w:rsidRDefault="00101836" w:rsidP="0010183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bookmarkStart w:id="0" w:name="_GoBack"/>
          <w:r>
            <w:rPr>
              <w:noProof/>
              <w:sz w:val="20"/>
            </w:rPr>
            <w:drawing>
              <wp:inline distT="0" distB="0" distL="0" distR="0" wp14:anchorId="33805DD3" wp14:editId="5E9C28B0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2235" w:type="dxa"/>
          <w:vAlign w:val="bottom"/>
        </w:tcPr>
        <w:p w:rsidR="00101836" w:rsidRPr="0009625D" w:rsidRDefault="00101836" w:rsidP="0010183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8/4</w:t>
          </w:r>
        </w:p>
      </w:tc>
    </w:tr>
  </w:tbl>
  <w:p w:rsidR="007506E6" w:rsidRPr="00101836" w:rsidRDefault="007506E6" w:rsidP="00101836">
    <w:pPr>
      <w:pStyle w:val="Fuzeile"/>
      <w:tabs>
        <w:tab w:val="clear" w:pos="4536"/>
        <w:tab w:val="clear" w:pos="9072"/>
        <w:tab w:val="left" w:pos="569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836" w:rsidRDefault="001018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63E1" w:rsidRPr="008A63E1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63E1" w:rsidRPr="008A63E1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#2310 </w:t>
                          </w:r>
                          <w:r w:rsidR="008A63E1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Lösungshinweise zu Praxisfall 2: Zinsabgrenzung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A63E1" w:rsidRPr="008A63E1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A63E1" w:rsidRPr="008A63E1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#2310 </w:t>
                    </w:r>
                    <w:r w:rsidR="008A63E1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Lösungshinweise zu Praxisfall 2: Zinsabgrenzung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1E24767"/>
    <w:multiLevelType w:val="hybridMultilevel"/>
    <w:tmpl w:val="38CC5C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2E9A"/>
    <w:multiLevelType w:val="hybridMultilevel"/>
    <w:tmpl w:val="208C1B68"/>
    <w:lvl w:ilvl="0" w:tplc="4DAC39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1"/>
  </w:num>
  <w:num w:numId="13">
    <w:abstractNumId w:val="13"/>
  </w:num>
  <w:num w:numId="14">
    <w:abstractNumId w:val="19"/>
  </w:num>
  <w:num w:numId="15">
    <w:abstractNumId w:val="16"/>
  </w:num>
  <w:num w:numId="16">
    <w:abstractNumId w:val="14"/>
  </w:num>
  <w:num w:numId="17">
    <w:abstractNumId w:val="17"/>
  </w:num>
  <w:num w:numId="18">
    <w:abstractNumId w:val="18"/>
  </w:num>
  <w:num w:numId="19">
    <w:abstractNumId w:val="12"/>
  </w:num>
  <w:num w:numId="20">
    <w:abstractNumId w:val="8"/>
  </w:num>
  <w:num w:numId="21">
    <w:abstractNumId w:val="10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1836"/>
    <w:rsid w:val="00106BBE"/>
    <w:rsid w:val="00111AC6"/>
    <w:rsid w:val="001205E2"/>
    <w:rsid w:val="00143F11"/>
    <w:rsid w:val="00165A53"/>
    <w:rsid w:val="00175502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3140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2D74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301C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4F7D63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D5E66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6F0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A63E1"/>
    <w:rsid w:val="008C44B0"/>
    <w:rsid w:val="008D1A8E"/>
    <w:rsid w:val="008E0D82"/>
    <w:rsid w:val="008E0FC7"/>
    <w:rsid w:val="008F75E7"/>
    <w:rsid w:val="009075A9"/>
    <w:rsid w:val="009212B4"/>
    <w:rsid w:val="00947030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327E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66661"/>
    <w:rsid w:val="00C8522D"/>
    <w:rsid w:val="00C91AC1"/>
    <w:rsid w:val="00C929A0"/>
    <w:rsid w:val="00C93992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D7FAB"/>
    <w:rsid w:val="00CE73C2"/>
    <w:rsid w:val="00D13823"/>
    <w:rsid w:val="00D13BD1"/>
    <w:rsid w:val="00D21725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03A66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28863E6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45EBDF6-25AD-4B93-8ECE-B6F8A5DF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79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14</cp:revision>
  <cp:lastPrinted>2025-02-13T14:05:00Z</cp:lastPrinted>
  <dcterms:created xsi:type="dcterms:W3CDTF">2023-05-26T08:48:00Z</dcterms:created>
  <dcterms:modified xsi:type="dcterms:W3CDTF">2025-10-08T10:12:00Z</dcterms:modified>
</cp:coreProperties>
</file>