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704670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C878A6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1B03B3" w:rsidRPr="00C878A6">
              <w:rPr>
                <w:rFonts w:ascii="Century Gothic" w:hAnsi="Century Gothic"/>
                <w:color w:val="00B0F0"/>
                <w:sz w:val="28"/>
              </w:rPr>
              <w:t>shinweise</w:t>
            </w:r>
            <w:r w:rsidRPr="00C878A6">
              <w:rPr>
                <w:rFonts w:ascii="Century Gothic" w:hAnsi="Century Gothic"/>
                <w:color w:val="00B0F0"/>
                <w:sz w:val="28"/>
              </w:rPr>
              <w:t xml:space="preserve"> zu </w:t>
            </w:r>
            <w:r w:rsidR="00AF76A2" w:rsidRPr="00C878A6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C878A6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C878A6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2271B8" w:rsidRPr="00C878A6">
              <w:rPr>
                <w:rFonts w:ascii="Century Gothic" w:hAnsi="Century Gothic"/>
                <w:color w:val="00B0F0"/>
                <w:sz w:val="28"/>
              </w:rPr>
              <w:t>3</w:t>
            </w:r>
            <w:r w:rsidR="003A402A" w:rsidRPr="00C878A6">
              <w:rPr>
                <w:rFonts w:ascii="Century Gothic" w:hAnsi="Century Gothic"/>
                <w:color w:val="00B0F0"/>
                <w:sz w:val="28"/>
              </w:rPr>
              <w:t>.</w:t>
            </w:r>
            <w:r w:rsidR="00F36238" w:rsidRPr="00C878A6">
              <w:rPr>
                <w:rFonts w:ascii="Century Gothic" w:hAnsi="Century Gothic"/>
                <w:color w:val="00B0F0"/>
                <w:sz w:val="28"/>
              </w:rPr>
              <w:t>B:</w:t>
            </w:r>
            <w:r w:rsidR="005E0577" w:rsidRPr="00C878A6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9577E" w:rsidRPr="00C878A6">
              <w:rPr>
                <w:rFonts w:ascii="Century Gothic" w:hAnsi="Century Gothic"/>
                <w:color w:val="00B0F0"/>
                <w:sz w:val="28"/>
              </w:rPr>
              <w:t xml:space="preserve">Verbindlichkeiten: </w:t>
            </w:r>
            <w:proofErr w:type="spellStart"/>
            <w:r w:rsidR="002271B8" w:rsidRPr="00C878A6">
              <w:rPr>
                <w:rFonts w:ascii="Century Gothic" w:hAnsi="Century Gothic"/>
                <w:color w:val="00B0F0"/>
                <w:sz w:val="28"/>
              </w:rPr>
              <w:t>Einbuchung</w:t>
            </w:r>
            <w:proofErr w:type="spellEnd"/>
            <w:r w:rsidR="002271B8" w:rsidRPr="00C878A6">
              <w:rPr>
                <w:rFonts w:ascii="Century Gothic" w:hAnsi="Century Gothic"/>
                <w:color w:val="00B0F0"/>
                <w:sz w:val="28"/>
              </w:rPr>
              <w:t xml:space="preserve"> eines Fremdwährungsgeschäftes</w:t>
            </w:r>
            <w:r w:rsidR="00AF6F98" w:rsidRPr="00C878A6">
              <w:rPr>
                <w:rFonts w:ascii="Century Gothic" w:hAnsi="Century Gothic"/>
                <w:color w:val="00B0F0"/>
                <w:sz w:val="28"/>
              </w:rPr>
              <w:br/>
            </w:r>
            <w:r w:rsidR="00AF6F98" w:rsidRPr="00C878A6">
              <w:rPr>
                <w:rFonts w:ascii="Century Gothic" w:hAnsi="Century Gothic"/>
                <w:sz w:val="28"/>
              </w:rPr>
              <w:t>– Langfristige Verbindlichkeiten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D70D2F" w:rsidRDefault="00AF76A2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F36238" w:rsidRPr="00AF6F98" w:rsidRDefault="00F36238" w:rsidP="00F3623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AF6F98">
              <w:rPr>
                <w:sz w:val="20"/>
              </w:rPr>
              <w:t xml:space="preserve">Das Unternehmen hat mit Vertrag vom 1. Oktober </w:t>
            </w:r>
            <w:r w:rsidR="00D7543A">
              <w:rPr>
                <w:sz w:val="20"/>
              </w:rPr>
              <w:t>01</w:t>
            </w:r>
            <w:r w:rsidRPr="00AF6F98">
              <w:rPr>
                <w:sz w:val="20"/>
              </w:rPr>
              <w:t xml:space="preserve"> (Briefkurs 1,42 $/€; Geldkurs 1,38 $/€) eine Maschine von einem amerikanischen Hersteller bezogen.</w:t>
            </w:r>
          </w:p>
          <w:p w:rsidR="00F36238" w:rsidRPr="00AF6F98" w:rsidRDefault="00F36238" w:rsidP="00F3623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AF6F98">
              <w:rPr>
                <w:sz w:val="20"/>
              </w:rPr>
              <w:t xml:space="preserve">Die Maschine wurde am 1. Dezember </w:t>
            </w:r>
            <w:r w:rsidR="00D7543A">
              <w:rPr>
                <w:sz w:val="20"/>
              </w:rPr>
              <w:t>01</w:t>
            </w:r>
            <w:r w:rsidRPr="00AF6F98">
              <w:rPr>
                <w:sz w:val="20"/>
              </w:rPr>
              <w:t xml:space="preserve"> (Briefkurs 1,47 $/€; Geldkurs </w:t>
            </w:r>
            <w:r w:rsidRPr="00AF6F98">
              <w:rPr>
                <w:sz w:val="20"/>
              </w:rPr>
              <w:br/>
              <w:t xml:space="preserve">1,43 $/€) geliefert. Der vereinbarte Kaufpreis lt. Vertrag - einschließlich Montage und Inbetriebnahme - hat Mio. $ 1 betragen und </w:t>
            </w:r>
            <w:r w:rsidR="00AF6F98" w:rsidRPr="00AF6F98">
              <w:rPr>
                <w:sz w:val="20"/>
              </w:rPr>
              <w:t>wird</w:t>
            </w:r>
            <w:r w:rsidRPr="00AF6F98">
              <w:rPr>
                <w:sz w:val="20"/>
              </w:rPr>
              <w:t xml:space="preserve"> am 15. Februar </w:t>
            </w:r>
            <w:r w:rsidR="00D7543A">
              <w:rPr>
                <w:sz w:val="20"/>
              </w:rPr>
              <w:t>03</w:t>
            </w:r>
            <w:r w:rsidRPr="00AF6F98">
              <w:rPr>
                <w:sz w:val="20"/>
              </w:rPr>
              <w:t xml:space="preserve"> vereinbarungsgemäß überwiesen.</w:t>
            </w:r>
          </w:p>
          <w:p w:rsidR="00F36238" w:rsidRPr="00AF6F98" w:rsidRDefault="00F36238" w:rsidP="00F3623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AF6F98">
              <w:rPr>
                <w:sz w:val="20"/>
              </w:rPr>
              <w:t xml:space="preserve">Am 31. Dezember </w:t>
            </w:r>
            <w:r w:rsidR="00D7543A">
              <w:rPr>
                <w:sz w:val="20"/>
              </w:rPr>
              <w:t>01</w:t>
            </w:r>
            <w:r w:rsidRPr="00AF6F98">
              <w:rPr>
                <w:sz w:val="20"/>
              </w:rPr>
              <w:t xml:space="preserve"> betrug der Briefkurs 1,50 $/€ und der Geldkurs 1,46 $/€.</w:t>
            </w:r>
          </w:p>
          <w:p w:rsidR="00C9577E" w:rsidRPr="005B024A" w:rsidRDefault="00F36238" w:rsidP="00F3623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AF6F98">
              <w:rPr>
                <w:sz w:val="20"/>
              </w:rPr>
              <w:t>Die Transaktion ist noch nicht verbucht worden.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5B024A" w:rsidRPr="00AF6F98" w:rsidRDefault="002271B8" w:rsidP="005B024A">
            <w:pPr>
              <w:spacing w:before="0"/>
              <w:rPr>
                <w:sz w:val="20"/>
              </w:rPr>
            </w:pPr>
            <w:r w:rsidRPr="00AF6F98">
              <w:rPr>
                <w:sz w:val="20"/>
              </w:rPr>
              <w:t xml:space="preserve">Bilden Sie die in </w:t>
            </w:r>
            <w:r w:rsidR="00D7543A">
              <w:rPr>
                <w:sz w:val="20"/>
              </w:rPr>
              <w:t>01</w:t>
            </w:r>
            <w:r w:rsidRPr="00AF6F98">
              <w:rPr>
                <w:sz w:val="20"/>
              </w:rPr>
              <w:t xml:space="preserve"> notwendigen Buchungssätze.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Pr="00E65739" w:rsidRDefault="002E34D9" w:rsidP="00CD13EB">
            <w:pPr>
              <w:spacing w:before="0"/>
              <w:rPr>
                <w:sz w:val="2"/>
                <w:szCs w:val="28"/>
              </w:rPr>
            </w:pPr>
          </w:p>
        </w:tc>
      </w:tr>
      <w:tr w:rsidR="002E34D9" w:rsidRPr="00E65739" w:rsidTr="00CD13EB">
        <w:tc>
          <w:tcPr>
            <w:tcW w:w="9072" w:type="dxa"/>
            <w:shd w:val="clear" w:color="auto" w:fill="D9D9D9" w:themeFill="background1" w:themeFillShade="D9"/>
          </w:tcPr>
          <w:p w:rsidR="002E34D9" w:rsidRPr="00E65739" w:rsidRDefault="002E34D9" w:rsidP="00CD13EB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Pr="00AF6F98" w:rsidRDefault="00704670" w:rsidP="00CD13EB">
            <w:pPr>
              <w:spacing w:before="0"/>
              <w:rPr>
                <w:sz w:val="20"/>
              </w:rPr>
            </w:pPr>
            <w:r w:rsidRPr="00AF6F98">
              <w:rPr>
                <w:sz w:val="20"/>
              </w:rPr>
              <w:t>Es sind folgende Buchungen vorzunehmen:</w:t>
            </w:r>
          </w:p>
        </w:tc>
      </w:tr>
      <w:tr w:rsidR="00704670" w:rsidRPr="00E65739" w:rsidTr="00182B83">
        <w:tc>
          <w:tcPr>
            <w:tcW w:w="9072" w:type="dxa"/>
          </w:tcPr>
          <w:p w:rsidR="00704670" w:rsidRPr="00AF6F98" w:rsidRDefault="00704670" w:rsidP="00704670">
            <w:pPr>
              <w:spacing w:before="0"/>
              <w:outlineLvl w:val="0"/>
              <w:rPr>
                <w:b/>
                <w:sz w:val="20"/>
              </w:rPr>
            </w:pPr>
            <w:r w:rsidRPr="00AF6F98">
              <w:rPr>
                <w:b/>
                <w:sz w:val="20"/>
              </w:rPr>
              <w:t xml:space="preserve">1. Vertragsabschluss am 1. Oktober </w:t>
            </w:r>
            <w:r w:rsidR="00D7543A">
              <w:rPr>
                <w:b/>
                <w:sz w:val="20"/>
              </w:rPr>
              <w:t>01</w:t>
            </w:r>
          </w:p>
          <w:p w:rsidR="00704670" w:rsidRPr="00AF6F98" w:rsidRDefault="00F36238" w:rsidP="00704670">
            <w:pPr>
              <w:spacing w:before="0"/>
              <w:rPr>
                <w:b/>
                <w:sz w:val="20"/>
                <w:u w:val="single"/>
              </w:rPr>
            </w:pPr>
            <w:r w:rsidRPr="00AF6F98">
              <w:rPr>
                <w:sz w:val="20"/>
              </w:rPr>
              <w:t xml:space="preserve">Am Tag des Vertragsabschlusses am 1. Oktober </w:t>
            </w:r>
            <w:r w:rsidR="00D7543A">
              <w:rPr>
                <w:sz w:val="20"/>
              </w:rPr>
              <w:t>00</w:t>
            </w:r>
            <w:r w:rsidRPr="00AF6F98">
              <w:rPr>
                <w:sz w:val="20"/>
              </w:rPr>
              <w:t xml:space="preserve"> war der Erwerb der Maschine noch ein schwebendes Geschäft, denn keine der beiden Seiten hatte bisher den Vertrag erfüllt (Lieferung bzw. Zahlung). Daher war der Kauf noch nicht zu buchen.</w:t>
            </w:r>
          </w:p>
        </w:tc>
      </w:tr>
      <w:tr w:rsidR="00704670" w:rsidRPr="00E65739" w:rsidTr="00182B83">
        <w:tc>
          <w:tcPr>
            <w:tcW w:w="9072" w:type="dxa"/>
          </w:tcPr>
          <w:p w:rsidR="00704670" w:rsidRPr="00CB0D1E" w:rsidRDefault="00704670" w:rsidP="00704670">
            <w:pPr>
              <w:spacing w:before="0"/>
              <w:outlineLvl w:val="0"/>
              <w:rPr>
                <w:b/>
                <w:sz w:val="20"/>
              </w:rPr>
            </w:pPr>
            <w:r w:rsidRPr="00CB0D1E">
              <w:rPr>
                <w:b/>
                <w:sz w:val="20"/>
              </w:rPr>
              <w:t>Buchung:</w:t>
            </w:r>
          </w:p>
          <w:p w:rsidR="00061552" w:rsidRPr="00AF6F98" w:rsidRDefault="00704670" w:rsidP="00704670">
            <w:pPr>
              <w:spacing w:before="0"/>
              <w:outlineLvl w:val="0"/>
              <w:rPr>
                <w:sz w:val="20"/>
              </w:rPr>
            </w:pPr>
            <w:r w:rsidRPr="00AF6F98">
              <w:rPr>
                <w:sz w:val="20"/>
              </w:rPr>
              <w:t>Keine Buchung</w:t>
            </w:r>
          </w:p>
        </w:tc>
      </w:tr>
      <w:tr w:rsidR="00704670" w:rsidRPr="00E65739" w:rsidTr="00182B83">
        <w:tc>
          <w:tcPr>
            <w:tcW w:w="9072" w:type="dxa"/>
          </w:tcPr>
          <w:p w:rsidR="00704670" w:rsidRPr="00AF6F98" w:rsidRDefault="00704670" w:rsidP="00704670">
            <w:pPr>
              <w:spacing w:before="0"/>
              <w:outlineLvl w:val="0"/>
              <w:rPr>
                <w:b/>
                <w:sz w:val="20"/>
              </w:rPr>
            </w:pPr>
            <w:r w:rsidRPr="00AF6F98">
              <w:rPr>
                <w:b/>
                <w:sz w:val="20"/>
              </w:rPr>
              <w:t xml:space="preserve">2. Lieferung am 1. Dezember </w:t>
            </w:r>
            <w:r w:rsidR="00D7543A">
              <w:rPr>
                <w:b/>
                <w:sz w:val="20"/>
              </w:rPr>
              <w:t>01</w:t>
            </w:r>
          </w:p>
          <w:p w:rsidR="00704670" w:rsidRPr="00AF6F98" w:rsidRDefault="00F36238" w:rsidP="00704670">
            <w:pPr>
              <w:spacing w:before="0"/>
              <w:rPr>
                <w:sz w:val="20"/>
              </w:rPr>
            </w:pPr>
            <w:r w:rsidRPr="00AF6F98">
              <w:rPr>
                <w:sz w:val="20"/>
              </w:rPr>
              <w:t>Die Verbindlichkeit aus dem Kaufvertrag in Höhe von Mio. $ 1 ist mit dem Kurs am Tag der Lieferung einzubuchen. Der Geldkurs betrug 1,43 $/€. Damit war der Kaufpreis von Mio. $ 1 mit € 699.301 einzubuchen.</w:t>
            </w:r>
          </w:p>
        </w:tc>
      </w:tr>
      <w:tr w:rsidR="0057081A" w:rsidRPr="0057081A" w:rsidTr="00182B83">
        <w:tc>
          <w:tcPr>
            <w:tcW w:w="9072" w:type="dxa"/>
          </w:tcPr>
          <w:p w:rsidR="0057081A" w:rsidRPr="00AF6F98" w:rsidRDefault="0057081A" w:rsidP="0057081A">
            <w:pPr>
              <w:spacing w:before="0"/>
              <w:outlineLvl w:val="0"/>
              <w:rPr>
                <w:sz w:val="20"/>
              </w:rPr>
            </w:pPr>
            <w:r w:rsidRPr="00AF6F98">
              <w:rPr>
                <w:sz w:val="20"/>
              </w:rPr>
              <w:t>Buchung:</w:t>
            </w:r>
          </w:p>
          <w:tbl>
            <w:tblPr>
              <w:tblStyle w:val="Tabellenraster"/>
              <w:tblW w:w="0" w:type="auto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977"/>
              <w:gridCol w:w="1939"/>
              <w:gridCol w:w="1940"/>
            </w:tblGrid>
            <w:tr w:rsidR="00AC24B8" w:rsidRPr="00AF6F98" w:rsidTr="005B6D83"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4B8" w:rsidRPr="00AF6F98" w:rsidRDefault="00AC24B8" w:rsidP="0057081A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4B8" w:rsidRPr="00AF6F98" w:rsidRDefault="00AC24B8" w:rsidP="0057081A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Soll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4B8" w:rsidRPr="00AF6F98" w:rsidRDefault="00AC24B8" w:rsidP="0057081A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Haben</w:t>
                  </w:r>
                </w:p>
              </w:tc>
            </w:tr>
            <w:tr w:rsidR="0057081A" w:rsidRPr="00AF6F98" w:rsidTr="00CD13EB"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AF6F98" w:rsidRDefault="0057081A" w:rsidP="0057081A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AC24B8" w:rsidRDefault="00AC24B8" w:rsidP="0057081A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AC24B8">
                    <w:rPr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AC24B8" w:rsidRDefault="00AC24B8" w:rsidP="0057081A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AC24B8">
                    <w:rPr>
                      <w:b/>
                      <w:sz w:val="20"/>
                    </w:rPr>
                    <w:t>EUR</w:t>
                  </w:r>
                </w:p>
              </w:tc>
            </w:tr>
            <w:tr w:rsidR="0057081A" w:rsidRPr="00AF6F98" w:rsidTr="00CD13EB"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AF6F98" w:rsidRDefault="0057081A" w:rsidP="0057081A">
                  <w:pPr>
                    <w:spacing w:before="0"/>
                    <w:rPr>
                      <w:sz w:val="20"/>
                    </w:rPr>
                  </w:pPr>
                  <w:r w:rsidRPr="00AF6F98">
                    <w:rPr>
                      <w:sz w:val="20"/>
                    </w:rPr>
                    <w:t>Maschine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AF6F98" w:rsidRDefault="0057081A" w:rsidP="0057081A">
                  <w:pPr>
                    <w:spacing w:before="0"/>
                    <w:jc w:val="right"/>
                    <w:rPr>
                      <w:sz w:val="20"/>
                    </w:rPr>
                  </w:pPr>
                  <w:r w:rsidRPr="00AF6F98">
                    <w:rPr>
                      <w:sz w:val="20"/>
                    </w:rPr>
                    <w:t>699.301,00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AF6F98" w:rsidRDefault="0057081A" w:rsidP="0057081A">
                  <w:pPr>
                    <w:spacing w:before="0"/>
                    <w:jc w:val="right"/>
                    <w:rPr>
                      <w:sz w:val="20"/>
                    </w:rPr>
                  </w:pPr>
                </w:p>
              </w:tc>
            </w:tr>
            <w:tr w:rsidR="0057081A" w:rsidRPr="00AF6F98" w:rsidTr="00CD13EB"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AF6F98" w:rsidRDefault="0057081A" w:rsidP="0057081A">
                  <w:pPr>
                    <w:spacing w:before="0"/>
                    <w:rPr>
                      <w:sz w:val="20"/>
                    </w:rPr>
                  </w:pPr>
                  <w:r w:rsidRPr="00AF6F98">
                    <w:rPr>
                      <w:sz w:val="20"/>
                    </w:rPr>
                    <w:t xml:space="preserve">an Verbindlichkeit Lieferant  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AF6F98" w:rsidRDefault="0057081A" w:rsidP="0057081A">
                  <w:pPr>
                    <w:spacing w:befor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AF6F98" w:rsidRDefault="0057081A" w:rsidP="0057081A">
                  <w:pPr>
                    <w:spacing w:before="0"/>
                    <w:jc w:val="right"/>
                    <w:rPr>
                      <w:sz w:val="20"/>
                    </w:rPr>
                  </w:pPr>
                  <w:r w:rsidRPr="00AF6F98">
                    <w:rPr>
                      <w:sz w:val="20"/>
                    </w:rPr>
                    <w:t>699.301,00</w:t>
                  </w:r>
                </w:p>
              </w:tc>
            </w:tr>
          </w:tbl>
          <w:p w:rsidR="0057081A" w:rsidRPr="00AF6F98" w:rsidRDefault="0057081A" w:rsidP="00704670">
            <w:pPr>
              <w:spacing w:before="0"/>
              <w:outlineLvl w:val="0"/>
              <w:rPr>
                <w:sz w:val="20"/>
              </w:rPr>
            </w:pPr>
          </w:p>
        </w:tc>
      </w:tr>
      <w:tr w:rsidR="0057081A" w:rsidRPr="00E65739" w:rsidTr="00182B83">
        <w:tc>
          <w:tcPr>
            <w:tcW w:w="9072" w:type="dxa"/>
          </w:tcPr>
          <w:p w:rsidR="0057081A" w:rsidRPr="00AF6F98" w:rsidRDefault="0057081A" w:rsidP="0057081A">
            <w:pPr>
              <w:spacing w:before="0"/>
              <w:outlineLvl w:val="0"/>
              <w:rPr>
                <w:b/>
                <w:sz w:val="20"/>
              </w:rPr>
            </w:pPr>
            <w:r w:rsidRPr="00AF6F98">
              <w:rPr>
                <w:b/>
                <w:sz w:val="20"/>
              </w:rPr>
              <w:t xml:space="preserve">3. Jahresabschluss am 31. Dezember </w:t>
            </w:r>
            <w:r w:rsidR="00D7543A">
              <w:rPr>
                <w:b/>
                <w:sz w:val="20"/>
              </w:rPr>
              <w:t>01</w:t>
            </w:r>
          </w:p>
          <w:p w:rsidR="0057081A" w:rsidRPr="00AF6F98" w:rsidRDefault="00F36238" w:rsidP="0057081A">
            <w:pPr>
              <w:spacing w:before="0"/>
              <w:outlineLvl w:val="0"/>
              <w:rPr>
                <w:sz w:val="20"/>
              </w:rPr>
            </w:pPr>
            <w:r w:rsidRPr="00AF6F98">
              <w:rPr>
                <w:sz w:val="20"/>
              </w:rPr>
              <w:t xml:space="preserve">Die Bewertung der $-Verbindlichkeit ist zu prüfen. Die Währungsverbindlichkeit ist grundsätzlich mit dem Devisenkassamittelkurs anzusetzen. Er beträgt am 31. Dezember </w:t>
            </w:r>
            <w:r w:rsidR="00D7543A">
              <w:rPr>
                <w:sz w:val="20"/>
              </w:rPr>
              <w:t>01</w:t>
            </w:r>
            <w:r w:rsidRPr="00AF6F98">
              <w:rPr>
                <w:sz w:val="20"/>
              </w:rPr>
              <w:t xml:space="preserve"> 1,48 $/€. Die Kaufpreisverbindlichkeit von Mio. $ 1 entspricht somit einem Betrag von nur noch € 675.676. Da die Restlaufzeit der Verbindlichkeit jedoch 1 Jahr und 6 Wochen beträgt, sind § 252 Abs. 1 Nr. 4 und § 253 Abs. 1 S. 1 HGB weiter zu beachten. Die Verbindlichkeit darf </w:t>
            </w:r>
            <w:r w:rsidRPr="00AF6F98">
              <w:rPr>
                <w:sz w:val="20"/>
                <w:u w:val="single"/>
              </w:rPr>
              <w:t>nicht</w:t>
            </w:r>
            <w:r w:rsidRPr="00AF6F98">
              <w:rPr>
                <w:sz w:val="20"/>
              </w:rPr>
              <w:t xml:space="preserve"> niedriger bewertet werden.</w:t>
            </w:r>
          </w:p>
        </w:tc>
      </w:tr>
      <w:tr w:rsidR="0057081A" w:rsidRPr="00E65739" w:rsidTr="00182B83">
        <w:tc>
          <w:tcPr>
            <w:tcW w:w="9072" w:type="dxa"/>
          </w:tcPr>
          <w:p w:rsidR="0057081A" w:rsidRPr="00CB0D1E" w:rsidRDefault="0057081A" w:rsidP="0057081A">
            <w:pPr>
              <w:spacing w:before="0"/>
              <w:rPr>
                <w:b/>
                <w:sz w:val="20"/>
              </w:rPr>
            </w:pPr>
            <w:r w:rsidRPr="00CB0D1E">
              <w:rPr>
                <w:b/>
                <w:sz w:val="20"/>
              </w:rPr>
              <w:t>Buchung:</w:t>
            </w:r>
          </w:p>
          <w:p w:rsidR="0057081A" w:rsidRPr="00AF6F98" w:rsidRDefault="00F36238" w:rsidP="00F36238">
            <w:pPr>
              <w:spacing w:before="0"/>
              <w:rPr>
                <w:sz w:val="20"/>
              </w:rPr>
            </w:pPr>
            <w:r w:rsidRPr="00AF6F98">
              <w:rPr>
                <w:sz w:val="20"/>
              </w:rPr>
              <w:t>Keine Buchung</w:t>
            </w:r>
          </w:p>
        </w:tc>
      </w:tr>
    </w:tbl>
    <w:p w:rsidR="005E0577" w:rsidRPr="00AF6F98" w:rsidRDefault="005E0577" w:rsidP="00AF6F98">
      <w:pPr>
        <w:spacing w:before="0"/>
        <w:rPr>
          <w:sz w:val="16"/>
          <w:szCs w:val="28"/>
        </w:rPr>
      </w:pPr>
    </w:p>
    <w:sectPr w:rsidR="005E0577" w:rsidRPr="00AF6F98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F4E" w:rsidRDefault="003D6F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 w:rsidR="0057081A">
      <w:rPr>
        <w:rFonts w:eastAsiaTheme="minorHAnsi" w:cstheme="minorBidi"/>
        <w:b/>
        <w:color w:val="00B0F0"/>
        <w:sz w:val="20"/>
        <w:lang w:eastAsia="en-US"/>
      </w:rPr>
      <w:t>9/</w:t>
    </w:r>
    <w:r w:rsidR="00F36238">
      <w:rPr>
        <w:rFonts w:eastAsiaTheme="minorHAnsi" w:cstheme="minorBidi"/>
        <w:b/>
        <w:color w:val="00B0F0"/>
        <w:sz w:val="20"/>
        <w:lang w:eastAsia="en-US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D6F4E" w:rsidRDefault="003D6F4E" w:rsidP="003D6F4E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9504" behindDoc="0" locked="0" layoutInCell="1" allowOverlap="1" wp14:anchorId="1E32E74C" wp14:editId="21E01485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9/10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F4E" w:rsidRDefault="003D6F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6F4E" w:rsidRPr="003D6F4E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D6F4E" w:rsidRPr="003D6F4E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552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03B3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271B8"/>
    <w:rsid w:val="00257647"/>
    <w:rsid w:val="002717FB"/>
    <w:rsid w:val="00282CD9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0EFD"/>
    <w:rsid w:val="002D7E2D"/>
    <w:rsid w:val="002E34D9"/>
    <w:rsid w:val="002F09D8"/>
    <w:rsid w:val="002F6B99"/>
    <w:rsid w:val="002F771F"/>
    <w:rsid w:val="00304799"/>
    <w:rsid w:val="00305FB5"/>
    <w:rsid w:val="00340216"/>
    <w:rsid w:val="00342964"/>
    <w:rsid w:val="00352142"/>
    <w:rsid w:val="00354556"/>
    <w:rsid w:val="00360F3D"/>
    <w:rsid w:val="00364269"/>
    <w:rsid w:val="00376DCD"/>
    <w:rsid w:val="003774FB"/>
    <w:rsid w:val="00382BCD"/>
    <w:rsid w:val="00392BBF"/>
    <w:rsid w:val="003932A1"/>
    <w:rsid w:val="003A402A"/>
    <w:rsid w:val="003A6FEB"/>
    <w:rsid w:val="003A7861"/>
    <w:rsid w:val="003B420D"/>
    <w:rsid w:val="003D6F4E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C7A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7081A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04670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9236A"/>
    <w:rsid w:val="009A23C8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24B8"/>
    <w:rsid w:val="00AC3CBC"/>
    <w:rsid w:val="00AE290A"/>
    <w:rsid w:val="00AF1983"/>
    <w:rsid w:val="00AF6F98"/>
    <w:rsid w:val="00AF76A2"/>
    <w:rsid w:val="00B1324F"/>
    <w:rsid w:val="00B13741"/>
    <w:rsid w:val="00B15817"/>
    <w:rsid w:val="00B16414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D7863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878A6"/>
    <w:rsid w:val="00C91AC1"/>
    <w:rsid w:val="00C929A0"/>
    <w:rsid w:val="00C940C7"/>
    <w:rsid w:val="00C9577E"/>
    <w:rsid w:val="00CA5FDE"/>
    <w:rsid w:val="00CA64ED"/>
    <w:rsid w:val="00CA6FFC"/>
    <w:rsid w:val="00CB0D1E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70D2F"/>
    <w:rsid w:val="00D7543A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271AD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36238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FC1F6C8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6e36c3d3-3d6d-4440-8030-c999d515afd4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15E7-5E35-4578-85ED-636B6A0C41AD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A0B1A19-F99B-4B20-901E-74230F79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291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15</cp:revision>
  <cp:lastPrinted>2025-02-13T14:28:00Z</cp:lastPrinted>
  <dcterms:created xsi:type="dcterms:W3CDTF">2023-06-13T10:08:00Z</dcterms:created>
  <dcterms:modified xsi:type="dcterms:W3CDTF">2025-10-08T12:50:00Z</dcterms:modified>
</cp:coreProperties>
</file>