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99"/>
        <w:gridCol w:w="373"/>
      </w:tblGrid>
      <w:tr w:rsidR="00DD2240" w:rsidRPr="000503CF" w14:paraId="7BE9EC94" w14:textId="77777777" w:rsidTr="00C25BE8">
        <w:trPr>
          <w:cantSplit/>
          <w:trHeight w:val="874"/>
        </w:trPr>
        <w:tc>
          <w:tcPr>
            <w:tcW w:w="8699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</w:tcPr>
          <w:p w14:paraId="1A5346A8" w14:textId="737AF4E4" w:rsidR="00DD2240" w:rsidRPr="000503CF" w:rsidRDefault="0005748B" w:rsidP="00A607F5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B0F0"/>
              </w:rPr>
              <w:t xml:space="preserve">Darstellung </w:t>
            </w:r>
            <w:r w:rsidR="00A96718">
              <w:rPr>
                <w:rFonts w:ascii="Century Gothic" w:hAnsi="Century Gothic"/>
                <w:color w:val="00B0F0"/>
              </w:rPr>
              <w:t>10</w:t>
            </w:r>
            <w:r w:rsidR="00F527A1">
              <w:rPr>
                <w:rFonts w:ascii="Century Gothic" w:hAnsi="Century Gothic"/>
                <w:color w:val="00B0F0"/>
              </w:rPr>
              <w:t xml:space="preserve"> </w:t>
            </w:r>
            <w:r>
              <w:rPr>
                <w:rFonts w:ascii="Century Gothic" w:hAnsi="Century Gothic"/>
                <w:color w:val="00B0F0"/>
              </w:rPr>
              <w:t xml:space="preserve">ausgewählter quantitativer Financial </w:t>
            </w:r>
            <w:proofErr w:type="spellStart"/>
            <w:r>
              <w:rPr>
                <w:rFonts w:ascii="Century Gothic" w:hAnsi="Century Gothic"/>
                <w:color w:val="00B0F0"/>
              </w:rPr>
              <w:t>Covenants</w:t>
            </w:r>
            <w:proofErr w:type="spellEnd"/>
          </w:p>
        </w:tc>
        <w:tc>
          <w:tcPr>
            <w:tcW w:w="373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</w:tcPr>
          <w:p w14:paraId="07CA6DFB" w14:textId="77777777" w:rsidR="00DD2240" w:rsidRPr="00DD2240" w:rsidRDefault="00C25BE8" w:rsidP="00DD2240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C11438"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05/2025</w:t>
            </w:r>
          </w:p>
        </w:tc>
      </w:tr>
    </w:tbl>
    <w:p w14:paraId="5825E506" w14:textId="77777777" w:rsidR="00604605" w:rsidRDefault="00604605" w:rsidP="00604605">
      <w:pPr>
        <w:spacing w:before="0"/>
        <w:rPr>
          <w:sz w:val="20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94"/>
        <w:gridCol w:w="1701"/>
        <w:gridCol w:w="1784"/>
        <w:gridCol w:w="1335"/>
        <w:gridCol w:w="3753"/>
      </w:tblGrid>
      <w:tr w:rsidR="0005748B" w:rsidRPr="00F527A1" w14:paraId="53F79279" w14:textId="77777777" w:rsidTr="00F527A1">
        <w:tc>
          <w:tcPr>
            <w:tcW w:w="494" w:type="dxa"/>
            <w:shd w:val="clear" w:color="auto" w:fill="D9D9D9" w:themeFill="background1" w:themeFillShade="D9"/>
          </w:tcPr>
          <w:p w14:paraId="40CFE960" w14:textId="77777777" w:rsidR="0005748B" w:rsidRPr="00F527A1" w:rsidRDefault="0005748B" w:rsidP="00604605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338EBAF" w14:textId="77777777" w:rsidR="0005748B" w:rsidRPr="00F527A1" w:rsidRDefault="0005748B" w:rsidP="00604605">
            <w:pPr>
              <w:spacing w:before="0"/>
              <w:rPr>
                <w:b/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Kennzahl</w:t>
            </w:r>
          </w:p>
        </w:tc>
        <w:tc>
          <w:tcPr>
            <w:tcW w:w="1784" w:type="dxa"/>
            <w:shd w:val="clear" w:color="auto" w:fill="D9D9D9" w:themeFill="background1" w:themeFillShade="D9"/>
          </w:tcPr>
          <w:p w14:paraId="39B649F4" w14:textId="77777777" w:rsidR="0005748B" w:rsidRPr="00F527A1" w:rsidRDefault="0005748B" w:rsidP="00604605">
            <w:pPr>
              <w:spacing w:before="0"/>
              <w:rPr>
                <w:b/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Definition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14:paraId="213FE405" w14:textId="77777777" w:rsidR="0005748B" w:rsidRPr="00F527A1" w:rsidRDefault="0005748B" w:rsidP="00604605">
            <w:pPr>
              <w:spacing w:before="0"/>
              <w:rPr>
                <w:b/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Art der Grenze</w:t>
            </w:r>
          </w:p>
        </w:tc>
        <w:tc>
          <w:tcPr>
            <w:tcW w:w="3753" w:type="dxa"/>
            <w:shd w:val="clear" w:color="auto" w:fill="D9D9D9" w:themeFill="background1" w:themeFillShade="D9"/>
          </w:tcPr>
          <w:p w14:paraId="2B1B5E26" w14:textId="77777777" w:rsidR="0005748B" w:rsidRPr="00F527A1" w:rsidRDefault="0005748B" w:rsidP="00604605">
            <w:pPr>
              <w:spacing w:before="0"/>
              <w:rPr>
                <w:b/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Zweck</w:t>
            </w:r>
          </w:p>
        </w:tc>
      </w:tr>
      <w:tr w:rsidR="0005748B" w:rsidRPr="00F527A1" w14:paraId="47C94779" w14:textId="77777777" w:rsidTr="00F527A1">
        <w:trPr>
          <w:trHeight w:val="454"/>
        </w:trPr>
        <w:tc>
          <w:tcPr>
            <w:tcW w:w="494" w:type="dxa"/>
            <w:shd w:val="clear" w:color="auto" w:fill="CCECFF"/>
            <w:vAlign w:val="center"/>
          </w:tcPr>
          <w:p w14:paraId="5BBB0E69" w14:textId="77777777" w:rsidR="0005748B" w:rsidRPr="00F527A1" w:rsidRDefault="0005748B" w:rsidP="00F527A1">
            <w:pPr>
              <w:pStyle w:val="Listenabsatz"/>
              <w:numPr>
                <w:ilvl w:val="0"/>
                <w:numId w:val="18"/>
              </w:numPr>
              <w:spacing w:before="0"/>
              <w:jc w:val="left"/>
              <w:rPr>
                <w:b/>
                <w:color w:val="00B0F0"/>
                <w:sz w:val="20"/>
                <w:szCs w:val="16"/>
              </w:rPr>
            </w:pPr>
          </w:p>
        </w:tc>
        <w:tc>
          <w:tcPr>
            <w:tcW w:w="8573" w:type="dxa"/>
            <w:gridSpan w:val="4"/>
            <w:shd w:val="clear" w:color="auto" w:fill="CCECFF"/>
            <w:vAlign w:val="center"/>
          </w:tcPr>
          <w:p w14:paraId="3224C5E9" w14:textId="77777777" w:rsidR="0005748B" w:rsidRPr="00F527A1" w:rsidRDefault="0005748B" w:rsidP="00F527A1">
            <w:pPr>
              <w:pStyle w:val="Listenabsatz"/>
              <w:spacing w:before="0"/>
              <w:ind w:left="0"/>
              <w:jc w:val="left"/>
              <w:rPr>
                <w:b/>
                <w:color w:val="00B0F0"/>
                <w:sz w:val="20"/>
                <w:szCs w:val="16"/>
              </w:rPr>
            </w:pPr>
            <w:r w:rsidRPr="00F527A1">
              <w:rPr>
                <w:b/>
                <w:color w:val="00B0F0"/>
                <w:sz w:val="20"/>
                <w:szCs w:val="16"/>
              </w:rPr>
              <w:t>Kapitalstrukturkennzahlen</w:t>
            </w:r>
          </w:p>
        </w:tc>
      </w:tr>
      <w:tr w:rsidR="0005748B" w:rsidRPr="00F527A1" w14:paraId="037B2E5E" w14:textId="77777777" w:rsidTr="00F527A1">
        <w:tc>
          <w:tcPr>
            <w:tcW w:w="494" w:type="dxa"/>
          </w:tcPr>
          <w:p w14:paraId="0FC7BFE8" w14:textId="77777777" w:rsidR="0005748B" w:rsidRPr="00F527A1" w:rsidRDefault="0005748B" w:rsidP="00604605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1</w:t>
            </w:r>
            <w:r w:rsidR="00F527A1" w:rsidRPr="00F527A1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7D19DDAD" w14:textId="77777777" w:rsidR="0005748B" w:rsidRPr="00F527A1" w:rsidRDefault="0005748B" w:rsidP="00604605">
            <w:pPr>
              <w:spacing w:before="0"/>
              <w:rPr>
                <w:b/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Mindest-Eigenkapital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45A311A" w14:textId="77777777" w:rsidR="0005748B" w:rsidRPr="00F527A1" w:rsidRDefault="0005748B" w:rsidP="00604605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Absoluter Betrag des Eigenkapital lt. HGB</w:t>
            </w:r>
          </w:p>
        </w:tc>
        <w:tc>
          <w:tcPr>
            <w:tcW w:w="1335" w:type="dxa"/>
          </w:tcPr>
          <w:p w14:paraId="731AAB01" w14:textId="77777777" w:rsidR="0005748B" w:rsidRPr="00F527A1" w:rsidRDefault="0005748B" w:rsidP="00F527A1">
            <w:pPr>
              <w:spacing w:before="0"/>
              <w:jc w:val="center"/>
              <w:rPr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 xml:space="preserve">Untergrenze </w:t>
            </w:r>
            <w:r w:rsidRPr="00F527A1">
              <w:rPr>
                <w:sz w:val="16"/>
                <w:szCs w:val="16"/>
              </w:rPr>
              <w:t>(absolut)</w:t>
            </w:r>
            <w:r w:rsidR="00F527A1">
              <w:rPr>
                <w:sz w:val="16"/>
                <w:szCs w:val="16"/>
              </w:rPr>
              <w:t xml:space="preserve"> </w:t>
            </w:r>
            <w:r w:rsidR="00F527A1">
              <w:rPr>
                <w:sz w:val="16"/>
                <w:szCs w:val="16"/>
              </w:rPr>
              <w:br/>
            </w:r>
            <w:r w:rsidR="00F527A1" w:rsidRPr="00F527A1">
              <w:rPr>
                <w:color w:val="FF0000"/>
                <w:sz w:val="40"/>
                <w:szCs w:val="16"/>
              </w:rPr>
              <w:sym w:font="Wingdings" w:char="F0DD"/>
            </w:r>
          </w:p>
        </w:tc>
        <w:tc>
          <w:tcPr>
            <w:tcW w:w="3753" w:type="dxa"/>
          </w:tcPr>
          <w:p w14:paraId="611F292B" w14:textId="77777777" w:rsidR="0005748B" w:rsidRPr="00F527A1" w:rsidRDefault="0005748B" w:rsidP="00604605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 xml:space="preserve">Sicherstellung einer </w:t>
            </w:r>
            <w:r w:rsidRPr="00F527A1">
              <w:rPr>
                <w:b/>
                <w:sz w:val="16"/>
                <w:szCs w:val="16"/>
              </w:rPr>
              <w:t>Mindestbasis an haftendem Kapital</w:t>
            </w:r>
            <w:r w:rsidRPr="00F527A1">
              <w:rPr>
                <w:sz w:val="16"/>
                <w:szCs w:val="16"/>
              </w:rPr>
              <w:t xml:space="preserve">; </w:t>
            </w:r>
            <w:r w:rsidRPr="00F527A1">
              <w:rPr>
                <w:b/>
                <w:sz w:val="16"/>
                <w:szCs w:val="16"/>
              </w:rPr>
              <w:t>schützt</w:t>
            </w:r>
            <w:r w:rsidRPr="00F527A1">
              <w:rPr>
                <w:sz w:val="16"/>
                <w:szCs w:val="16"/>
              </w:rPr>
              <w:t xml:space="preserve"> Gläubiger </w:t>
            </w:r>
            <w:r w:rsidRPr="00F527A1">
              <w:rPr>
                <w:b/>
                <w:sz w:val="16"/>
                <w:szCs w:val="16"/>
              </w:rPr>
              <w:t>bei Wertverlusten oder Verlustperioden.</w:t>
            </w:r>
          </w:p>
        </w:tc>
      </w:tr>
      <w:tr w:rsidR="0005748B" w:rsidRPr="00F527A1" w14:paraId="59439F71" w14:textId="77777777" w:rsidTr="00F527A1">
        <w:trPr>
          <w:trHeight w:val="139"/>
        </w:trPr>
        <w:tc>
          <w:tcPr>
            <w:tcW w:w="494" w:type="dxa"/>
            <w:vMerge w:val="restart"/>
          </w:tcPr>
          <w:p w14:paraId="27AE7429" w14:textId="77777777" w:rsidR="0005748B" w:rsidRPr="00F527A1" w:rsidRDefault="0005748B" w:rsidP="00604605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</w:tcPr>
          <w:p w14:paraId="6AAB2295" w14:textId="77777777" w:rsidR="0005748B" w:rsidRPr="00F527A1" w:rsidRDefault="0005748B" w:rsidP="00604605">
            <w:pPr>
              <w:spacing w:before="0"/>
              <w:rPr>
                <w:b/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Eigenkapitalquote</w:t>
            </w:r>
          </w:p>
        </w:tc>
        <w:tc>
          <w:tcPr>
            <w:tcW w:w="1784" w:type="dxa"/>
            <w:tcBorders>
              <w:bottom w:val="nil"/>
            </w:tcBorders>
          </w:tcPr>
          <w:p w14:paraId="425A983A" w14:textId="77777777" w:rsidR="0005748B" w:rsidRPr="00F527A1" w:rsidRDefault="0005748B" w:rsidP="00604605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Eigenkapital</w:t>
            </w:r>
          </w:p>
        </w:tc>
        <w:tc>
          <w:tcPr>
            <w:tcW w:w="1335" w:type="dxa"/>
            <w:vMerge w:val="restart"/>
          </w:tcPr>
          <w:p w14:paraId="288ECAB4" w14:textId="77777777" w:rsidR="0005748B" w:rsidRPr="00F527A1" w:rsidRDefault="0005748B" w:rsidP="00F527A1">
            <w:pPr>
              <w:spacing w:before="0"/>
              <w:jc w:val="center"/>
              <w:rPr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 xml:space="preserve">Untergrenze </w:t>
            </w:r>
            <w:r w:rsidRPr="00F527A1">
              <w:rPr>
                <w:sz w:val="16"/>
                <w:szCs w:val="16"/>
              </w:rPr>
              <w:t>(relativ)</w:t>
            </w:r>
            <w:r w:rsidR="00F527A1">
              <w:rPr>
                <w:sz w:val="16"/>
                <w:szCs w:val="16"/>
              </w:rPr>
              <w:t xml:space="preserve"> </w:t>
            </w:r>
            <w:r w:rsidR="00F527A1">
              <w:rPr>
                <w:sz w:val="16"/>
                <w:szCs w:val="16"/>
              </w:rPr>
              <w:br/>
            </w:r>
            <w:r w:rsidR="00F527A1" w:rsidRPr="00F527A1">
              <w:rPr>
                <w:color w:val="FF0000"/>
                <w:sz w:val="40"/>
                <w:szCs w:val="16"/>
              </w:rPr>
              <w:sym w:font="Wingdings" w:char="F0DD"/>
            </w:r>
          </w:p>
        </w:tc>
        <w:tc>
          <w:tcPr>
            <w:tcW w:w="3753" w:type="dxa"/>
            <w:vMerge w:val="restart"/>
          </w:tcPr>
          <w:p w14:paraId="090328DF" w14:textId="77777777" w:rsidR="0005748B" w:rsidRPr="00F527A1" w:rsidRDefault="0005748B" w:rsidP="00604605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Begrenzt Gesamtverschuldung</w:t>
            </w:r>
            <w:r w:rsidRPr="00F527A1">
              <w:rPr>
                <w:sz w:val="16"/>
                <w:szCs w:val="16"/>
              </w:rPr>
              <w:t xml:space="preserve"> und </w:t>
            </w:r>
            <w:r w:rsidRPr="00F527A1">
              <w:rPr>
                <w:b/>
                <w:sz w:val="16"/>
                <w:szCs w:val="16"/>
              </w:rPr>
              <w:t>sichert finanzielle Unabhängigkeit.</w:t>
            </w:r>
          </w:p>
        </w:tc>
      </w:tr>
      <w:tr w:rsidR="0005748B" w:rsidRPr="00F527A1" w14:paraId="44064BEF" w14:textId="77777777" w:rsidTr="00F527A1">
        <w:trPr>
          <w:trHeight w:val="137"/>
        </w:trPr>
        <w:tc>
          <w:tcPr>
            <w:tcW w:w="494" w:type="dxa"/>
            <w:vMerge/>
          </w:tcPr>
          <w:p w14:paraId="1248A73E" w14:textId="77777777" w:rsidR="0005748B" w:rsidRPr="00F527A1" w:rsidRDefault="0005748B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844AC4D" w14:textId="77777777" w:rsidR="0005748B" w:rsidRPr="00F527A1" w:rsidRDefault="0005748B" w:rsidP="00604605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4D92B0FB" w14:textId="77777777" w:rsidR="0005748B" w:rsidRPr="00F527A1" w:rsidRDefault="0005748B" w:rsidP="00604605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------------------- x 100-</w:t>
            </w:r>
          </w:p>
        </w:tc>
        <w:tc>
          <w:tcPr>
            <w:tcW w:w="1335" w:type="dxa"/>
            <w:vMerge/>
          </w:tcPr>
          <w:p w14:paraId="0F9C7111" w14:textId="77777777" w:rsidR="0005748B" w:rsidRPr="00F527A1" w:rsidRDefault="0005748B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753" w:type="dxa"/>
            <w:vMerge/>
          </w:tcPr>
          <w:p w14:paraId="7FAA5185" w14:textId="77777777" w:rsidR="0005748B" w:rsidRPr="00F527A1" w:rsidRDefault="0005748B" w:rsidP="00604605">
            <w:pPr>
              <w:spacing w:before="0"/>
              <w:rPr>
                <w:sz w:val="16"/>
                <w:szCs w:val="16"/>
              </w:rPr>
            </w:pPr>
          </w:p>
        </w:tc>
      </w:tr>
      <w:tr w:rsidR="0005748B" w:rsidRPr="00F527A1" w14:paraId="4A712B03" w14:textId="77777777" w:rsidTr="00F527A1">
        <w:trPr>
          <w:trHeight w:val="137"/>
        </w:trPr>
        <w:tc>
          <w:tcPr>
            <w:tcW w:w="494" w:type="dxa"/>
            <w:vMerge/>
          </w:tcPr>
          <w:p w14:paraId="409BE9F7" w14:textId="77777777" w:rsidR="0005748B" w:rsidRPr="00F527A1" w:rsidRDefault="0005748B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86B6FEA" w14:textId="77777777" w:rsidR="0005748B" w:rsidRPr="00F527A1" w:rsidRDefault="0005748B" w:rsidP="00604605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nil"/>
              <w:bottom w:val="single" w:sz="4" w:space="0" w:color="auto"/>
            </w:tcBorders>
          </w:tcPr>
          <w:p w14:paraId="0CB12CEB" w14:textId="77777777" w:rsidR="0005748B" w:rsidRPr="00F527A1" w:rsidRDefault="0005748B" w:rsidP="00604605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Bilanzsumme</w:t>
            </w:r>
          </w:p>
        </w:tc>
        <w:tc>
          <w:tcPr>
            <w:tcW w:w="1335" w:type="dxa"/>
            <w:vMerge/>
          </w:tcPr>
          <w:p w14:paraId="0414DCBC" w14:textId="77777777" w:rsidR="0005748B" w:rsidRPr="00F527A1" w:rsidRDefault="0005748B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753" w:type="dxa"/>
            <w:vMerge/>
          </w:tcPr>
          <w:p w14:paraId="2F64D5F7" w14:textId="77777777" w:rsidR="0005748B" w:rsidRPr="00F527A1" w:rsidRDefault="0005748B" w:rsidP="00604605">
            <w:pPr>
              <w:spacing w:before="0"/>
              <w:rPr>
                <w:sz w:val="16"/>
                <w:szCs w:val="16"/>
              </w:rPr>
            </w:pPr>
          </w:p>
        </w:tc>
      </w:tr>
      <w:tr w:rsidR="0005748B" w:rsidRPr="00F527A1" w14:paraId="3FB14615" w14:textId="77777777" w:rsidTr="00F527A1">
        <w:trPr>
          <w:trHeight w:val="272"/>
        </w:trPr>
        <w:tc>
          <w:tcPr>
            <w:tcW w:w="494" w:type="dxa"/>
            <w:vMerge w:val="restart"/>
          </w:tcPr>
          <w:p w14:paraId="728BFA76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3.</w:t>
            </w:r>
          </w:p>
        </w:tc>
        <w:tc>
          <w:tcPr>
            <w:tcW w:w="1701" w:type="dxa"/>
            <w:vMerge w:val="restart"/>
          </w:tcPr>
          <w:p w14:paraId="7F14820A" w14:textId="77777777" w:rsidR="0005748B" w:rsidRPr="00F527A1" w:rsidRDefault="0005748B" w:rsidP="0005748B">
            <w:pPr>
              <w:spacing w:before="0"/>
              <w:rPr>
                <w:b/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Statischer Verschuldungsgrad</w:t>
            </w:r>
          </w:p>
        </w:tc>
        <w:tc>
          <w:tcPr>
            <w:tcW w:w="1784" w:type="dxa"/>
            <w:tcBorders>
              <w:bottom w:val="nil"/>
            </w:tcBorders>
          </w:tcPr>
          <w:p w14:paraId="50CDBF87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Fremdkapital</w:t>
            </w:r>
          </w:p>
        </w:tc>
        <w:tc>
          <w:tcPr>
            <w:tcW w:w="1335" w:type="dxa"/>
            <w:vMerge w:val="restart"/>
          </w:tcPr>
          <w:p w14:paraId="00398EAA" w14:textId="77777777" w:rsidR="0005748B" w:rsidRPr="00F527A1" w:rsidRDefault="0005748B" w:rsidP="00F527A1">
            <w:pPr>
              <w:spacing w:before="0"/>
              <w:jc w:val="center"/>
              <w:rPr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Obergrenze</w:t>
            </w:r>
            <w:r w:rsidR="00F527A1" w:rsidRPr="00F527A1">
              <w:rPr>
                <w:b/>
                <w:sz w:val="16"/>
                <w:szCs w:val="16"/>
              </w:rPr>
              <w:br/>
            </w:r>
            <w:r w:rsidR="00F527A1" w:rsidRPr="00F527A1">
              <w:rPr>
                <w:color w:val="00B0F0"/>
                <w:sz w:val="40"/>
                <w:szCs w:val="16"/>
              </w:rPr>
              <w:sym w:font="Wingdings" w:char="F0DE"/>
            </w:r>
          </w:p>
        </w:tc>
        <w:tc>
          <w:tcPr>
            <w:tcW w:w="3753" w:type="dxa"/>
            <w:vMerge w:val="restart"/>
          </w:tcPr>
          <w:p w14:paraId="3B22C375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Begrenzung der Hebelwirkung</w:t>
            </w:r>
            <w:r w:rsidRPr="00F527A1">
              <w:rPr>
                <w:sz w:val="16"/>
                <w:szCs w:val="16"/>
              </w:rPr>
              <w:t xml:space="preserve"> der Verschuldung (</w:t>
            </w:r>
            <w:proofErr w:type="spellStart"/>
            <w:r w:rsidRPr="00F527A1">
              <w:rPr>
                <w:sz w:val="16"/>
                <w:szCs w:val="16"/>
              </w:rPr>
              <w:t>Leverage</w:t>
            </w:r>
            <w:proofErr w:type="spellEnd"/>
            <w:r w:rsidRPr="00F527A1">
              <w:rPr>
                <w:sz w:val="16"/>
                <w:szCs w:val="16"/>
              </w:rPr>
              <w:t xml:space="preserve"> Effekt) und </w:t>
            </w:r>
            <w:r w:rsidRPr="00F527A1">
              <w:rPr>
                <w:b/>
                <w:sz w:val="16"/>
                <w:szCs w:val="16"/>
              </w:rPr>
              <w:t>signalisiert Insolvenzanfälligkeit.</w:t>
            </w:r>
          </w:p>
        </w:tc>
      </w:tr>
      <w:tr w:rsidR="0005748B" w:rsidRPr="00F527A1" w14:paraId="3277BDEB" w14:textId="77777777" w:rsidTr="00F527A1">
        <w:trPr>
          <w:trHeight w:val="271"/>
        </w:trPr>
        <w:tc>
          <w:tcPr>
            <w:tcW w:w="494" w:type="dxa"/>
            <w:vMerge/>
          </w:tcPr>
          <w:p w14:paraId="0EDA6F0B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CE2C38C" w14:textId="77777777" w:rsidR="0005748B" w:rsidRPr="00F527A1" w:rsidRDefault="0005748B" w:rsidP="0005748B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5274C7CC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------------------- x 100-</w:t>
            </w:r>
          </w:p>
        </w:tc>
        <w:tc>
          <w:tcPr>
            <w:tcW w:w="1335" w:type="dxa"/>
            <w:vMerge/>
          </w:tcPr>
          <w:p w14:paraId="6521B35A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753" w:type="dxa"/>
            <w:vMerge/>
          </w:tcPr>
          <w:p w14:paraId="58EA6028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</w:p>
        </w:tc>
      </w:tr>
      <w:tr w:rsidR="0005748B" w:rsidRPr="00F527A1" w14:paraId="70ABC4F3" w14:textId="77777777" w:rsidTr="00F527A1">
        <w:trPr>
          <w:trHeight w:val="271"/>
        </w:trPr>
        <w:tc>
          <w:tcPr>
            <w:tcW w:w="494" w:type="dxa"/>
            <w:vMerge/>
          </w:tcPr>
          <w:p w14:paraId="36BD9C9D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32E0E60" w14:textId="77777777" w:rsidR="0005748B" w:rsidRPr="00F527A1" w:rsidRDefault="0005748B" w:rsidP="0005748B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nil"/>
              <w:bottom w:val="single" w:sz="4" w:space="0" w:color="auto"/>
            </w:tcBorders>
          </w:tcPr>
          <w:p w14:paraId="38EA3C76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Eigenkapital</w:t>
            </w:r>
          </w:p>
        </w:tc>
        <w:tc>
          <w:tcPr>
            <w:tcW w:w="1335" w:type="dxa"/>
            <w:vMerge/>
          </w:tcPr>
          <w:p w14:paraId="0D1E4E91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753" w:type="dxa"/>
            <w:vMerge/>
          </w:tcPr>
          <w:p w14:paraId="5EB8C007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</w:p>
        </w:tc>
      </w:tr>
      <w:tr w:rsidR="0005748B" w:rsidRPr="00F527A1" w14:paraId="6303D592" w14:textId="77777777" w:rsidTr="00F527A1">
        <w:trPr>
          <w:trHeight w:val="272"/>
        </w:trPr>
        <w:tc>
          <w:tcPr>
            <w:tcW w:w="494" w:type="dxa"/>
            <w:vMerge w:val="restart"/>
          </w:tcPr>
          <w:p w14:paraId="08AF9A83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4.</w:t>
            </w:r>
          </w:p>
        </w:tc>
        <w:tc>
          <w:tcPr>
            <w:tcW w:w="1701" w:type="dxa"/>
            <w:vMerge w:val="restart"/>
          </w:tcPr>
          <w:p w14:paraId="53C74D5C" w14:textId="77777777" w:rsidR="0005748B" w:rsidRPr="00F527A1" w:rsidRDefault="00E013D1" w:rsidP="0005748B">
            <w:pPr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Dynamischer</w:t>
            </w:r>
            <w:r w:rsidR="0005748B" w:rsidRPr="00F527A1">
              <w:rPr>
                <w:b/>
                <w:sz w:val="16"/>
                <w:szCs w:val="16"/>
              </w:rPr>
              <w:t xml:space="preserve"> Verschuldungsgrad</w:t>
            </w:r>
          </w:p>
        </w:tc>
        <w:tc>
          <w:tcPr>
            <w:tcW w:w="1784" w:type="dxa"/>
            <w:tcBorders>
              <w:bottom w:val="nil"/>
            </w:tcBorders>
          </w:tcPr>
          <w:p w14:paraId="1FEF9DFD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Nettofinanzverbindlichkeiten</w:t>
            </w:r>
          </w:p>
        </w:tc>
        <w:tc>
          <w:tcPr>
            <w:tcW w:w="1335" w:type="dxa"/>
            <w:vMerge w:val="restart"/>
          </w:tcPr>
          <w:p w14:paraId="468CA50A" w14:textId="77777777" w:rsidR="0005748B" w:rsidRPr="00F527A1" w:rsidRDefault="0005748B" w:rsidP="00F527A1">
            <w:pPr>
              <w:spacing w:before="0"/>
              <w:jc w:val="center"/>
              <w:rPr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Obergrenze</w:t>
            </w:r>
            <w:r w:rsidR="00F527A1">
              <w:rPr>
                <w:sz w:val="16"/>
                <w:szCs w:val="16"/>
              </w:rPr>
              <w:br/>
            </w:r>
            <w:r w:rsidR="00F527A1" w:rsidRPr="00F527A1">
              <w:rPr>
                <w:color w:val="00B0F0"/>
                <w:sz w:val="40"/>
                <w:szCs w:val="16"/>
              </w:rPr>
              <w:sym w:font="Wingdings" w:char="F0DE"/>
            </w:r>
          </w:p>
        </w:tc>
        <w:tc>
          <w:tcPr>
            <w:tcW w:w="3753" w:type="dxa"/>
            <w:vMerge w:val="restart"/>
          </w:tcPr>
          <w:p w14:paraId="1CA437F8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 xml:space="preserve">Zeigt die </w:t>
            </w:r>
            <w:r w:rsidRPr="00F527A1">
              <w:rPr>
                <w:b/>
                <w:sz w:val="16"/>
                <w:szCs w:val="16"/>
              </w:rPr>
              <w:t>Rückzahlungsfähigkeit</w:t>
            </w:r>
            <w:r w:rsidRPr="00F527A1">
              <w:rPr>
                <w:sz w:val="16"/>
                <w:szCs w:val="16"/>
              </w:rPr>
              <w:t xml:space="preserve"> </w:t>
            </w:r>
            <w:r w:rsidRPr="00F527A1">
              <w:rPr>
                <w:b/>
                <w:sz w:val="16"/>
                <w:szCs w:val="16"/>
              </w:rPr>
              <w:t>aus dem operativen Cash-Flow</w:t>
            </w:r>
            <w:r w:rsidRPr="00F527A1">
              <w:rPr>
                <w:sz w:val="16"/>
                <w:szCs w:val="16"/>
              </w:rPr>
              <w:t xml:space="preserve">; signalisiert </w:t>
            </w:r>
            <w:r w:rsidRPr="00F527A1">
              <w:rPr>
                <w:b/>
                <w:sz w:val="16"/>
                <w:szCs w:val="16"/>
              </w:rPr>
              <w:t>Kredittragfähigkeit</w:t>
            </w:r>
          </w:p>
        </w:tc>
      </w:tr>
      <w:tr w:rsidR="0005748B" w:rsidRPr="00F527A1" w14:paraId="17C5C854" w14:textId="77777777" w:rsidTr="00F527A1">
        <w:trPr>
          <w:trHeight w:val="271"/>
        </w:trPr>
        <w:tc>
          <w:tcPr>
            <w:tcW w:w="494" w:type="dxa"/>
            <w:vMerge/>
          </w:tcPr>
          <w:p w14:paraId="25252FE3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EAAD5E2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1ADBFE58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------------------- x 100-</w:t>
            </w:r>
          </w:p>
        </w:tc>
        <w:tc>
          <w:tcPr>
            <w:tcW w:w="1335" w:type="dxa"/>
            <w:vMerge/>
          </w:tcPr>
          <w:p w14:paraId="04B93523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753" w:type="dxa"/>
            <w:vMerge/>
          </w:tcPr>
          <w:p w14:paraId="503837E9" w14:textId="77777777" w:rsidR="0005748B" w:rsidRPr="00F527A1" w:rsidRDefault="0005748B" w:rsidP="0005748B">
            <w:pPr>
              <w:spacing w:before="0"/>
              <w:rPr>
                <w:b/>
                <w:sz w:val="16"/>
                <w:szCs w:val="16"/>
              </w:rPr>
            </w:pPr>
          </w:p>
        </w:tc>
      </w:tr>
      <w:tr w:rsidR="0005748B" w:rsidRPr="00F527A1" w14:paraId="30B6ED87" w14:textId="77777777" w:rsidTr="00F527A1">
        <w:trPr>
          <w:trHeight w:val="271"/>
        </w:trPr>
        <w:tc>
          <w:tcPr>
            <w:tcW w:w="494" w:type="dxa"/>
            <w:vMerge/>
          </w:tcPr>
          <w:p w14:paraId="19A2FA76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C6F4055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nil"/>
              <w:bottom w:val="single" w:sz="4" w:space="0" w:color="auto"/>
            </w:tcBorders>
          </w:tcPr>
          <w:p w14:paraId="7303D0F2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EBITDA</w:t>
            </w:r>
          </w:p>
        </w:tc>
        <w:tc>
          <w:tcPr>
            <w:tcW w:w="1335" w:type="dxa"/>
            <w:vMerge/>
          </w:tcPr>
          <w:p w14:paraId="7473CC79" w14:textId="77777777" w:rsidR="0005748B" w:rsidRPr="00F527A1" w:rsidRDefault="0005748B" w:rsidP="0005748B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753" w:type="dxa"/>
            <w:vMerge/>
          </w:tcPr>
          <w:p w14:paraId="197821D7" w14:textId="77777777" w:rsidR="0005748B" w:rsidRPr="00F527A1" w:rsidRDefault="0005748B" w:rsidP="0005748B">
            <w:pPr>
              <w:spacing w:before="0"/>
              <w:rPr>
                <w:b/>
                <w:sz w:val="16"/>
                <w:szCs w:val="16"/>
              </w:rPr>
            </w:pPr>
          </w:p>
        </w:tc>
      </w:tr>
      <w:tr w:rsidR="0005748B" w:rsidRPr="00F527A1" w14:paraId="37EFDBF8" w14:textId="77777777" w:rsidTr="00F527A1">
        <w:trPr>
          <w:trHeight w:val="454"/>
        </w:trPr>
        <w:tc>
          <w:tcPr>
            <w:tcW w:w="494" w:type="dxa"/>
            <w:shd w:val="clear" w:color="auto" w:fill="CCECFF"/>
            <w:vAlign w:val="center"/>
          </w:tcPr>
          <w:p w14:paraId="74C32543" w14:textId="77777777" w:rsidR="0005748B" w:rsidRPr="00F527A1" w:rsidRDefault="0005748B" w:rsidP="00F527A1">
            <w:pPr>
              <w:pStyle w:val="Listenabsatz"/>
              <w:numPr>
                <w:ilvl w:val="0"/>
                <w:numId w:val="18"/>
              </w:numPr>
              <w:spacing w:before="0"/>
              <w:jc w:val="left"/>
              <w:rPr>
                <w:b/>
                <w:color w:val="00B0F0"/>
                <w:sz w:val="20"/>
                <w:szCs w:val="16"/>
              </w:rPr>
            </w:pPr>
          </w:p>
        </w:tc>
        <w:tc>
          <w:tcPr>
            <w:tcW w:w="8573" w:type="dxa"/>
            <w:gridSpan w:val="4"/>
            <w:shd w:val="clear" w:color="auto" w:fill="CCECFF"/>
            <w:vAlign w:val="center"/>
          </w:tcPr>
          <w:p w14:paraId="7D7977A4" w14:textId="77777777" w:rsidR="0005748B" w:rsidRPr="001475F2" w:rsidRDefault="0005748B" w:rsidP="001475F2">
            <w:pPr>
              <w:spacing w:before="0"/>
              <w:jc w:val="left"/>
              <w:rPr>
                <w:b/>
                <w:color w:val="00B0F0"/>
                <w:sz w:val="20"/>
                <w:szCs w:val="16"/>
              </w:rPr>
            </w:pPr>
            <w:r w:rsidRPr="001475F2">
              <w:rPr>
                <w:b/>
                <w:color w:val="00B0F0"/>
                <w:sz w:val="20"/>
                <w:szCs w:val="16"/>
              </w:rPr>
              <w:t>Ertragskennzahlen</w:t>
            </w:r>
          </w:p>
        </w:tc>
      </w:tr>
      <w:tr w:rsidR="0005748B" w:rsidRPr="00F527A1" w14:paraId="5B274F1A" w14:textId="77777777" w:rsidTr="00F527A1">
        <w:tc>
          <w:tcPr>
            <w:tcW w:w="494" w:type="dxa"/>
          </w:tcPr>
          <w:p w14:paraId="07D689A5" w14:textId="77777777" w:rsidR="0005748B" w:rsidRPr="00F527A1" w:rsidRDefault="00A760BF" w:rsidP="00604605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5.</w:t>
            </w:r>
          </w:p>
        </w:tc>
        <w:tc>
          <w:tcPr>
            <w:tcW w:w="1701" w:type="dxa"/>
          </w:tcPr>
          <w:p w14:paraId="4C6B3C88" w14:textId="77777777" w:rsidR="0005748B" w:rsidRPr="00F527A1" w:rsidRDefault="00A760BF" w:rsidP="00604605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EBITDA</w:t>
            </w:r>
            <w:r w:rsidRPr="00F527A1">
              <w:rPr>
                <w:b/>
                <w:sz w:val="16"/>
                <w:szCs w:val="16"/>
              </w:rPr>
              <w:br/>
            </w:r>
            <w:r w:rsidRPr="00F527A1">
              <w:rPr>
                <w:sz w:val="16"/>
                <w:szCs w:val="16"/>
              </w:rPr>
              <w:t>(</w:t>
            </w:r>
            <w:proofErr w:type="spellStart"/>
            <w:r w:rsidRPr="00F527A1">
              <w:rPr>
                <w:b/>
                <w:color w:val="FF0000"/>
                <w:sz w:val="16"/>
                <w:szCs w:val="16"/>
              </w:rPr>
              <w:t>E</w:t>
            </w:r>
            <w:r w:rsidRPr="00F527A1">
              <w:rPr>
                <w:sz w:val="16"/>
                <w:szCs w:val="16"/>
              </w:rPr>
              <w:t>arnings</w:t>
            </w:r>
            <w:proofErr w:type="spellEnd"/>
            <w:r w:rsidRPr="00F527A1">
              <w:rPr>
                <w:sz w:val="16"/>
                <w:szCs w:val="16"/>
              </w:rPr>
              <w:t xml:space="preserve"> </w:t>
            </w:r>
            <w:proofErr w:type="spellStart"/>
            <w:r w:rsidRPr="00F527A1">
              <w:rPr>
                <w:sz w:val="16"/>
                <w:szCs w:val="16"/>
              </w:rPr>
              <w:t>before</w:t>
            </w:r>
            <w:proofErr w:type="spellEnd"/>
            <w:r w:rsidRPr="00F527A1">
              <w:rPr>
                <w:sz w:val="16"/>
                <w:szCs w:val="16"/>
              </w:rPr>
              <w:t xml:space="preserve"> </w:t>
            </w:r>
            <w:proofErr w:type="spellStart"/>
            <w:r w:rsidRPr="00F527A1">
              <w:rPr>
                <w:b/>
                <w:color w:val="FF0000"/>
                <w:sz w:val="16"/>
                <w:szCs w:val="16"/>
              </w:rPr>
              <w:t>I</w:t>
            </w:r>
            <w:r w:rsidRPr="00F527A1">
              <w:rPr>
                <w:sz w:val="16"/>
                <w:szCs w:val="16"/>
              </w:rPr>
              <w:t>nterests</w:t>
            </w:r>
            <w:proofErr w:type="spellEnd"/>
            <w:r w:rsidRPr="00F527A1">
              <w:rPr>
                <w:sz w:val="16"/>
                <w:szCs w:val="16"/>
              </w:rPr>
              <w:t xml:space="preserve">, </w:t>
            </w:r>
            <w:proofErr w:type="spellStart"/>
            <w:r w:rsidRPr="00F527A1">
              <w:rPr>
                <w:b/>
                <w:color w:val="FF0000"/>
                <w:sz w:val="16"/>
                <w:szCs w:val="16"/>
              </w:rPr>
              <w:t>T</w:t>
            </w:r>
            <w:r w:rsidRPr="00F527A1">
              <w:rPr>
                <w:sz w:val="16"/>
                <w:szCs w:val="16"/>
              </w:rPr>
              <w:t>ax</w:t>
            </w:r>
            <w:proofErr w:type="spellEnd"/>
            <w:r w:rsidRPr="00F527A1">
              <w:rPr>
                <w:sz w:val="16"/>
                <w:szCs w:val="16"/>
              </w:rPr>
              <w:t xml:space="preserve">, </w:t>
            </w:r>
            <w:proofErr w:type="spellStart"/>
            <w:r w:rsidRPr="00F527A1">
              <w:rPr>
                <w:b/>
                <w:color w:val="FF0000"/>
                <w:sz w:val="16"/>
                <w:szCs w:val="16"/>
              </w:rPr>
              <w:t>D</w:t>
            </w:r>
            <w:r w:rsidRPr="00F527A1">
              <w:rPr>
                <w:sz w:val="16"/>
                <w:szCs w:val="16"/>
              </w:rPr>
              <w:t>epreciation</w:t>
            </w:r>
            <w:proofErr w:type="spellEnd"/>
            <w:r w:rsidRPr="00F527A1">
              <w:rPr>
                <w:sz w:val="16"/>
                <w:szCs w:val="16"/>
              </w:rPr>
              <w:t xml:space="preserve"> and </w:t>
            </w:r>
            <w:proofErr w:type="spellStart"/>
            <w:r w:rsidRPr="00F527A1">
              <w:rPr>
                <w:b/>
                <w:color w:val="FF0000"/>
                <w:sz w:val="16"/>
                <w:szCs w:val="16"/>
              </w:rPr>
              <w:t>A</w:t>
            </w:r>
            <w:r w:rsidRPr="00F527A1">
              <w:rPr>
                <w:sz w:val="16"/>
                <w:szCs w:val="16"/>
              </w:rPr>
              <w:t>mortization</w:t>
            </w:r>
            <w:proofErr w:type="spellEnd"/>
            <w:r w:rsidRPr="00F527A1">
              <w:rPr>
                <w:sz w:val="16"/>
                <w:szCs w:val="16"/>
              </w:rPr>
              <w:t>)</w:t>
            </w: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48FE1315" w14:textId="77777777" w:rsidR="00A760BF" w:rsidRPr="00F527A1" w:rsidRDefault="00A760BF" w:rsidP="00604605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Gewinn vor</w:t>
            </w:r>
          </w:p>
          <w:p w14:paraId="562EF920" w14:textId="77777777" w:rsidR="0005748B" w:rsidRPr="00F527A1" w:rsidRDefault="00A760BF" w:rsidP="00A760BF">
            <w:pPr>
              <w:pStyle w:val="Listenabsatz"/>
              <w:numPr>
                <w:ilvl w:val="0"/>
                <w:numId w:val="19"/>
              </w:num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 xml:space="preserve">Zinsen </w:t>
            </w:r>
          </w:p>
          <w:p w14:paraId="63181B10" w14:textId="77777777" w:rsidR="00A760BF" w:rsidRPr="00F527A1" w:rsidRDefault="00A760BF" w:rsidP="00A760BF">
            <w:pPr>
              <w:pStyle w:val="Listenabsatz"/>
              <w:numPr>
                <w:ilvl w:val="0"/>
                <w:numId w:val="19"/>
              </w:num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Steuern</w:t>
            </w:r>
          </w:p>
          <w:p w14:paraId="2ED317DE" w14:textId="77777777" w:rsidR="00A760BF" w:rsidRPr="00F527A1" w:rsidRDefault="00A760BF" w:rsidP="00A760BF">
            <w:pPr>
              <w:pStyle w:val="Listenabsatz"/>
              <w:numPr>
                <w:ilvl w:val="0"/>
                <w:numId w:val="19"/>
              </w:num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 xml:space="preserve">Abschreibungen und </w:t>
            </w:r>
          </w:p>
          <w:p w14:paraId="73477E6E" w14:textId="77777777" w:rsidR="00A760BF" w:rsidRPr="00F527A1" w:rsidRDefault="00A760BF" w:rsidP="00A760BF">
            <w:pPr>
              <w:pStyle w:val="Listenabsatz"/>
              <w:numPr>
                <w:ilvl w:val="0"/>
                <w:numId w:val="19"/>
              </w:num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Amortisationen</w:t>
            </w:r>
          </w:p>
        </w:tc>
        <w:tc>
          <w:tcPr>
            <w:tcW w:w="1335" w:type="dxa"/>
          </w:tcPr>
          <w:p w14:paraId="18CA398D" w14:textId="77777777" w:rsidR="0005748B" w:rsidRPr="00F527A1" w:rsidRDefault="00A760BF" w:rsidP="00F527A1">
            <w:pPr>
              <w:spacing w:before="0"/>
              <w:jc w:val="center"/>
              <w:rPr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Untergrenze</w:t>
            </w:r>
            <w:r w:rsidRPr="00F527A1">
              <w:rPr>
                <w:sz w:val="16"/>
                <w:szCs w:val="16"/>
              </w:rPr>
              <w:t xml:space="preserve"> (absolut)</w:t>
            </w:r>
            <w:r w:rsidR="00F527A1">
              <w:rPr>
                <w:sz w:val="16"/>
                <w:szCs w:val="16"/>
              </w:rPr>
              <w:t xml:space="preserve"> </w:t>
            </w:r>
            <w:r w:rsidR="00F527A1">
              <w:rPr>
                <w:sz w:val="16"/>
                <w:szCs w:val="16"/>
              </w:rPr>
              <w:br/>
            </w:r>
            <w:r w:rsidR="00F527A1" w:rsidRPr="00F527A1">
              <w:rPr>
                <w:color w:val="FF0000"/>
                <w:sz w:val="40"/>
                <w:szCs w:val="16"/>
              </w:rPr>
              <w:sym w:font="Wingdings" w:char="F0DD"/>
            </w:r>
          </w:p>
        </w:tc>
        <w:tc>
          <w:tcPr>
            <w:tcW w:w="3753" w:type="dxa"/>
          </w:tcPr>
          <w:p w14:paraId="210E85CE" w14:textId="77777777" w:rsidR="00A760BF" w:rsidRPr="00F527A1" w:rsidRDefault="00A760BF" w:rsidP="00604605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Schutz vor Ergebnisverfall</w:t>
            </w:r>
            <w:r w:rsidRPr="00F527A1">
              <w:rPr>
                <w:sz w:val="16"/>
                <w:szCs w:val="16"/>
              </w:rPr>
              <w:t xml:space="preserve">; </w:t>
            </w:r>
          </w:p>
          <w:p w14:paraId="452FF06D" w14:textId="77777777" w:rsidR="0005748B" w:rsidRPr="00F527A1" w:rsidRDefault="00A760BF" w:rsidP="00604605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Sicherstellung</w:t>
            </w:r>
            <w:r w:rsidRPr="00F527A1">
              <w:rPr>
                <w:sz w:val="16"/>
                <w:szCs w:val="16"/>
              </w:rPr>
              <w:t xml:space="preserve">, dass </w:t>
            </w:r>
            <w:r w:rsidRPr="00F527A1">
              <w:rPr>
                <w:b/>
                <w:sz w:val="16"/>
                <w:szCs w:val="16"/>
              </w:rPr>
              <w:t>operativer Betrieb ausreichend Erträge</w:t>
            </w:r>
            <w:r w:rsidRPr="00F527A1">
              <w:rPr>
                <w:sz w:val="16"/>
                <w:szCs w:val="16"/>
              </w:rPr>
              <w:t xml:space="preserve"> erwirtschaftet.</w:t>
            </w:r>
          </w:p>
        </w:tc>
      </w:tr>
      <w:tr w:rsidR="00F527A1" w:rsidRPr="00F527A1" w14:paraId="09B698F4" w14:textId="77777777" w:rsidTr="00F527A1">
        <w:tc>
          <w:tcPr>
            <w:tcW w:w="494" w:type="dxa"/>
          </w:tcPr>
          <w:p w14:paraId="0E12798E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14:paraId="75CDFFA5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EBIT</w:t>
            </w:r>
            <w:r w:rsidRPr="00F527A1">
              <w:rPr>
                <w:sz w:val="16"/>
                <w:szCs w:val="16"/>
              </w:rPr>
              <w:br/>
              <w:t>(</w:t>
            </w:r>
            <w:proofErr w:type="spellStart"/>
            <w:r w:rsidRPr="00F527A1">
              <w:rPr>
                <w:sz w:val="16"/>
                <w:szCs w:val="16"/>
              </w:rPr>
              <w:t>Earnin</w:t>
            </w:r>
            <w:r w:rsidR="00A9574B">
              <w:rPr>
                <w:sz w:val="16"/>
                <w:szCs w:val="16"/>
              </w:rPr>
              <w:t>g</w:t>
            </w:r>
            <w:r w:rsidRPr="00F527A1">
              <w:rPr>
                <w:sz w:val="16"/>
                <w:szCs w:val="16"/>
              </w:rPr>
              <w:t>s</w:t>
            </w:r>
            <w:proofErr w:type="spellEnd"/>
            <w:r w:rsidRPr="00F527A1">
              <w:rPr>
                <w:sz w:val="16"/>
                <w:szCs w:val="16"/>
              </w:rPr>
              <w:t xml:space="preserve"> </w:t>
            </w:r>
            <w:proofErr w:type="spellStart"/>
            <w:r w:rsidR="001475F2">
              <w:rPr>
                <w:sz w:val="16"/>
                <w:szCs w:val="16"/>
              </w:rPr>
              <w:t>b</w:t>
            </w:r>
            <w:r w:rsidRPr="00F527A1">
              <w:rPr>
                <w:sz w:val="16"/>
                <w:szCs w:val="16"/>
              </w:rPr>
              <w:t>efore</w:t>
            </w:r>
            <w:proofErr w:type="spellEnd"/>
            <w:r w:rsidRPr="00F527A1">
              <w:rPr>
                <w:sz w:val="16"/>
                <w:szCs w:val="16"/>
              </w:rPr>
              <w:t xml:space="preserve"> </w:t>
            </w:r>
            <w:proofErr w:type="spellStart"/>
            <w:r w:rsidRPr="00F527A1">
              <w:rPr>
                <w:sz w:val="16"/>
                <w:szCs w:val="16"/>
              </w:rPr>
              <w:t>Interest</w:t>
            </w:r>
            <w:r w:rsidR="006C1DFE">
              <w:rPr>
                <w:sz w:val="16"/>
                <w:szCs w:val="16"/>
              </w:rPr>
              <w:t>s</w:t>
            </w:r>
            <w:proofErr w:type="spellEnd"/>
            <w:r w:rsidRPr="00F527A1">
              <w:rPr>
                <w:sz w:val="16"/>
                <w:szCs w:val="16"/>
              </w:rPr>
              <w:t xml:space="preserve"> and </w:t>
            </w:r>
            <w:proofErr w:type="spellStart"/>
            <w:r w:rsidRPr="00F527A1">
              <w:rPr>
                <w:sz w:val="16"/>
                <w:szCs w:val="16"/>
              </w:rPr>
              <w:t>Taxes</w:t>
            </w:r>
            <w:proofErr w:type="spellEnd"/>
            <w:r w:rsidRPr="00F527A1">
              <w:rPr>
                <w:sz w:val="16"/>
                <w:szCs w:val="16"/>
              </w:rPr>
              <w:t>)</w:t>
            </w: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7AD54C95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 xml:space="preserve">Ergebnis vor </w:t>
            </w:r>
          </w:p>
          <w:p w14:paraId="63E7E2D8" w14:textId="77777777" w:rsidR="00F527A1" w:rsidRPr="00F527A1" w:rsidRDefault="00F527A1" w:rsidP="0042798E">
            <w:pPr>
              <w:pStyle w:val="Listenabsatz"/>
              <w:numPr>
                <w:ilvl w:val="0"/>
                <w:numId w:val="20"/>
              </w:num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Zinsen</w:t>
            </w:r>
          </w:p>
          <w:p w14:paraId="51F655E7" w14:textId="77777777" w:rsidR="00F527A1" w:rsidRPr="00F527A1" w:rsidRDefault="00F527A1" w:rsidP="0042798E">
            <w:pPr>
              <w:pStyle w:val="Listenabsatz"/>
              <w:numPr>
                <w:ilvl w:val="0"/>
                <w:numId w:val="20"/>
              </w:num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Steuern</w:t>
            </w:r>
          </w:p>
        </w:tc>
        <w:tc>
          <w:tcPr>
            <w:tcW w:w="1335" w:type="dxa"/>
          </w:tcPr>
          <w:p w14:paraId="724A6C29" w14:textId="77777777" w:rsidR="00F527A1" w:rsidRPr="00F527A1" w:rsidRDefault="00F527A1" w:rsidP="00F527A1">
            <w:pPr>
              <w:spacing w:before="0"/>
              <w:jc w:val="center"/>
              <w:rPr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Untergrenze</w:t>
            </w:r>
            <w:r w:rsidRPr="00F527A1">
              <w:rPr>
                <w:sz w:val="16"/>
                <w:szCs w:val="16"/>
              </w:rPr>
              <w:t xml:space="preserve"> (absolut oder relativ)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F527A1">
              <w:rPr>
                <w:color w:val="FF0000"/>
                <w:sz w:val="40"/>
                <w:szCs w:val="16"/>
              </w:rPr>
              <w:sym w:font="Wingdings" w:char="F0DD"/>
            </w:r>
          </w:p>
        </w:tc>
        <w:tc>
          <w:tcPr>
            <w:tcW w:w="3753" w:type="dxa"/>
          </w:tcPr>
          <w:p w14:paraId="2C245AA8" w14:textId="77777777" w:rsidR="00F527A1" w:rsidRPr="00F527A1" w:rsidRDefault="00F527A1" w:rsidP="0042798E">
            <w:pPr>
              <w:spacing w:before="0"/>
              <w:rPr>
                <w:b/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 xml:space="preserve">Strengere Ertragskontrolle als beim EBITDA; relevant bei kapitalintensiven Geschäftsmodellen, </w:t>
            </w:r>
            <w:r w:rsidR="001475F2">
              <w:rPr>
                <w:b/>
                <w:sz w:val="16"/>
                <w:szCs w:val="16"/>
              </w:rPr>
              <w:t xml:space="preserve">bei den </w:t>
            </w:r>
            <w:r w:rsidRPr="00F527A1">
              <w:rPr>
                <w:b/>
                <w:sz w:val="16"/>
                <w:szCs w:val="16"/>
              </w:rPr>
              <w:t xml:space="preserve">Abschreibungen eine </w:t>
            </w:r>
            <w:r w:rsidR="001475F2">
              <w:rPr>
                <w:b/>
                <w:sz w:val="16"/>
                <w:szCs w:val="16"/>
              </w:rPr>
              <w:t xml:space="preserve">bedeutende </w:t>
            </w:r>
            <w:r w:rsidRPr="00F527A1">
              <w:rPr>
                <w:b/>
                <w:sz w:val="16"/>
                <w:szCs w:val="16"/>
              </w:rPr>
              <w:t xml:space="preserve"> Rolle spielen</w:t>
            </w:r>
          </w:p>
        </w:tc>
      </w:tr>
      <w:tr w:rsidR="001E09E4" w:rsidRPr="00F527A1" w14:paraId="47646775" w14:textId="77777777" w:rsidTr="00F527A1">
        <w:trPr>
          <w:trHeight w:val="272"/>
        </w:trPr>
        <w:tc>
          <w:tcPr>
            <w:tcW w:w="494" w:type="dxa"/>
            <w:vMerge w:val="restart"/>
          </w:tcPr>
          <w:p w14:paraId="3D168BC7" w14:textId="77777777" w:rsidR="001E09E4" w:rsidRPr="00F527A1" w:rsidRDefault="00F527A1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7.</w:t>
            </w:r>
          </w:p>
        </w:tc>
        <w:tc>
          <w:tcPr>
            <w:tcW w:w="1701" w:type="dxa"/>
            <w:vMerge w:val="restart"/>
          </w:tcPr>
          <w:p w14:paraId="24FD218B" w14:textId="77777777" w:rsidR="001E09E4" w:rsidRPr="00F527A1" w:rsidRDefault="001E09E4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Zinsdeckungsgrad</w:t>
            </w:r>
            <w:r w:rsidRPr="00F527A1">
              <w:rPr>
                <w:sz w:val="16"/>
                <w:szCs w:val="16"/>
              </w:rPr>
              <w:br/>
              <w:t xml:space="preserve">(Interest Coverage </w:t>
            </w:r>
            <w:proofErr w:type="spellStart"/>
            <w:r w:rsidRPr="00F527A1">
              <w:rPr>
                <w:sz w:val="16"/>
                <w:szCs w:val="16"/>
              </w:rPr>
              <w:t>Ragio</w:t>
            </w:r>
            <w:proofErr w:type="spellEnd"/>
            <w:r w:rsidRPr="00F527A1">
              <w:rPr>
                <w:sz w:val="16"/>
                <w:szCs w:val="16"/>
              </w:rPr>
              <w:t>)</w:t>
            </w:r>
          </w:p>
        </w:tc>
        <w:tc>
          <w:tcPr>
            <w:tcW w:w="1784" w:type="dxa"/>
            <w:tcBorders>
              <w:bottom w:val="nil"/>
            </w:tcBorders>
          </w:tcPr>
          <w:p w14:paraId="1DFC9994" w14:textId="77777777" w:rsidR="001E09E4" w:rsidRPr="00F527A1" w:rsidRDefault="001E09E4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EBITDA</w:t>
            </w:r>
          </w:p>
        </w:tc>
        <w:tc>
          <w:tcPr>
            <w:tcW w:w="1335" w:type="dxa"/>
            <w:vMerge w:val="restart"/>
          </w:tcPr>
          <w:p w14:paraId="7E9C9290" w14:textId="77777777" w:rsidR="001E09E4" w:rsidRPr="00F527A1" w:rsidRDefault="001E09E4" w:rsidP="00F527A1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Untergrenze</w:t>
            </w:r>
            <w:r w:rsidR="00F527A1">
              <w:rPr>
                <w:sz w:val="16"/>
                <w:szCs w:val="16"/>
              </w:rPr>
              <w:br/>
            </w:r>
            <w:r w:rsidR="00F527A1" w:rsidRPr="00F527A1">
              <w:rPr>
                <w:color w:val="FF0000"/>
                <w:sz w:val="40"/>
                <w:szCs w:val="16"/>
              </w:rPr>
              <w:sym w:font="Wingdings" w:char="F0DD"/>
            </w:r>
          </w:p>
        </w:tc>
        <w:tc>
          <w:tcPr>
            <w:tcW w:w="3753" w:type="dxa"/>
            <w:vMerge w:val="restart"/>
          </w:tcPr>
          <w:p w14:paraId="57AF894F" w14:textId="77777777" w:rsidR="001E09E4" w:rsidRPr="00F527A1" w:rsidRDefault="00F527A1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 xml:space="preserve">Überprüfung der </w:t>
            </w:r>
            <w:r w:rsidRPr="00F527A1">
              <w:rPr>
                <w:b/>
                <w:sz w:val="16"/>
                <w:szCs w:val="16"/>
              </w:rPr>
              <w:t>Fähigkeit zur Bedienung laufender Zinszahlungen</w:t>
            </w:r>
            <w:r w:rsidRPr="00F527A1">
              <w:rPr>
                <w:sz w:val="16"/>
                <w:szCs w:val="16"/>
              </w:rPr>
              <w:t xml:space="preserve">; </w:t>
            </w:r>
          </w:p>
          <w:p w14:paraId="0433843A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 xml:space="preserve">Typischer </w:t>
            </w:r>
            <w:r w:rsidRPr="00F527A1">
              <w:rPr>
                <w:b/>
                <w:sz w:val="16"/>
                <w:szCs w:val="16"/>
              </w:rPr>
              <w:t>Frühindikator für Liquiditätsprobleme</w:t>
            </w:r>
          </w:p>
        </w:tc>
      </w:tr>
      <w:tr w:rsidR="001E09E4" w:rsidRPr="00F527A1" w14:paraId="58B5368B" w14:textId="77777777" w:rsidTr="00F527A1">
        <w:trPr>
          <w:trHeight w:val="271"/>
        </w:trPr>
        <w:tc>
          <w:tcPr>
            <w:tcW w:w="494" w:type="dxa"/>
            <w:vMerge/>
          </w:tcPr>
          <w:p w14:paraId="71E1CACB" w14:textId="77777777" w:rsidR="001E09E4" w:rsidRPr="00F527A1" w:rsidRDefault="001E09E4" w:rsidP="0042798E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E2DBF09" w14:textId="77777777" w:rsidR="001E09E4" w:rsidRPr="00F527A1" w:rsidRDefault="001E09E4" w:rsidP="0042798E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3C06AEB0" w14:textId="77777777" w:rsidR="001E09E4" w:rsidRPr="00F527A1" w:rsidRDefault="001E09E4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------------------- x 100-</w:t>
            </w:r>
          </w:p>
        </w:tc>
        <w:tc>
          <w:tcPr>
            <w:tcW w:w="1335" w:type="dxa"/>
            <w:vMerge/>
          </w:tcPr>
          <w:p w14:paraId="6768577F" w14:textId="77777777" w:rsidR="001E09E4" w:rsidRPr="00F527A1" w:rsidRDefault="001E09E4" w:rsidP="0042798E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753" w:type="dxa"/>
            <w:vMerge/>
          </w:tcPr>
          <w:p w14:paraId="28F1A0DE" w14:textId="77777777" w:rsidR="001E09E4" w:rsidRPr="00F527A1" w:rsidRDefault="001E09E4" w:rsidP="0042798E">
            <w:pPr>
              <w:spacing w:before="0"/>
              <w:rPr>
                <w:sz w:val="16"/>
                <w:szCs w:val="16"/>
              </w:rPr>
            </w:pPr>
          </w:p>
        </w:tc>
      </w:tr>
      <w:tr w:rsidR="001E09E4" w:rsidRPr="00F527A1" w14:paraId="34A52215" w14:textId="77777777" w:rsidTr="00F527A1">
        <w:trPr>
          <w:trHeight w:val="271"/>
        </w:trPr>
        <w:tc>
          <w:tcPr>
            <w:tcW w:w="494" w:type="dxa"/>
            <w:vMerge/>
          </w:tcPr>
          <w:p w14:paraId="3AFA60CB" w14:textId="77777777" w:rsidR="001E09E4" w:rsidRPr="00F527A1" w:rsidRDefault="001E09E4" w:rsidP="0042798E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2600D9C" w14:textId="77777777" w:rsidR="001E09E4" w:rsidRPr="00F527A1" w:rsidRDefault="001E09E4" w:rsidP="0042798E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nil"/>
              <w:bottom w:val="single" w:sz="4" w:space="0" w:color="auto"/>
            </w:tcBorders>
          </w:tcPr>
          <w:p w14:paraId="29F6E68D" w14:textId="77777777" w:rsidR="001E09E4" w:rsidRPr="00F527A1" w:rsidRDefault="001E09E4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Zinsaufwand</w:t>
            </w:r>
          </w:p>
        </w:tc>
        <w:tc>
          <w:tcPr>
            <w:tcW w:w="1335" w:type="dxa"/>
            <w:vMerge/>
          </w:tcPr>
          <w:p w14:paraId="7FF770A2" w14:textId="77777777" w:rsidR="001E09E4" w:rsidRPr="00F527A1" w:rsidRDefault="001E09E4" w:rsidP="0042798E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753" w:type="dxa"/>
            <w:vMerge/>
          </w:tcPr>
          <w:p w14:paraId="52A8E6A5" w14:textId="77777777" w:rsidR="001E09E4" w:rsidRPr="00F527A1" w:rsidRDefault="001E09E4" w:rsidP="0042798E">
            <w:pPr>
              <w:spacing w:before="0"/>
              <w:rPr>
                <w:sz w:val="16"/>
                <w:szCs w:val="16"/>
              </w:rPr>
            </w:pPr>
          </w:p>
        </w:tc>
      </w:tr>
      <w:tr w:rsidR="00F527A1" w:rsidRPr="00F527A1" w14:paraId="24D46552" w14:textId="77777777" w:rsidTr="00F527A1">
        <w:trPr>
          <w:trHeight w:val="454"/>
        </w:trPr>
        <w:tc>
          <w:tcPr>
            <w:tcW w:w="494" w:type="dxa"/>
            <w:shd w:val="clear" w:color="auto" w:fill="CCECFF"/>
            <w:vAlign w:val="center"/>
          </w:tcPr>
          <w:p w14:paraId="3E1946D0" w14:textId="77777777" w:rsidR="00F527A1" w:rsidRPr="00F527A1" w:rsidRDefault="00F527A1" w:rsidP="00F527A1">
            <w:pPr>
              <w:pStyle w:val="Listenabsatz"/>
              <w:numPr>
                <w:ilvl w:val="0"/>
                <w:numId w:val="18"/>
              </w:numPr>
              <w:spacing w:before="0"/>
              <w:jc w:val="left"/>
              <w:rPr>
                <w:b/>
                <w:color w:val="00B0F0"/>
                <w:sz w:val="20"/>
                <w:szCs w:val="16"/>
              </w:rPr>
            </w:pPr>
          </w:p>
        </w:tc>
        <w:tc>
          <w:tcPr>
            <w:tcW w:w="8573" w:type="dxa"/>
            <w:gridSpan w:val="4"/>
            <w:shd w:val="clear" w:color="auto" w:fill="CCECFF"/>
            <w:vAlign w:val="center"/>
          </w:tcPr>
          <w:p w14:paraId="6ABE6277" w14:textId="77777777" w:rsidR="00F527A1" w:rsidRPr="001475F2" w:rsidRDefault="00F527A1" w:rsidP="001475F2">
            <w:pPr>
              <w:spacing w:before="0"/>
              <w:jc w:val="left"/>
              <w:rPr>
                <w:b/>
                <w:color w:val="00B0F0"/>
                <w:sz w:val="20"/>
                <w:szCs w:val="16"/>
              </w:rPr>
            </w:pPr>
            <w:r w:rsidRPr="001475F2">
              <w:rPr>
                <w:b/>
                <w:color w:val="00B0F0"/>
                <w:sz w:val="20"/>
                <w:szCs w:val="16"/>
              </w:rPr>
              <w:t>Liquiditätskennzahlen</w:t>
            </w:r>
          </w:p>
        </w:tc>
      </w:tr>
      <w:tr w:rsidR="00F527A1" w:rsidRPr="00F527A1" w14:paraId="1E2698CF" w14:textId="77777777" w:rsidTr="00F527A1">
        <w:trPr>
          <w:trHeight w:val="272"/>
        </w:trPr>
        <w:tc>
          <w:tcPr>
            <w:tcW w:w="494" w:type="dxa"/>
            <w:vMerge w:val="restart"/>
          </w:tcPr>
          <w:p w14:paraId="033FB876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8.</w:t>
            </w:r>
          </w:p>
        </w:tc>
        <w:tc>
          <w:tcPr>
            <w:tcW w:w="1701" w:type="dxa"/>
            <w:vMerge w:val="restart"/>
          </w:tcPr>
          <w:p w14:paraId="3E9426C9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 xml:space="preserve">Schuldendeckungsgrad </w:t>
            </w:r>
            <w:r w:rsidRPr="00F527A1">
              <w:rPr>
                <w:b/>
                <w:sz w:val="16"/>
                <w:szCs w:val="16"/>
              </w:rPr>
              <w:br/>
            </w:r>
            <w:r w:rsidRPr="00F527A1">
              <w:rPr>
                <w:sz w:val="16"/>
                <w:szCs w:val="16"/>
              </w:rPr>
              <w:t>(</w:t>
            </w:r>
            <w:proofErr w:type="spellStart"/>
            <w:r w:rsidRPr="00F527A1">
              <w:rPr>
                <w:sz w:val="16"/>
                <w:szCs w:val="16"/>
              </w:rPr>
              <w:t>Debt</w:t>
            </w:r>
            <w:proofErr w:type="spellEnd"/>
            <w:r w:rsidRPr="00F527A1">
              <w:rPr>
                <w:sz w:val="16"/>
                <w:szCs w:val="16"/>
              </w:rPr>
              <w:t xml:space="preserve"> Service Coverage Ratio)</w:t>
            </w:r>
          </w:p>
        </w:tc>
        <w:tc>
          <w:tcPr>
            <w:tcW w:w="1784" w:type="dxa"/>
            <w:tcBorders>
              <w:bottom w:val="nil"/>
            </w:tcBorders>
          </w:tcPr>
          <w:p w14:paraId="54A0D565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 xml:space="preserve">(EBITDA – Steuern – </w:t>
            </w:r>
            <w:proofErr w:type="spellStart"/>
            <w:r w:rsidRPr="00F527A1">
              <w:rPr>
                <w:sz w:val="16"/>
                <w:szCs w:val="16"/>
              </w:rPr>
              <w:t>CapEx</w:t>
            </w:r>
            <w:proofErr w:type="spellEnd"/>
            <w:r w:rsidRPr="00F527A1">
              <w:rPr>
                <w:sz w:val="16"/>
                <w:szCs w:val="16"/>
              </w:rPr>
              <w:t>)</w:t>
            </w:r>
          </w:p>
        </w:tc>
        <w:tc>
          <w:tcPr>
            <w:tcW w:w="1335" w:type="dxa"/>
            <w:vMerge w:val="restart"/>
          </w:tcPr>
          <w:p w14:paraId="39277582" w14:textId="77777777" w:rsidR="00F527A1" w:rsidRPr="00F527A1" w:rsidRDefault="00F527A1" w:rsidP="00F527A1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Untergrenze</w:t>
            </w:r>
            <w:r>
              <w:rPr>
                <w:sz w:val="16"/>
                <w:szCs w:val="16"/>
              </w:rPr>
              <w:br/>
            </w:r>
            <w:r w:rsidRPr="00F527A1">
              <w:rPr>
                <w:color w:val="FF0000"/>
                <w:sz w:val="40"/>
                <w:szCs w:val="16"/>
              </w:rPr>
              <w:sym w:font="Wingdings" w:char="F0DD"/>
            </w:r>
          </w:p>
        </w:tc>
        <w:tc>
          <w:tcPr>
            <w:tcW w:w="3753" w:type="dxa"/>
            <w:vMerge w:val="restart"/>
          </w:tcPr>
          <w:p w14:paraId="39D3D2B2" w14:textId="77777777" w:rsidR="00F527A1" w:rsidRPr="00F527A1" w:rsidRDefault="00F527A1" w:rsidP="00F527A1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 xml:space="preserve">Zeigt, </w:t>
            </w:r>
            <w:r w:rsidRPr="00F527A1">
              <w:rPr>
                <w:b/>
                <w:sz w:val="16"/>
                <w:szCs w:val="16"/>
              </w:rPr>
              <w:t>ob der operative Cash-Flow ausreicht</w:t>
            </w:r>
            <w:r w:rsidRPr="00F527A1">
              <w:rPr>
                <w:sz w:val="16"/>
                <w:szCs w:val="16"/>
              </w:rPr>
              <w:t xml:space="preserve">, um die gesamten </w:t>
            </w:r>
            <w:r w:rsidRPr="00F527A1">
              <w:rPr>
                <w:b/>
                <w:sz w:val="16"/>
                <w:szCs w:val="16"/>
              </w:rPr>
              <w:t>Schuldendienstleistungsverpflichtungen zu erfüllen</w:t>
            </w:r>
            <w:r w:rsidRPr="00F527A1">
              <w:rPr>
                <w:sz w:val="16"/>
                <w:szCs w:val="16"/>
              </w:rPr>
              <w:t>.</w:t>
            </w:r>
          </w:p>
          <w:p w14:paraId="0E46C1AC" w14:textId="77777777" w:rsidR="00F527A1" w:rsidRDefault="00F527A1" w:rsidP="00F527A1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(häufig in Projektfinanzierungen)</w:t>
            </w:r>
          </w:p>
          <w:p w14:paraId="4B809024" w14:textId="77777777" w:rsidR="00AF78F3" w:rsidRPr="00F527A1" w:rsidRDefault="00AF78F3" w:rsidP="00F527A1">
            <w:pPr>
              <w:spacing w:before="0"/>
              <w:rPr>
                <w:sz w:val="16"/>
                <w:szCs w:val="16"/>
              </w:rPr>
            </w:pPr>
          </w:p>
        </w:tc>
      </w:tr>
      <w:tr w:rsidR="00F527A1" w:rsidRPr="00F527A1" w14:paraId="6C800195" w14:textId="77777777" w:rsidTr="00F527A1">
        <w:trPr>
          <w:trHeight w:val="271"/>
        </w:trPr>
        <w:tc>
          <w:tcPr>
            <w:tcW w:w="494" w:type="dxa"/>
            <w:vMerge/>
          </w:tcPr>
          <w:p w14:paraId="49C10DF9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E41DBF5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0F9FF8F5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------------------- x 100-</w:t>
            </w:r>
          </w:p>
        </w:tc>
        <w:tc>
          <w:tcPr>
            <w:tcW w:w="1335" w:type="dxa"/>
            <w:vMerge/>
          </w:tcPr>
          <w:p w14:paraId="071E9644" w14:textId="77777777" w:rsidR="00F527A1" w:rsidRPr="00F527A1" w:rsidRDefault="00F527A1" w:rsidP="00F527A1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753" w:type="dxa"/>
            <w:vMerge/>
          </w:tcPr>
          <w:p w14:paraId="3B775837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</w:p>
        </w:tc>
      </w:tr>
      <w:tr w:rsidR="00F527A1" w:rsidRPr="00F527A1" w14:paraId="08F75A23" w14:textId="77777777" w:rsidTr="00F527A1">
        <w:trPr>
          <w:trHeight w:val="271"/>
        </w:trPr>
        <w:tc>
          <w:tcPr>
            <w:tcW w:w="494" w:type="dxa"/>
            <w:vMerge/>
          </w:tcPr>
          <w:p w14:paraId="05C99589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17A6B88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nil"/>
              <w:bottom w:val="single" w:sz="4" w:space="0" w:color="auto"/>
            </w:tcBorders>
          </w:tcPr>
          <w:p w14:paraId="707C142C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(Zinsaufwand + Tilgung)</w:t>
            </w:r>
          </w:p>
          <w:p w14:paraId="631EDF08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br/>
            </w:r>
          </w:p>
        </w:tc>
        <w:tc>
          <w:tcPr>
            <w:tcW w:w="1335" w:type="dxa"/>
            <w:vMerge/>
          </w:tcPr>
          <w:p w14:paraId="325F2A45" w14:textId="77777777" w:rsidR="00F527A1" w:rsidRPr="00F527A1" w:rsidRDefault="00F527A1" w:rsidP="00F527A1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753" w:type="dxa"/>
            <w:vMerge/>
          </w:tcPr>
          <w:p w14:paraId="07E57648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</w:p>
        </w:tc>
      </w:tr>
      <w:tr w:rsidR="00F527A1" w:rsidRPr="00F527A1" w14:paraId="1BF997FB" w14:textId="77777777" w:rsidTr="00F527A1">
        <w:trPr>
          <w:trHeight w:val="1347"/>
        </w:trPr>
        <w:tc>
          <w:tcPr>
            <w:tcW w:w="494" w:type="dxa"/>
          </w:tcPr>
          <w:p w14:paraId="1449AA1D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9.</w:t>
            </w:r>
          </w:p>
        </w:tc>
        <w:tc>
          <w:tcPr>
            <w:tcW w:w="1701" w:type="dxa"/>
          </w:tcPr>
          <w:p w14:paraId="690FD341" w14:textId="77777777" w:rsidR="00F527A1" w:rsidRPr="00F527A1" w:rsidRDefault="00F527A1" w:rsidP="0042798E">
            <w:pPr>
              <w:spacing w:before="0"/>
              <w:rPr>
                <w:b/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Working Capital</w:t>
            </w:r>
          </w:p>
        </w:tc>
        <w:tc>
          <w:tcPr>
            <w:tcW w:w="1784" w:type="dxa"/>
          </w:tcPr>
          <w:p w14:paraId="1F2851B6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 xml:space="preserve">Umlaufvermögen </w:t>
            </w:r>
            <w:r w:rsidRPr="00F527A1">
              <w:rPr>
                <w:sz w:val="16"/>
                <w:szCs w:val="16"/>
              </w:rPr>
              <w:br/>
              <w:t xml:space="preserve">abzüglich </w:t>
            </w:r>
            <w:r w:rsidRPr="00F527A1">
              <w:rPr>
                <w:sz w:val="16"/>
                <w:szCs w:val="16"/>
              </w:rPr>
              <w:br/>
              <w:t>kurzfristige Verbindlichkeiten</w:t>
            </w:r>
          </w:p>
        </w:tc>
        <w:tc>
          <w:tcPr>
            <w:tcW w:w="1335" w:type="dxa"/>
          </w:tcPr>
          <w:p w14:paraId="68D37893" w14:textId="77777777" w:rsidR="00F527A1" w:rsidRPr="00F527A1" w:rsidRDefault="00F527A1" w:rsidP="00F527A1">
            <w:pPr>
              <w:spacing w:before="0"/>
              <w:jc w:val="center"/>
              <w:rPr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Untergrenze</w:t>
            </w:r>
            <w:r w:rsidRPr="00F527A1">
              <w:rPr>
                <w:sz w:val="16"/>
                <w:szCs w:val="16"/>
              </w:rPr>
              <w:t xml:space="preserve"> oder </w:t>
            </w:r>
            <w:r w:rsidRPr="00F527A1">
              <w:rPr>
                <w:b/>
                <w:sz w:val="16"/>
                <w:szCs w:val="16"/>
              </w:rPr>
              <w:t>Stabilität</w:t>
            </w:r>
            <w:r>
              <w:rPr>
                <w:sz w:val="16"/>
                <w:szCs w:val="16"/>
              </w:rPr>
              <w:br/>
            </w:r>
            <w:r w:rsidRPr="00F527A1">
              <w:rPr>
                <w:color w:val="FF0000"/>
                <w:sz w:val="40"/>
                <w:szCs w:val="16"/>
              </w:rPr>
              <w:sym w:font="Wingdings" w:char="F0DD"/>
            </w:r>
          </w:p>
        </w:tc>
        <w:tc>
          <w:tcPr>
            <w:tcW w:w="3753" w:type="dxa"/>
          </w:tcPr>
          <w:p w14:paraId="13C587DB" w14:textId="77777777" w:rsidR="00F527A1" w:rsidRPr="00F527A1" w:rsidRDefault="00F527A1" w:rsidP="001475F2">
            <w:pPr>
              <w:spacing w:before="0"/>
              <w:jc w:val="left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 xml:space="preserve">Sicherung der </w:t>
            </w:r>
            <w:r w:rsidRPr="00F527A1">
              <w:rPr>
                <w:b/>
                <w:sz w:val="16"/>
                <w:szCs w:val="16"/>
              </w:rPr>
              <w:t>kurzfristigen Liquidität und operativen Zahlungsfähigkeit</w:t>
            </w:r>
            <w:r w:rsidRPr="00F527A1">
              <w:rPr>
                <w:sz w:val="16"/>
                <w:szCs w:val="16"/>
              </w:rPr>
              <w:t xml:space="preserve">; </w:t>
            </w:r>
            <w:r w:rsidRPr="00F527A1">
              <w:rPr>
                <w:sz w:val="16"/>
                <w:szCs w:val="16"/>
              </w:rPr>
              <w:br/>
              <w:t>negative Entwicklungen können auf Liquiditätsengpässe hinweis</w:t>
            </w:r>
            <w:r w:rsidR="001475F2">
              <w:rPr>
                <w:sz w:val="16"/>
                <w:szCs w:val="16"/>
              </w:rPr>
              <w:t>t</w:t>
            </w:r>
            <w:r w:rsidRPr="00F527A1">
              <w:rPr>
                <w:sz w:val="16"/>
                <w:szCs w:val="16"/>
              </w:rPr>
              <w:t>.</w:t>
            </w:r>
          </w:p>
        </w:tc>
      </w:tr>
      <w:tr w:rsidR="00F527A1" w:rsidRPr="00F527A1" w14:paraId="581E18A7" w14:textId="77777777" w:rsidTr="00F527A1">
        <w:trPr>
          <w:trHeight w:val="1226"/>
        </w:trPr>
        <w:tc>
          <w:tcPr>
            <w:tcW w:w="494" w:type="dxa"/>
          </w:tcPr>
          <w:p w14:paraId="51482D3B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10.</w:t>
            </w:r>
          </w:p>
        </w:tc>
        <w:tc>
          <w:tcPr>
            <w:tcW w:w="1701" w:type="dxa"/>
          </w:tcPr>
          <w:p w14:paraId="58FC2159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  <w:proofErr w:type="spellStart"/>
            <w:r w:rsidRPr="00F527A1">
              <w:rPr>
                <w:b/>
                <w:sz w:val="16"/>
                <w:szCs w:val="16"/>
              </w:rPr>
              <w:t>Invesitionslimit</w:t>
            </w:r>
            <w:proofErr w:type="spellEnd"/>
            <w:r w:rsidRPr="00F527A1">
              <w:rPr>
                <w:sz w:val="16"/>
                <w:szCs w:val="16"/>
              </w:rPr>
              <w:t xml:space="preserve"> (</w:t>
            </w:r>
            <w:proofErr w:type="spellStart"/>
            <w:r w:rsidRPr="00F527A1">
              <w:rPr>
                <w:sz w:val="16"/>
                <w:szCs w:val="16"/>
              </w:rPr>
              <w:t>CapEx</w:t>
            </w:r>
            <w:proofErr w:type="spellEnd"/>
            <w:r w:rsidRPr="00F527A1">
              <w:rPr>
                <w:sz w:val="16"/>
                <w:szCs w:val="16"/>
              </w:rPr>
              <w:t>-Limit)</w:t>
            </w:r>
          </w:p>
        </w:tc>
        <w:tc>
          <w:tcPr>
            <w:tcW w:w="1784" w:type="dxa"/>
          </w:tcPr>
          <w:p w14:paraId="5B984945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sz w:val="16"/>
                <w:szCs w:val="16"/>
              </w:rPr>
              <w:t>Maximal zulässige Investitionsausgaben pro Periode</w:t>
            </w:r>
          </w:p>
          <w:p w14:paraId="7C3FB228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335" w:type="dxa"/>
          </w:tcPr>
          <w:p w14:paraId="32A29D6C" w14:textId="77777777" w:rsidR="00F527A1" w:rsidRPr="00F527A1" w:rsidRDefault="00F527A1" w:rsidP="00F527A1">
            <w:pPr>
              <w:spacing w:before="0"/>
              <w:jc w:val="center"/>
              <w:rPr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 xml:space="preserve">Obergrenze </w:t>
            </w:r>
            <w:r w:rsidRPr="00F527A1">
              <w:rPr>
                <w:sz w:val="16"/>
                <w:szCs w:val="16"/>
              </w:rPr>
              <w:t>(absolut oder relativ)</w:t>
            </w:r>
            <w:r w:rsidRPr="00F527A1">
              <w:rPr>
                <w:b/>
                <w:sz w:val="16"/>
                <w:szCs w:val="16"/>
              </w:rPr>
              <w:br/>
            </w:r>
            <w:r w:rsidRPr="00F527A1">
              <w:rPr>
                <w:color w:val="00B0F0"/>
                <w:sz w:val="40"/>
                <w:szCs w:val="16"/>
              </w:rPr>
              <w:sym w:font="Wingdings" w:char="F0DE"/>
            </w:r>
          </w:p>
        </w:tc>
        <w:tc>
          <w:tcPr>
            <w:tcW w:w="3753" w:type="dxa"/>
          </w:tcPr>
          <w:p w14:paraId="237DF980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Begrenzung</w:t>
            </w:r>
            <w:r w:rsidRPr="00F527A1">
              <w:rPr>
                <w:sz w:val="16"/>
                <w:szCs w:val="16"/>
              </w:rPr>
              <w:t xml:space="preserve"> exzessiver oder nicht abgestimmter </w:t>
            </w:r>
            <w:r w:rsidRPr="00F527A1">
              <w:rPr>
                <w:b/>
                <w:sz w:val="16"/>
                <w:szCs w:val="16"/>
              </w:rPr>
              <w:t>Investitionen</w:t>
            </w:r>
            <w:r w:rsidRPr="00F527A1">
              <w:rPr>
                <w:sz w:val="16"/>
                <w:szCs w:val="16"/>
              </w:rPr>
              <w:t xml:space="preserve">. </w:t>
            </w:r>
          </w:p>
          <w:p w14:paraId="32D95EFF" w14:textId="77777777" w:rsidR="00F527A1" w:rsidRPr="00F527A1" w:rsidRDefault="00F527A1" w:rsidP="0042798E">
            <w:pPr>
              <w:spacing w:before="0"/>
              <w:rPr>
                <w:sz w:val="16"/>
                <w:szCs w:val="16"/>
              </w:rPr>
            </w:pPr>
            <w:r w:rsidRPr="00F527A1">
              <w:rPr>
                <w:b/>
                <w:sz w:val="16"/>
                <w:szCs w:val="16"/>
              </w:rPr>
              <w:t>Sicherstellung</w:t>
            </w:r>
            <w:r w:rsidRPr="00F527A1">
              <w:rPr>
                <w:sz w:val="16"/>
                <w:szCs w:val="16"/>
              </w:rPr>
              <w:t xml:space="preserve">, dass Cashflow primär dem </w:t>
            </w:r>
            <w:r w:rsidRPr="00F527A1">
              <w:rPr>
                <w:b/>
                <w:sz w:val="16"/>
                <w:szCs w:val="16"/>
              </w:rPr>
              <w:t>Schuldendienst</w:t>
            </w:r>
            <w:r w:rsidRPr="00F527A1">
              <w:rPr>
                <w:sz w:val="16"/>
                <w:szCs w:val="16"/>
              </w:rPr>
              <w:t xml:space="preserve"> dienen.</w:t>
            </w:r>
          </w:p>
        </w:tc>
      </w:tr>
    </w:tbl>
    <w:p w14:paraId="15A4AB77" w14:textId="77777777" w:rsidR="0005748B" w:rsidRPr="00604605" w:rsidRDefault="0005748B" w:rsidP="00604605">
      <w:pPr>
        <w:spacing w:before="0"/>
        <w:rPr>
          <w:sz w:val="20"/>
        </w:rPr>
      </w:pPr>
    </w:p>
    <w:p w14:paraId="6952C42D" w14:textId="77777777" w:rsidR="00DB3534" w:rsidRPr="00E67BF7" w:rsidRDefault="00DB3534" w:rsidP="00E67BF7">
      <w:pPr>
        <w:spacing w:before="0"/>
        <w:rPr>
          <w:sz w:val="4"/>
          <w:szCs w:val="16"/>
        </w:rPr>
      </w:pPr>
      <w:bookmarkStart w:id="0" w:name="_GoBack"/>
      <w:bookmarkEnd w:id="0"/>
    </w:p>
    <w:sectPr w:rsidR="00DB3534" w:rsidRPr="00E67BF7" w:rsidSect="007A642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418" w:right="1701" w:bottom="1134" w:left="1134" w:header="1134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8C416" w14:textId="77777777" w:rsidR="006E64BB" w:rsidRDefault="006E64BB">
      <w:pPr>
        <w:spacing w:before="0"/>
      </w:pPr>
      <w:r>
        <w:separator/>
      </w:r>
    </w:p>
  </w:endnote>
  <w:endnote w:type="continuationSeparator" w:id="0">
    <w:p w14:paraId="3BF9005A" w14:textId="77777777" w:rsidR="006E64BB" w:rsidRDefault="006E64B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6FAB1" w14:textId="77777777"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>-Pr</w:t>
    </w:r>
    <w:r w:rsidR="00C03570">
      <w:rPr>
        <w:rFonts w:eastAsiaTheme="minorHAnsi" w:cstheme="minorBidi"/>
        <w:b/>
        <w:color w:val="00B0F0"/>
        <w:sz w:val="20"/>
        <w:lang w:eastAsia="en-US"/>
      </w:rPr>
      <w:t>axis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hilfe </w:t>
    </w:r>
    <w:r w:rsidR="008A6F90">
      <w:rPr>
        <w:rFonts w:eastAsiaTheme="minorHAnsi" w:cstheme="minorBidi"/>
        <w:b/>
        <w:color w:val="00B0F0"/>
        <w:sz w:val="20"/>
        <w:lang w:eastAsia="en-US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7A6420" w:rsidRPr="0009625D" w14:paraId="26E507A9" w14:textId="77777777" w:rsidTr="007A6420">
      <w:trPr>
        <w:trHeight w:hRule="exact" w:val="567"/>
      </w:trPr>
      <w:tc>
        <w:tcPr>
          <w:tcW w:w="2694" w:type="dxa"/>
          <w:vAlign w:val="bottom"/>
        </w:tcPr>
        <w:p w14:paraId="1B39A09A" w14:textId="77777777" w:rsidR="007A6420" w:rsidRPr="005F3383" w:rsidRDefault="007A6420" w:rsidP="007A6420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0CD2FBBB" w14:textId="77777777" w:rsidR="007A6420" w:rsidRPr="005F3383" w:rsidRDefault="007A6420" w:rsidP="007A6420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4143" w:type="dxa"/>
          <w:vAlign w:val="bottom"/>
        </w:tcPr>
        <w:p w14:paraId="150FE8DD" w14:textId="77777777" w:rsidR="007A6420" w:rsidRDefault="007A6420" w:rsidP="007A6420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3B63AEDE" wp14:editId="7A3857A2">
                <wp:extent cx="1134775" cy="324000"/>
                <wp:effectExtent l="0" t="0" r="825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1E65150B" w14:textId="16C41375" w:rsidR="007A6420" w:rsidRPr="0009625D" w:rsidRDefault="007A6420" w:rsidP="007A6420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9/1</w:t>
          </w:r>
        </w:p>
      </w:tc>
    </w:tr>
  </w:tbl>
  <w:p w14:paraId="7382B77B" w14:textId="1B335466" w:rsidR="007506E6" w:rsidRPr="007A6420" w:rsidRDefault="007506E6" w:rsidP="007A6420">
    <w:pPr>
      <w:pStyle w:val="Fuzeile"/>
      <w:spacing w:before="0"/>
      <w:rPr>
        <w:rFonts w:eastAsia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B0970" w14:textId="77777777" w:rsidR="006E64BB" w:rsidRDefault="006E64BB" w:rsidP="00EE217B">
      <w:pPr>
        <w:pStyle w:val="Fuzeile"/>
      </w:pPr>
    </w:p>
    <w:p w14:paraId="1345F731" w14:textId="77777777" w:rsidR="006E64BB" w:rsidRPr="00EE217B" w:rsidRDefault="006E64BB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7BDB7404" w14:textId="77777777" w:rsidR="006E64BB" w:rsidRDefault="006E64BB" w:rsidP="00711AB6">
      <w:pPr>
        <w:spacing w:before="0"/>
        <w:jc w:val="center"/>
      </w:pPr>
    </w:p>
    <w:p w14:paraId="2CFEB3C4" w14:textId="77777777" w:rsidR="006E64BB" w:rsidRPr="00711AB6" w:rsidRDefault="006E64BB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73C2C" w14:textId="77777777" w:rsidR="0095394E" w:rsidRPr="00604605" w:rsidRDefault="0095394E" w:rsidP="00AF0044">
    <w:pPr>
      <w:pStyle w:val="Kopfzeile"/>
      <w:pBdr>
        <w:bottom w:val="none" w:sz="0" w:space="0" w:color="auto"/>
      </w:pBdr>
      <w:ind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77468" w14:textId="77777777" w:rsidR="007506E6" w:rsidRPr="00604605" w:rsidRDefault="007506E6" w:rsidP="00604605">
    <w:pPr>
      <w:pStyle w:val="Kopfzeile"/>
      <w:pBdr>
        <w:bottom w:val="none" w:sz="0" w:space="0" w:color="auto"/>
      </w:pBdr>
      <w:jc w:val="left"/>
      <w:rPr>
        <w:sz w:val="2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D93095"/>
    <w:multiLevelType w:val="hybridMultilevel"/>
    <w:tmpl w:val="BB62329C"/>
    <w:lvl w:ilvl="0" w:tplc="5B5A1F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72258"/>
    <w:multiLevelType w:val="hybridMultilevel"/>
    <w:tmpl w:val="73CCDCB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8664F2"/>
    <w:multiLevelType w:val="hybridMultilevel"/>
    <w:tmpl w:val="0632E5A6"/>
    <w:lvl w:ilvl="0" w:tplc="56847D8E">
      <w:start w:val="5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7CBD2FC1"/>
    <w:multiLevelType w:val="hybridMultilevel"/>
    <w:tmpl w:val="0F2689EC"/>
    <w:lvl w:ilvl="0" w:tplc="56847D8E">
      <w:start w:val="5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7"/>
  </w:num>
  <w:num w:numId="12">
    <w:abstractNumId w:val="10"/>
  </w:num>
  <w:num w:numId="13">
    <w:abstractNumId w:val="11"/>
  </w:num>
  <w:num w:numId="14">
    <w:abstractNumId w:val="16"/>
  </w:num>
  <w:num w:numId="15">
    <w:abstractNumId w:val="15"/>
  </w:num>
  <w:num w:numId="16">
    <w:abstractNumId w:val="14"/>
  </w:num>
  <w:num w:numId="17">
    <w:abstractNumId w:val="12"/>
  </w:num>
  <w:num w:numId="18">
    <w:abstractNumId w:val="8"/>
  </w:num>
  <w:num w:numId="19">
    <w:abstractNumId w:val="13"/>
  </w:num>
  <w:num w:numId="20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04"/>
    <w:rsid w:val="00002230"/>
    <w:rsid w:val="00002EED"/>
    <w:rsid w:val="000030A9"/>
    <w:rsid w:val="0001477C"/>
    <w:rsid w:val="0002748A"/>
    <w:rsid w:val="0003242D"/>
    <w:rsid w:val="0004061E"/>
    <w:rsid w:val="00045944"/>
    <w:rsid w:val="000503CF"/>
    <w:rsid w:val="00050DF7"/>
    <w:rsid w:val="0005326E"/>
    <w:rsid w:val="00053335"/>
    <w:rsid w:val="0005748B"/>
    <w:rsid w:val="000616B8"/>
    <w:rsid w:val="00064F40"/>
    <w:rsid w:val="000740E5"/>
    <w:rsid w:val="00075E7C"/>
    <w:rsid w:val="00075E85"/>
    <w:rsid w:val="00080B9A"/>
    <w:rsid w:val="00086B8A"/>
    <w:rsid w:val="0009344D"/>
    <w:rsid w:val="00097B2B"/>
    <w:rsid w:val="000B03E6"/>
    <w:rsid w:val="000B1337"/>
    <w:rsid w:val="000E26F7"/>
    <w:rsid w:val="000E4576"/>
    <w:rsid w:val="00111AC6"/>
    <w:rsid w:val="001205E2"/>
    <w:rsid w:val="00143F11"/>
    <w:rsid w:val="001475F2"/>
    <w:rsid w:val="0015648D"/>
    <w:rsid w:val="00165A53"/>
    <w:rsid w:val="00180880"/>
    <w:rsid w:val="00184E10"/>
    <w:rsid w:val="0019585B"/>
    <w:rsid w:val="001A1634"/>
    <w:rsid w:val="001A1B58"/>
    <w:rsid w:val="001B3F50"/>
    <w:rsid w:val="001B7E25"/>
    <w:rsid w:val="001C0D6B"/>
    <w:rsid w:val="001C1789"/>
    <w:rsid w:val="001D22E2"/>
    <w:rsid w:val="001E09E4"/>
    <w:rsid w:val="001E1F96"/>
    <w:rsid w:val="001E38E2"/>
    <w:rsid w:val="001E7A82"/>
    <w:rsid w:val="001F04DD"/>
    <w:rsid w:val="00205D1D"/>
    <w:rsid w:val="002065BE"/>
    <w:rsid w:val="0021047B"/>
    <w:rsid w:val="00213C34"/>
    <w:rsid w:val="00254B34"/>
    <w:rsid w:val="00257647"/>
    <w:rsid w:val="00257D51"/>
    <w:rsid w:val="002717FB"/>
    <w:rsid w:val="00282A21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C3405"/>
    <w:rsid w:val="002D0908"/>
    <w:rsid w:val="002D7E2D"/>
    <w:rsid w:val="002F09D8"/>
    <w:rsid w:val="002F6B99"/>
    <w:rsid w:val="002F771F"/>
    <w:rsid w:val="00304799"/>
    <w:rsid w:val="0032646C"/>
    <w:rsid w:val="00340216"/>
    <w:rsid w:val="00342964"/>
    <w:rsid w:val="00352142"/>
    <w:rsid w:val="00353DA8"/>
    <w:rsid w:val="00360F3D"/>
    <w:rsid w:val="00364269"/>
    <w:rsid w:val="00371DC2"/>
    <w:rsid w:val="00376DCD"/>
    <w:rsid w:val="00382BCD"/>
    <w:rsid w:val="003932A1"/>
    <w:rsid w:val="003A6FEB"/>
    <w:rsid w:val="003B420D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4F4640"/>
    <w:rsid w:val="0050152B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67521"/>
    <w:rsid w:val="00583AA1"/>
    <w:rsid w:val="005913EC"/>
    <w:rsid w:val="005921A2"/>
    <w:rsid w:val="005967E6"/>
    <w:rsid w:val="005B4A82"/>
    <w:rsid w:val="005B57D7"/>
    <w:rsid w:val="005B7F7F"/>
    <w:rsid w:val="005C1C85"/>
    <w:rsid w:val="005C5708"/>
    <w:rsid w:val="005D1825"/>
    <w:rsid w:val="005D26BD"/>
    <w:rsid w:val="005D2A74"/>
    <w:rsid w:val="005E07BD"/>
    <w:rsid w:val="005E7803"/>
    <w:rsid w:val="005F6F40"/>
    <w:rsid w:val="00604605"/>
    <w:rsid w:val="00632C1A"/>
    <w:rsid w:val="006454CF"/>
    <w:rsid w:val="0065198F"/>
    <w:rsid w:val="006521FF"/>
    <w:rsid w:val="00665F75"/>
    <w:rsid w:val="0066763B"/>
    <w:rsid w:val="00683891"/>
    <w:rsid w:val="00684B37"/>
    <w:rsid w:val="006C1DFE"/>
    <w:rsid w:val="006C4228"/>
    <w:rsid w:val="006C58DA"/>
    <w:rsid w:val="006D45A1"/>
    <w:rsid w:val="006E24F6"/>
    <w:rsid w:val="006E64BB"/>
    <w:rsid w:val="006E7126"/>
    <w:rsid w:val="006F1132"/>
    <w:rsid w:val="007026D1"/>
    <w:rsid w:val="00711AB6"/>
    <w:rsid w:val="00716DD5"/>
    <w:rsid w:val="00720E5C"/>
    <w:rsid w:val="00742EA1"/>
    <w:rsid w:val="00744772"/>
    <w:rsid w:val="007506E6"/>
    <w:rsid w:val="007626C5"/>
    <w:rsid w:val="00763FC1"/>
    <w:rsid w:val="007648E0"/>
    <w:rsid w:val="00765666"/>
    <w:rsid w:val="0078728B"/>
    <w:rsid w:val="00790130"/>
    <w:rsid w:val="00796513"/>
    <w:rsid w:val="007A060E"/>
    <w:rsid w:val="007A3E0C"/>
    <w:rsid w:val="007A6420"/>
    <w:rsid w:val="007B1945"/>
    <w:rsid w:val="007B34C4"/>
    <w:rsid w:val="007D3976"/>
    <w:rsid w:val="007E0249"/>
    <w:rsid w:val="007F3A7C"/>
    <w:rsid w:val="00802ED4"/>
    <w:rsid w:val="00805892"/>
    <w:rsid w:val="0081072B"/>
    <w:rsid w:val="008248D3"/>
    <w:rsid w:val="008312B3"/>
    <w:rsid w:val="0083467A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A6F90"/>
    <w:rsid w:val="008C44B0"/>
    <w:rsid w:val="008D1A8E"/>
    <w:rsid w:val="008D60A5"/>
    <w:rsid w:val="008E0D82"/>
    <w:rsid w:val="008E0FC7"/>
    <w:rsid w:val="008F75E7"/>
    <w:rsid w:val="0090629F"/>
    <w:rsid w:val="009075A9"/>
    <w:rsid w:val="009212B4"/>
    <w:rsid w:val="00924153"/>
    <w:rsid w:val="0095198B"/>
    <w:rsid w:val="0095394E"/>
    <w:rsid w:val="00967CED"/>
    <w:rsid w:val="00970211"/>
    <w:rsid w:val="009760D0"/>
    <w:rsid w:val="0099236A"/>
    <w:rsid w:val="009A6E64"/>
    <w:rsid w:val="009C2FF2"/>
    <w:rsid w:val="009C6EFB"/>
    <w:rsid w:val="009D429E"/>
    <w:rsid w:val="009E1FB1"/>
    <w:rsid w:val="009F6E01"/>
    <w:rsid w:val="00A06317"/>
    <w:rsid w:val="00A2355F"/>
    <w:rsid w:val="00A237ED"/>
    <w:rsid w:val="00A31197"/>
    <w:rsid w:val="00A5114A"/>
    <w:rsid w:val="00A613A1"/>
    <w:rsid w:val="00A649A3"/>
    <w:rsid w:val="00A65246"/>
    <w:rsid w:val="00A7113B"/>
    <w:rsid w:val="00A75CE3"/>
    <w:rsid w:val="00A760BF"/>
    <w:rsid w:val="00A8486F"/>
    <w:rsid w:val="00A87FE5"/>
    <w:rsid w:val="00A946ED"/>
    <w:rsid w:val="00A9574B"/>
    <w:rsid w:val="00A96718"/>
    <w:rsid w:val="00AA65D6"/>
    <w:rsid w:val="00AC17EE"/>
    <w:rsid w:val="00AE290A"/>
    <w:rsid w:val="00AE652A"/>
    <w:rsid w:val="00AF0044"/>
    <w:rsid w:val="00AF1983"/>
    <w:rsid w:val="00AF2267"/>
    <w:rsid w:val="00AF78F3"/>
    <w:rsid w:val="00B13741"/>
    <w:rsid w:val="00B14044"/>
    <w:rsid w:val="00B15817"/>
    <w:rsid w:val="00B1680D"/>
    <w:rsid w:val="00B22993"/>
    <w:rsid w:val="00B261B2"/>
    <w:rsid w:val="00B6345C"/>
    <w:rsid w:val="00B70E8D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0FC"/>
    <w:rsid w:val="00BD62C0"/>
    <w:rsid w:val="00BE368B"/>
    <w:rsid w:val="00BF0354"/>
    <w:rsid w:val="00BF2B89"/>
    <w:rsid w:val="00BF7EB9"/>
    <w:rsid w:val="00C03570"/>
    <w:rsid w:val="00C24E59"/>
    <w:rsid w:val="00C25BE8"/>
    <w:rsid w:val="00C30D7D"/>
    <w:rsid w:val="00C328B3"/>
    <w:rsid w:val="00C43D74"/>
    <w:rsid w:val="00C470A2"/>
    <w:rsid w:val="00C51D9C"/>
    <w:rsid w:val="00C61048"/>
    <w:rsid w:val="00C70C2B"/>
    <w:rsid w:val="00C834E5"/>
    <w:rsid w:val="00C8522D"/>
    <w:rsid w:val="00C91AC1"/>
    <w:rsid w:val="00C940C7"/>
    <w:rsid w:val="00CA5FDE"/>
    <w:rsid w:val="00CA6FFC"/>
    <w:rsid w:val="00CB24C7"/>
    <w:rsid w:val="00CC19EF"/>
    <w:rsid w:val="00CD1A9A"/>
    <w:rsid w:val="00CD4117"/>
    <w:rsid w:val="00CE73C2"/>
    <w:rsid w:val="00D13BD1"/>
    <w:rsid w:val="00D41C0E"/>
    <w:rsid w:val="00D45365"/>
    <w:rsid w:val="00D50164"/>
    <w:rsid w:val="00D61222"/>
    <w:rsid w:val="00D87E32"/>
    <w:rsid w:val="00DA6374"/>
    <w:rsid w:val="00DB3534"/>
    <w:rsid w:val="00DB3B77"/>
    <w:rsid w:val="00DC5CF9"/>
    <w:rsid w:val="00DD2240"/>
    <w:rsid w:val="00DD3447"/>
    <w:rsid w:val="00DD5810"/>
    <w:rsid w:val="00DE10AB"/>
    <w:rsid w:val="00DE2B44"/>
    <w:rsid w:val="00DF7004"/>
    <w:rsid w:val="00E013D1"/>
    <w:rsid w:val="00E016C0"/>
    <w:rsid w:val="00E032F7"/>
    <w:rsid w:val="00E211D2"/>
    <w:rsid w:val="00E342CA"/>
    <w:rsid w:val="00E368C3"/>
    <w:rsid w:val="00E50734"/>
    <w:rsid w:val="00E54CF5"/>
    <w:rsid w:val="00E57522"/>
    <w:rsid w:val="00E57793"/>
    <w:rsid w:val="00E61BCD"/>
    <w:rsid w:val="00E67BF7"/>
    <w:rsid w:val="00E77518"/>
    <w:rsid w:val="00EA2ACF"/>
    <w:rsid w:val="00EA74B3"/>
    <w:rsid w:val="00EC00F0"/>
    <w:rsid w:val="00EE217B"/>
    <w:rsid w:val="00EF2558"/>
    <w:rsid w:val="00F029CC"/>
    <w:rsid w:val="00F02A61"/>
    <w:rsid w:val="00F0784C"/>
    <w:rsid w:val="00F2421E"/>
    <w:rsid w:val="00F3121A"/>
    <w:rsid w:val="00F35247"/>
    <w:rsid w:val="00F43427"/>
    <w:rsid w:val="00F508B7"/>
    <w:rsid w:val="00F51F9C"/>
    <w:rsid w:val="00F527A1"/>
    <w:rsid w:val="00F579A0"/>
    <w:rsid w:val="00F607DD"/>
    <w:rsid w:val="00F672A4"/>
    <w:rsid w:val="00F67FF5"/>
    <w:rsid w:val="00F75755"/>
    <w:rsid w:val="00F87375"/>
    <w:rsid w:val="00F920AB"/>
    <w:rsid w:val="00F956CF"/>
    <w:rsid w:val="00FA1E51"/>
    <w:rsid w:val="00FB19BE"/>
    <w:rsid w:val="00FB74D4"/>
    <w:rsid w:val="00FD0600"/>
    <w:rsid w:val="00FD6CCC"/>
    <w:rsid w:val="00FE65A7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DF403CE"/>
  <w15:docId w15:val="{6F1AA954-813B-48E8-9B5F-D6A8A8A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character" w:customStyle="1" w:styleId="berschrift1Zchn">
    <w:name w:val="Überschrift 1 Zchn"/>
    <w:basedOn w:val="Absatz-Standardschriftart"/>
    <w:link w:val="berschrift1"/>
    <w:rsid w:val="00C25BE8"/>
    <w:rPr>
      <w:rFonts w:ascii="Futura Md BT" w:hAnsi="Futura Md BT"/>
      <w:b/>
      <w:color w:val="00A7DE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DE37C6D6-71FD-4075-9DD5-177BE125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</Template>
  <TotalTime>0</TotalTime>
  <Pages>1</Pages>
  <Words>269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Henrich, Cornelia - AUDfIT</dc:creator>
  <cp:lastModifiedBy>Pede, Sascha - LÖSLE</cp:lastModifiedBy>
  <cp:revision>21</cp:revision>
  <cp:lastPrinted>2025-08-12T12:37:00Z</cp:lastPrinted>
  <dcterms:created xsi:type="dcterms:W3CDTF">2025-06-25T05:23:00Z</dcterms:created>
  <dcterms:modified xsi:type="dcterms:W3CDTF">2025-08-29T06:46:00Z</dcterms:modified>
</cp:coreProperties>
</file>