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648"/>
        <w:gridCol w:w="424"/>
      </w:tblGrid>
      <w:tr w:rsidR="00AF76A2" w:rsidRPr="000503CF" w:rsidTr="00CA64ED">
        <w:trPr>
          <w:cantSplit/>
          <w:trHeight w:val="830"/>
        </w:trPr>
        <w:tc>
          <w:tcPr>
            <w:tcW w:w="8648" w:type="dxa"/>
            <w:tcBorders>
              <w:right w:val="nil"/>
            </w:tcBorders>
            <w:shd w:val="clear" w:color="auto" w:fill="CCECFF"/>
            <w:tcMar>
              <w:top w:w="113" w:type="dxa"/>
              <w:bottom w:w="113" w:type="dxa"/>
            </w:tcMar>
            <w:vAlign w:val="center"/>
          </w:tcPr>
          <w:p w:rsidR="00AF76A2" w:rsidRPr="00E643D4" w:rsidRDefault="0027632B" w:rsidP="00AF76A2">
            <w:pPr>
              <w:pStyle w:val="berschrift1"/>
              <w:numPr>
                <w:ilvl w:val="0"/>
                <w:numId w:val="0"/>
              </w:numPr>
              <w:rPr>
                <w:rFonts w:ascii="Century Gothic" w:hAnsi="Century Gothic"/>
                <w:sz w:val="28"/>
                <w:szCs w:val="28"/>
              </w:rPr>
            </w:pPr>
            <w:r>
              <w:rPr>
                <w:rFonts w:ascii="Century Gothic" w:hAnsi="Century Gothic"/>
                <w:color w:val="00B0F0"/>
                <w:sz w:val="28"/>
                <w:szCs w:val="28"/>
              </w:rPr>
              <w:t>§266 HGB</w:t>
            </w:r>
            <w:r w:rsidR="00F8177D">
              <w:rPr>
                <w:rFonts w:ascii="Century Gothic" w:hAnsi="Century Gothic"/>
                <w:color w:val="00B0F0"/>
                <w:sz w:val="28"/>
                <w:szCs w:val="28"/>
              </w:rPr>
              <w:t xml:space="preserve"> – </w:t>
            </w:r>
            <w:r>
              <w:rPr>
                <w:rFonts w:ascii="Century Gothic" w:hAnsi="Century Gothic"/>
                <w:color w:val="00B0F0"/>
                <w:sz w:val="28"/>
                <w:szCs w:val="28"/>
              </w:rPr>
              <w:t>Gliederung der Bilanz</w:t>
            </w:r>
          </w:p>
        </w:tc>
        <w:tc>
          <w:tcPr>
            <w:tcW w:w="424" w:type="dxa"/>
            <w:tcBorders>
              <w:top w:val="nil"/>
              <w:left w:val="nil"/>
              <w:bottom w:val="nil"/>
            </w:tcBorders>
            <w:shd w:val="clear" w:color="auto" w:fill="CCECFF"/>
            <w:textDirection w:val="btLr"/>
            <w:vAlign w:val="center"/>
          </w:tcPr>
          <w:p w:rsidR="00AF76A2" w:rsidRPr="00622F44" w:rsidRDefault="00622F44" w:rsidP="00BD6F09">
            <w:pPr>
              <w:pStyle w:val="berschrift1"/>
              <w:numPr>
                <w:ilvl w:val="0"/>
                <w:numId w:val="0"/>
              </w:numPr>
              <w:ind w:left="113" w:right="113"/>
              <w:jc w:val="center"/>
              <w:rPr>
                <w:rFonts w:ascii="Century Gothic" w:hAnsi="Century Gothic"/>
                <w:b w:val="0"/>
                <w:color w:val="CCECFF"/>
                <w:sz w:val="12"/>
                <w:szCs w:val="12"/>
              </w:rPr>
            </w:pPr>
            <w:r w:rsidRPr="00622F44">
              <w:rPr>
                <w:rFonts w:ascii="Century Gothic" w:hAnsi="Century Gothic"/>
                <w:b w:val="0"/>
                <w:color w:val="CCECFF"/>
                <w:sz w:val="12"/>
                <w:szCs w:val="12"/>
              </w:rPr>
              <w:t>06/2025</w:t>
            </w:r>
          </w:p>
        </w:tc>
      </w:tr>
    </w:tbl>
    <w:p w:rsidR="00F3121A" w:rsidRDefault="00F3121A" w:rsidP="008A5560">
      <w:pPr>
        <w:spacing w:before="0"/>
        <w:rPr>
          <w:sz w:val="8"/>
          <w:szCs w:val="28"/>
        </w:rPr>
      </w:pPr>
    </w:p>
    <w:p w:rsidR="00BD6F09" w:rsidRDefault="00BD6F09" w:rsidP="00DB3D5A">
      <w:pPr>
        <w:spacing w:before="0"/>
        <w:rPr>
          <w:sz w:val="24"/>
          <w:szCs w:val="24"/>
        </w:rPr>
      </w:pPr>
    </w:p>
    <w:p w:rsidR="0027632B" w:rsidRPr="00DB3D5A" w:rsidRDefault="00DB3D5A" w:rsidP="00DB3D5A">
      <w:pPr>
        <w:spacing w:before="0"/>
        <w:rPr>
          <w:sz w:val="24"/>
          <w:szCs w:val="24"/>
        </w:rPr>
      </w:pPr>
      <w:r w:rsidRPr="00DB3D5A">
        <w:rPr>
          <w:sz w:val="24"/>
          <w:szCs w:val="24"/>
        </w:rPr>
        <w:t>(1</w:t>
      </w:r>
      <w:r>
        <w:rPr>
          <w:sz w:val="24"/>
          <w:szCs w:val="24"/>
        </w:rPr>
        <w:t xml:space="preserve">) </w:t>
      </w:r>
      <w:r w:rsidRPr="00DB3D5A">
        <w:rPr>
          <w:sz w:val="24"/>
          <w:szCs w:val="24"/>
        </w:rPr>
        <w:t>D</w:t>
      </w:r>
      <w:r w:rsidR="0027632B" w:rsidRPr="00DB3D5A">
        <w:rPr>
          <w:sz w:val="24"/>
          <w:szCs w:val="24"/>
        </w:rPr>
        <w:t>ie Bilanz ist in Kontoform aufzustellen. Dabei haben mittelgroße und große Kapitalgesellschaften (§ 267 Absatz 2 und 3) auf der Aktivseite die in Absatz 2 und auf der Passivseite die in Absatz 3 bezeichneten Posten gesondert und in der vorgeschriebenen Reihenfolge auszuweisen. Kleine Kapitalgesellschaften (§ 267 Abs. 1) brauchen nur eine verkürzte Bilanz aufzustellen, in die nur die in den Absätzen 2 und 3 mit Buchstaben und römischen Zahlen bezeichneten Posten gesondert und in der vorgeschriebenen Reihenfolge aufgenommen werden. Kleinstkapitalgesellschaften (§ 267a) brauchen nur eine verkürzte Bilanz aufzustellen, in die nur die in den Absätzen 2 und 3 mit Buchstaben bezeichneten Posten gesondert und in der vorgeschriebenen Reihenfolge aufgenommen werden.</w:t>
      </w:r>
    </w:p>
    <w:p w:rsidR="0027632B" w:rsidRPr="00ED235F" w:rsidRDefault="0027632B" w:rsidP="008A5560">
      <w:pPr>
        <w:spacing w:before="0"/>
        <w:rPr>
          <w:sz w:val="24"/>
          <w:szCs w:val="24"/>
        </w:rPr>
      </w:pPr>
    </w:p>
    <w:p w:rsidR="001A1316" w:rsidRPr="00DB043A" w:rsidRDefault="0027632B" w:rsidP="008A5560">
      <w:pPr>
        <w:spacing w:before="0"/>
        <w:rPr>
          <w:sz w:val="24"/>
          <w:szCs w:val="24"/>
        </w:rPr>
      </w:pPr>
      <w:r w:rsidRPr="00DB043A">
        <w:rPr>
          <w:sz w:val="24"/>
          <w:szCs w:val="24"/>
        </w:rPr>
        <w:t>(2) Aktivseite</w:t>
      </w:r>
    </w:p>
    <w:p w:rsidR="00C22525" w:rsidRPr="00DB043A" w:rsidRDefault="0027632B" w:rsidP="0027632B">
      <w:pPr>
        <w:spacing w:before="0"/>
        <w:jc w:val="left"/>
        <w:rPr>
          <w:sz w:val="24"/>
          <w:szCs w:val="24"/>
        </w:rPr>
      </w:pPr>
      <w:r w:rsidRPr="00DB043A">
        <w:rPr>
          <w:sz w:val="24"/>
          <w:szCs w:val="24"/>
        </w:rPr>
        <w:t>A.</w:t>
      </w:r>
      <w:r w:rsidRPr="00DB043A">
        <w:rPr>
          <w:sz w:val="24"/>
          <w:szCs w:val="24"/>
        </w:rPr>
        <w:tab/>
      </w:r>
      <w:r w:rsidR="00EE4C18" w:rsidRPr="00DB043A">
        <w:rPr>
          <w:sz w:val="24"/>
          <w:szCs w:val="24"/>
        </w:rPr>
        <w:tab/>
      </w:r>
      <w:r w:rsidRPr="00DB043A">
        <w:rPr>
          <w:sz w:val="24"/>
          <w:szCs w:val="24"/>
        </w:rPr>
        <w:t>Anlagevermögen:</w:t>
      </w:r>
    </w:p>
    <w:p w:rsidR="00C22525" w:rsidRPr="00DB043A" w:rsidRDefault="0027632B" w:rsidP="00EE4C18">
      <w:pPr>
        <w:pStyle w:val="Listenabsatz"/>
        <w:numPr>
          <w:ilvl w:val="0"/>
          <w:numId w:val="19"/>
        </w:numPr>
        <w:spacing w:before="0"/>
        <w:ind w:hanging="578"/>
        <w:jc w:val="left"/>
        <w:rPr>
          <w:sz w:val="24"/>
          <w:szCs w:val="24"/>
        </w:rPr>
      </w:pPr>
      <w:r w:rsidRPr="00DB043A">
        <w:rPr>
          <w:sz w:val="24"/>
          <w:szCs w:val="24"/>
        </w:rPr>
        <w:t>Immaterielle Vermögensgegenstände:</w:t>
      </w:r>
    </w:p>
    <w:p w:rsidR="0027632B" w:rsidRPr="00DB043A" w:rsidRDefault="0027632B" w:rsidP="00DB043A">
      <w:pPr>
        <w:tabs>
          <w:tab w:val="left" w:pos="1985"/>
        </w:tabs>
        <w:spacing w:before="0"/>
        <w:ind w:left="1985" w:hanging="709"/>
        <w:jc w:val="left"/>
        <w:rPr>
          <w:sz w:val="24"/>
          <w:szCs w:val="24"/>
        </w:rPr>
      </w:pPr>
      <w:r w:rsidRPr="00DB043A">
        <w:rPr>
          <w:sz w:val="24"/>
          <w:szCs w:val="24"/>
        </w:rPr>
        <w:t>1.</w:t>
      </w:r>
      <w:r w:rsidR="00EE4C18" w:rsidRPr="00DB043A">
        <w:rPr>
          <w:sz w:val="24"/>
          <w:szCs w:val="24"/>
        </w:rPr>
        <w:tab/>
      </w:r>
      <w:r w:rsidRPr="00DB043A">
        <w:rPr>
          <w:sz w:val="24"/>
          <w:szCs w:val="24"/>
        </w:rPr>
        <w:t>Selbst geschaffene gewerbliche Schutzrechte und ähnliche Rechte und Werte;</w:t>
      </w:r>
    </w:p>
    <w:p w:rsidR="0027632B" w:rsidRPr="00DB043A" w:rsidRDefault="0027632B" w:rsidP="00EE4C18">
      <w:pPr>
        <w:spacing w:before="0"/>
        <w:ind w:left="1985" w:hanging="709"/>
        <w:jc w:val="left"/>
        <w:rPr>
          <w:sz w:val="24"/>
          <w:szCs w:val="24"/>
        </w:rPr>
      </w:pPr>
      <w:r w:rsidRPr="00DB043A">
        <w:rPr>
          <w:sz w:val="24"/>
          <w:szCs w:val="24"/>
        </w:rPr>
        <w:t>2.</w:t>
      </w:r>
      <w:r w:rsidR="00EE4C18" w:rsidRPr="00DB043A">
        <w:rPr>
          <w:sz w:val="24"/>
          <w:szCs w:val="24"/>
        </w:rPr>
        <w:tab/>
      </w:r>
      <w:r w:rsidRPr="00DB043A">
        <w:rPr>
          <w:sz w:val="24"/>
          <w:szCs w:val="24"/>
        </w:rPr>
        <w:t>entgeltlich erworbene Konzessionen, gewerbliche Schutzrechte</w:t>
      </w:r>
      <w:r w:rsidR="00EE4C18" w:rsidRPr="00DB043A">
        <w:rPr>
          <w:sz w:val="24"/>
          <w:szCs w:val="24"/>
        </w:rPr>
        <w:t xml:space="preserve"> </w:t>
      </w:r>
      <w:r w:rsidRPr="00DB043A">
        <w:rPr>
          <w:sz w:val="24"/>
          <w:szCs w:val="24"/>
        </w:rPr>
        <w:t>und ähnliche Rechte und Werte sowie Lizenzen an solchen Rechten und Werten;</w:t>
      </w:r>
    </w:p>
    <w:p w:rsidR="0027632B" w:rsidRPr="00DB043A" w:rsidRDefault="00EE4C18" w:rsidP="00EE4C18">
      <w:pPr>
        <w:spacing w:before="0"/>
        <w:ind w:left="1985" w:hanging="709"/>
        <w:jc w:val="left"/>
        <w:rPr>
          <w:sz w:val="24"/>
          <w:szCs w:val="24"/>
        </w:rPr>
      </w:pPr>
      <w:r w:rsidRPr="00DB043A">
        <w:rPr>
          <w:sz w:val="24"/>
          <w:szCs w:val="24"/>
        </w:rPr>
        <w:t>3.</w:t>
      </w:r>
      <w:r w:rsidRPr="00DB043A">
        <w:rPr>
          <w:sz w:val="24"/>
          <w:szCs w:val="24"/>
        </w:rPr>
        <w:tab/>
        <w:t>Geschäfts- oder Firmenwert;</w:t>
      </w:r>
    </w:p>
    <w:p w:rsidR="00EE4C18" w:rsidRPr="00DB043A" w:rsidRDefault="00EE4C18" w:rsidP="00EE4C18">
      <w:pPr>
        <w:spacing w:before="0"/>
        <w:ind w:left="1985" w:hanging="709"/>
        <w:jc w:val="left"/>
        <w:rPr>
          <w:sz w:val="24"/>
          <w:szCs w:val="24"/>
        </w:rPr>
      </w:pPr>
      <w:r w:rsidRPr="00DB043A">
        <w:rPr>
          <w:sz w:val="24"/>
          <w:szCs w:val="24"/>
        </w:rPr>
        <w:t>4.</w:t>
      </w:r>
      <w:r w:rsidRPr="00DB043A">
        <w:rPr>
          <w:sz w:val="24"/>
          <w:szCs w:val="24"/>
        </w:rPr>
        <w:tab/>
        <w:t>geleistete Anzahlungen;</w:t>
      </w:r>
    </w:p>
    <w:p w:rsidR="0027632B" w:rsidRPr="00DB043A" w:rsidRDefault="0027632B" w:rsidP="00944537">
      <w:pPr>
        <w:pStyle w:val="Listenabsatz"/>
        <w:numPr>
          <w:ilvl w:val="0"/>
          <w:numId w:val="19"/>
        </w:numPr>
        <w:spacing w:before="0"/>
        <w:ind w:hanging="583"/>
        <w:jc w:val="left"/>
        <w:rPr>
          <w:sz w:val="24"/>
          <w:szCs w:val="24"/>
        </w:rPr>
      </w:pPr>
      <w:r w:rsidRPr="00DB043A">
        <w:rPr>
          <w:sz w:val="24"/>
          <w:szCs w:val="24"/>
        </w:rPr>
        <w:t>Sachanlagen:</w:t>
      </w:r>
    </w:p>
    <w:p w:rsidR="005B71FE" w:rsidRPr="00DB043A" w:rsidRDefault="0027632B" w:rsidP="005B71FE">
      <w:pPr>
        <w:pStyle w:val="Listenabsatz"/>
        <w:numPr>
          <w:ilvl w:val="0"/>
          <w:numId w:val="24"/>
        </w:numPr>
        <w:spacing w:before="0"/>
        <w:jc w:val="left"/>
        <w:rPr>
          <w:sz w:val="24"/>
          <w:szCs w:val="24"/>
        </w:rPr>
      </w:pPr>
      <w:r w:rsidRPr="00DB043A">
        <w:rPr>
          <w:sz w:val="24"/>
          <w:szCs w:val="24"/>
        </w:rPr>
        <w:t>Grundstücke, grundstücksgleiche Rechte und Bauten einschließlich der Bauten auf fremden Grundstücken;</w:t>
      </w:r>
    </w:p>
    <w:p w:rsidR="0027632B" w:rsidRPr="00DB043A" w:rsidRDefault="005B71FE" w:rsidP="005B71FE">
      <w:pPr>
        <w:pStyle w:val="Listenabsatz"/>
        <w:numPr>
          <w:ilvl w:val="0"/>
          <w:numId w:val="24"/>
        </w:numPr>
        <w:spacing w:before="0"/>
        <w:jc w:val="left"/>
        <w:rPr>
          <w:sz w:val="24"/>
          <w:szCs w:val="24"/>
        </w:rPr>
      </w:pPr>
      <w:r w:rsidRPr="00DB043A">
        <w:rPr>
          <w:sz w:val="24"/>
          <w:szCs w:val="24"/>
        </w:rPr>
        <w:t>technische Anlagen und Maschinen;</w:t>
      </w:r>
    </w:p>
    <w:p w:rsidR="005B71FE" w:rsidRPr="00DB043A" w:rsidRDefault="005B71FE" w:rsidP="005B71FE">
      <w:pPr>
        <w:pStyle w:val="Listenabsatz"/>
        <w:numPr>
          <w:ilvl w:val="0"/>
          <w:numId w:val="24"/>
        </w:numPr>
        <w:spacing w:before="0"/>
        <w:jc w:val="left"/>
        <w:rPr>
          <w:sz w:val="24"/>
          <w:szCs w:val="24"/>
        </w:rPr>
      </w:pPr>
      <w:r w:rsidRPr="00DB043A">
        <w:rPr>
          <w:sz w:val="24"/>
          <w:szCs w:val="24"/>
        </w:rPr>
        <w:t>andere Anlagen, Betriebs- und Geschäftsausstattung;</w:t>
      </w:r>
    </w:p>
    <w:p w:rsidR="005B71FE" w:rsidRPr="00DB043A" w:rsidRDefault="005B71FE" w:rsidP="005B71FE">
      <w:pPr>
        <w:pStyle w:val="Listenabsatz"/>
        <w:numPr>
          <w:ilvl w:val="0"/>
          <w:numId w:val="24"/>
        </w:numPr>
        <w:spacing w:before="0"/>
        <w:jc w:val="left"/>
        <w:rPr>
          <w:sz w:val="24"/>
          <w:szCs w:val="24"/>
        </w:rPr>
      </w:pPr>
      <w:r w:rsidRPr="00DB043A">
        <w:rPr>
          <w:sz w:val="24"/>
          <w:szCs w:val="24"/>
        </w:rPr>
        <w:t>geleistete Anzahlungen und Anlagen im Bau;</w:t>
      </w:r>
    </w:p>
    <w:p w:rsidR="00C22525" w:rsidRPr="00DB043A" w:rsidRDefault="0027632B" w:rsidP="005B71FE">
      <w:pPr>
        <w:pStyle w:val="Listenabsatz"/>
        <w:numPr>
          <w:ilvl w:val="0"/>
          <w:numId w:val="19"/>
        </w:numPr>
        <w:spacing w:before="0"/>
        <w:ind w:hanging="583"/>
        <w:jc w:val="left"/>
        <w:rPr>
          <w:sz w:val="24"/>
          <w:szCs w:val="24"/>
        </w:rPr>
      </w:pPr>
      <w:r w:rsidRPr="00DB043A">
        <w:rPr>
          <w:sz w:val="24"/>
          <w:szCs w:val="24"/>
        </w:rPr>
        <w:t>Finanzanlagen</w:t>
      </w:r>
      <w:r w:rsidR="005B71FE" w:rsidRPr="00DB043A">
        <w:rPr>
          <w:sz w:val="24"/>
          <w:szCs w:val="24"/>
        </w:rPr>
        <w:t>:</w:t>
      </w:r>
    </w:p>
    <w:p w:rsidR="0027632B" w:rsidRPr="00DB043A" w:rsidRDefault="0027632B" w:rsidP="005B71FE">
      <w:pPr>
        <w:spacing w:before="0"/>
        <w:ind w:left="1985" w:hanging="709"/>
        <w:jc w:val="left"/>
        <w:rPr>
          <w:sz w:val="24"/>
          <w:szCs w:val="24"/>
        </w:rPr>
      </w:pPr>
      <w:r w:rsidRPr="00DB043A">
        <w:rPr>
          <w:sz w:val="24"/>
          <w:szCs w:val="24"/>
        </w:rPr>
        <w:t>1.</w:t>
      </w:r>
      <w:r w:rsidRPr="00DB043A">
        <w:rPr>
          <w:sz w:val="24"/>
          <w:szCs w:val="24"/>
        </w:rPr>
        <w:tab/>
        <w:t>Anteile an verbundenen Unternehmen;</w:t>
      </w:r>
    </w:p>
    <w:p w:rsidR="0027632B" w:rsidRPr="00DB043A" w:rsidRDefault="0027632B" w:rsidP="005B71FE">
      <w:pPr>
        <w:spacing w:before="0"/>
        <w:ind w:left="1985" w:hanging="714"/>
        <w:jc w:val="left"/>
        <w:rPr>
          <w:sz w:val="24"/>
          <w:szCs w:val="24"/>
        </w:rPr>
      </w:pPr>
      <w:r w:rsidRPr="00DB043A">
        <w:rPr>
          <w:sz w:val="24"/>
          <w:szCs w:val="24"/>
        </w:rPr>
        <w:t>2.</w:t>
      </w:r>
      <w:r w:rsidRPr="00DB043A">
        <w:rPr>
          <w:sz w:val="24"/>
          <w:szCs w:val="24"/>
        </w:rPr>
        <w:tab/>
        <w:t>Ausleihungen an verbundene Unternehmen;</w:t>
      </w:r>
    </w:p>
    <w:p w:rsidR="005B71FE" w:rsidRPr="00DB043A" w:rsidRDefault="005B71FE" w:rsidP="005B71FE">
      <w:pPr>
        <w:spacing w:before="0"/>
        <w:ind w:left="1985" w:hanging="714"/>
        <w:jc w:val="left"/>
        <w:rPr>
          <w:sz w:val="24"/>
          <w:szCs w:val="24"/>
        </w:rPr>
      </w:pPr>
      <w:r w:rsidRPr="00DB043A">
        <w:rPr>
          <w:sz w:val="24"/>
          <w:szCs w:val="24"/>
        </w:rPr>
        <w:t>3.</w:t>
      </w:r>
      <w:r w:rsidRPr="00DB043A">
        <w:rPr>
          <w:sz w:val="24"/>
          <w:szCs w:val="24"/>
        </w:rPr>
        <w:tab/>
        <w:t>Beteiligungen;</w:t>
      </w:r>
    </w:p>
    <w:p w:rsidR="005B71FE" w:rsidRPr="00DB043A" w:rsidRDefault="005B71FE" w:rsidP="005B71FE">
      <w:pPr>
        <w:spacing w:before="0"/>
        <w:ind w:left="1985" w:hanging="714"/>
        <w:jc w:val="left"/>
        <w:rPr>
          <w:sz w:val="24"/>
          <w:szCs w:val="24"/>
        </w:rPr>
      </w:pPr>
      <w:r w:rsidRPr="00DB043A">
        <w:rPr>
          <w:sz w:val="24"/>
          <w:szCs w:val="24"/>
        </w:rPr>
        <w:t>4.</w:t>
      </w:r>
      <w:r w:rsidRPr="00DB043A">
        <w:rPr>
          <w:sz w:val="24"/>
          <w:szCs w:val="24"/>
        </w:rPr>
        <w:tab/>
        <w:t>Ausleihungen an Unternehmen, mit denen ein Beteiligungsverhältnis besteht;</w:t>
      </w:r>
    </w:p>
    <w:p w:rsidR="005B71FE" w:rsidRPr="00DB043A" w:rsidRDefault="005B71FE" w:rsidP="005B71FE">
      <w:pPr>
        <w:spacing w:before="0"/>
        <w:ind w:left="1985" w:hanging="714"/>
        <w:jc w:val="left"/>
        <w:rPr>
          <w:sz w:val="24"/>
          <w:szCs w:val="24"/>
        </w:rPr>
      </w:pPr>
      <w:r w:rsidRPr="00DB043A">
        <w:rPr>
          <w:sz w:val="24"/>
          <w:szCs w:val="24"/>
        </w:rPr>
        <w:t xml:space="preserve">5. </w:t>
      </w:r>
      <w:r w:rsidRPr="00DB043A">
        <w:rPr>
          <w:sz w:val="24"/>
          <w:szCs w:val="24"/>
        </w:rPr>
        <w:tab/>
        <w:t>Wertpapiere des Anlagevermögens;</w:t>
      </w:r>
    </w:p>
    <w:p w:rsidR="005B71FE" w:rsidRPr="00DB043A" w:rsidRDefault="005B71FE" w:rsidP="005B71FE">
      <w:pPr>
        <w:spacing w:before="0"/>
        <w:ind w:left="1985" w:hanging="714"/>
        <w:jc w:val="left"/>
        <w:rPr>
          <w:sz w:val="24"/>
          <w:szCs w:val="24"/>
        </w:rPr>
      </w:pPr>
      <w:r w:rsidRPr="00DB043A">
        <w:rPr>
          <w:sz w:val="24"/>
          <w:szCs w:val="24"/>
        </w:rPr>
        <w:t>6.</w:t>
      </w:r>
      <w:r w:rsidRPr="00DB043A">
        <w:rPr>
          <w:sz w:val="24"/>
          <w:szCs w:val="24"/>
        </w:rPr>
        <w:tab/>
        <w:t>sonstige Ausleihungen.</w:t>
      </w:r>
    </w:p>
    <w:p w:rsidR="00DB043A" w:rsidRPr="00EF2670" w:rsidRDefault="00C22525" w:rsidP="000A083A">
      <w:pPr>
        <w:spacing w:before="0"/>
        <w:ind w:left="709" w:hanging="709"/>
        <w:jc w:val="left"/>
        <w:rPr>
          <w:sz w:val="24"/>
          <w:szCs w:val="24"/>
        </w:rPr>
      </w:pPr>
      <w:r w:rsidRPr="00EF2670">
        <w:rPr>
          <w:sz w:val="24"/>
          <w:szCs w:val="24"/>
        </w:rPr>
        <w:t>B.</w:t>
      </w:r>
      <w:r w:rsidRPr="00EF2670">
        <w:rPr>
          <w:sz w:val="24"/>
          <w:szCs w:val="24"/>
        </w:rPr>
        <w:tab/>
        <w:t>Umlaufvermögen:</w:t>
      </w:r>
    </w:p>
    <w:p w:rsidR="00DB043A" w:rsidRPr="00EF2670" w:rsidRDefault="00C22525" w:rsidP="00DB043A">
      <w:pPr>
        <w:pStyle w:val="Listenabsatz"/>
        <w:numPr>
          <w:ilvl w:val="0"/>
          <w:numId w:val="25"/>
        </w:numPr>
        <w:spacing w:before="0"/>
        <w:ind w:left="1276" w:hanging="552"/>
        <w:jc w:val="left"/>
        <w:rPr>
          <w:sz w:val="24"/>
          <w:szCs w:val="24"/>
        </w:rPr>
      </w:pPr>
      <w:r w:rsidRPr="00EF2670">
        <w:rPr>
          <w:sz w:val="24"/>
          <w:szCs w:val="24"/>
        </w:rPr>
        <w:t>Vorräte:</w:t>
      </w:r>
    </w:p>
    <w:p w:rsidR="005B71FE" w:rsidRPr="00EF2670" w:rsidRDefault="005B71FE" w:rsidP="005B71FE">
      <w:pPr>
        <w:spacing w:before="0"/>
        <w:ind w:left="1985" w:hanging="709"/>
        <w:jc w:val="left"/>
        <w:rPr>
          <w:sz w:val="24"/>
          <w:szCs w:val="24"/>
        </w:rPr>
      </w:pPr>
      <w:r w:rsidRPr="00EF2670">
        <w:rPr>
          <w:sz w:val="24"/>
          <w:szCs w:val="24"/>
        </w:rPr>
        <w:t>1.</w:t>
      </w:r>
      <w:r w:rsidRPr="00EF2670">
        <w:rPr>
          <w:sz w:val="24"/>
          <w:szCs w:val="24"/>
        </w:rPr>
        <w:tab/>
        <w:t>Roh-, Hilfs- und Betriebsstoffe;</w:t>
      </w:r>
    </w:p>
    <w:p w:rsidR="005B71FE" w:rsidRPr="00EF2670" w:rsidRDefault="005B71FE" w:rsidP="005B71FE">
      <w:pPr>
        <w:spacing w:before="0"/>
        <w:ind w:left="1985" w:hanging="709"/>
        <w:jc w:val="left"/>
        <w:rPr>
          <w:sz w:val="24"/>
          <w:szCs w:val="24"/>
        </w:rPr>
      </w:pPr>
      <w:r w:rsidRPr="00EF2670">
        <w:rPr>
          <w:sz w:val="24"/>
          <w:szCs w:val="24"/>
        </w:rPr>
        <w:t>2.</w:t>
      </w:r>
      <w:r w:rsidRPr="00EF2670">
        <w:rPr>
          <w:sz w:val="24"/>
          <w:szCs w:val="24"/>
        </w:rPr>
        <w:tab/>
        <w:t>unfertige Erzeugnisse, unfertige Leistungen;</w:t>
      </w:r>
    </w:p>
    <w:p w:rsidR="005B71FE" w:rsidRPr="00EF2670" w:rsidRDefault="005B71FE" w:rsidP="005B71FE">
      <w:pPr>
        <w:spacing w:before="0"/>
        <w:ind w:left="1985" w:hanging="709"/>
        <w:jc w:val="left"/>
        <w:rPr>
          <w:sz w:val="24"/>
          <w:szCs w:val="24"/>
        </w:rPr>
      </w:pPr>
      <w:r w:rsidRPr="00EF2670">
        <w:rPr>
          <w:sz w:val="24"/>
          <w:szCs w:val="24"/>
        </w:rPr>
        <w:t>3.</w:t>
      </w:r>
      <w:r w:rsidRPr="00EF2670">
        <w:rPr>
          <w:sz w:val="24"/>
          <w:szCs w:val="24"/>
        </w:rPr>
        <w:tab/>
        <w:t>fertige Erzeugnisse und Waren;</w:t>
      </w:r>
    </w:p>
    <w:p w:rsidR="00C3485C" w:rsidRDefault="005B71FE" w:rsidP="00DB043A">
      <w:pPr>
        <w:spacing w:before="0"/>
        <w:ind w:left="1985" w:hanging="709"/>
        <w:jc w:val="left"/>
        <w:rPr>
          <w:sz w:val="24"/>
          <w:szCs w:val="24"/>
        </w:rPr>
      </w:pPr>
      <w:r w:rsidRPr="00EF2670">
        <w:rPr>
          <w:sz w:val="24"/>
          <w:szCs w:val="24"/>
        </w:rPr>
        <w:t>4.</w:t>
      </w:r>
      <w:r w:rsidRPr="00EF2670">
        <w:rPr>
          <w:sz w:val="24"/>
          <w:szCs w:val="24"/>
        </w:rPr>
        <w:tab/>
        <w:t>geleistete Anzahlungen;</w:t>
      </w:r>
    </w:p>
    <w:p w:rsidR="00C3485C" w:rsidRDefault="00C3485C" w:rsidP="00C3485C">
      <w:pPr>
        <w:pStyle w:val="Standardeinzug"/>
      </w:pPr>
      <w:r>
        <w:br w:type="page"/>
      </w:r>
    </w:p>
    <w:p w:rsidR="00DB043A" w:rsidRPr="00EF2670" w:rsidRDefault="00DB043A" w:rsidP="00DB043A">
      <w:pPr>
        <w:pStyle w:val="Listenabsatz"/>
        <w:numPr>
          <w:ilvl w:val="0"/>
          <w:numId w:val="25"/>
        </w:numPr>
        <w:spacing w:before="0"/>
        <w:ind w:left="1276" w:hanging="552"/>
        <w:jc w:val="left"/>
        <w:rPr>
          <w:sz w:val="24"/>
          <w:szCs w:val="24"/>
        </w:rPr>
      </w:pPr>
      <w:r w:rsidRPr="00EF2670">
        <w:rPr>
          <w:sz w:val="24"/>
          <w:szCs w:val="24"/>
        </w:rPr>
        <w:lastRenderedPageBreak/>
        <w:t>Forderungen und sonstige Vermögensgegenstände:</w:t>
      </w:r>
    </w:p>
    <w:p w:rsidR="00DB043A" w:rsidRPr="00EF2670" w:rsidRDefault="00DB043A" w:rsidP="00DB043A">
      <w:pPr>
        <w:spacing w:before="0"/>
        <w:ind w:left="1985" w:hanging="709"/>
        <w:jc w:val="left"/>
        <w:rPr>
          <w:sz w:val="24"/>
          <w:szCs w:val="24"/>
        </w:rPr>
      </w:pPr>
      <w:r w:rsidRPr="00EF2670">
        <w:rPr>
          <w:sz w:val="24"/>
          <w:szCs w:val="24"/>
        </w:rPr>
        <w:t>1.</w:t>
      </w:r>
      <w:r w:rsidRPr="00EF2670">
        <w:rPr>
          <w:sz w:val="24"/>
          <w:szCs w:val="24"/>
        </w:rPr>
        <w:tab/>
        <w:t>Forderungen aus Lieferungen und Leistungen;</w:t>
      </w:r>
    </w:p>
    <w:p w:rsidR="00DB043A" w:rsidRPr="00EF2670" w:rsidRDefault="00DB043A" w:rsidP="00DB043A">
      <w:pPr>
        <w:spacing w:before="0"/>
        <w:ind w:left="1985" w:hanging="709"/>
        <w:jc w:val="left"/>
        <w:rPr>
          <w:sz w:val="24"/>
          <w:szCs w:val="24"/>
        </w:rPr>
      </w:pPr>
      <w:r w:rsidRPr="00EF2670">
        <w:rPr>
          <w:sz w:val="24"/>
          <w:szCs w:val="24"/>
        </w:rPr>
        <w:t>2.</w:t>
      </w:r>
      <w:r w:rsidRPr="00EF2670">
        <w:rPr>
          <w:sz w:val="24"/>
          <w:szCs w:val="24"/>
        </w:rPr>
        <w:tab/>
        <w:t>Forderungen gegen verbundene Unternehmen;</w:t>
      </w:r>
    </w:p>
    <w:p w:rsidR="00C22525" w:rsidRPr="00EF2670" w:rsidRDefault="00DB043A" w:rsidP="00DB043A">
      <w:pPr>
        <w:spacing w:before="0"/>
        <w:ind w:left="1985" w:hanging="709"/>
        <w:jc w:val="left"/>
        <w:rPr>
          <w:sz w:val="24"/>
          <w:szCs w:val="24"/>
        </w:rPr>
      </w:pPr>
      <w:r w:rsidRPr="00EF2670">
        <w:rPr>
          <w:sz w:val="24"/>
          <w:szCs w:val="24"/>
        </w:rPr>
        <w:t>3.</w:t>
      </w:r>
      <w:r w:rsidRPr="00EF2670">
        <w:rPr>
          <w:sz w:val="24"/>
          <w:szCs w:val="24"/>
        </w:rPr>
        <w:tab/>
        <w:t>Forderungen gegen Unternehmen, mit denen ein Beteiligungsverhältnis besteht;</w:t>
      </w:r>
    </w:p>
    <w:p w:rsidR="00C22525" w:rsidRPr="00EF2670" w:rsidRDefault="00DB043A" w:rsidP="00DB043A">
      <w:pPr>
        <w:spacing w:before="0"/>
        <w:ind w:left="1985" w:hanging="709"/>
        <w:jc w:val="left"/>
        <w:rPr>
          <w:sz w:val="24"/>
          <w:szCs w:val="24"/>
        </w:rPr>
      </w:pPr>
      <w:r w:rsidRPr="00EF2670">
        <w:rPr>
          <w:sz w:val="24"/>
          <w:szCs w:val="24"/>
        </w:rPr>
        <w:t>4.</w:t>
      </w:r>
      <w:r w:rsidRPr="00EF2670">
        <w:rPr>
          <w:sz w:val="24"/>
          <w:szCs w:val="24"/>
        </w:rPr>
        <w:tab/>
        <w:t>sonstige Vermögensgegenstände;</w:t>
      </w:r>
    </w:p>
    <w:p w:rsidR="00DB043A" w:rsidRPr="00EF2670" w:rsidRDefault="00DB043A" w:rsidP="00DB043A">
      <w:pPr>
        <w:pStyle w:val="Listenabsatz"/>
        <w:numPr>
          <w:ilvl w:val="0"/>
          <w:numId w:val="25"/>
        </w:numPr>
        <w:spacing w:before="0"/>
        <w:ind w:left="1276" w:hanging="552"/>
        <w:jc w:val="left"/>
        <w:rPr>
          <w:sz w:val="24"/>
          <w:szCs w:val="24"/>
        </w:rPr>
      </w:pPr>
      <w:r w:rsidRPr="00EF2670">
        <w:rPr>
          <w:sz w:val="24"/>
          <w:szCs w:val="24"/>
        </w:rPr>
        <w:t>Wertpapiere:</w:t>
      </w:r>
    </w:p>
    <w:p w:rsidR="00DB043A" w:rsidRPr="00EF2670" w:rsidRDefault="00DB043A" w:rsidP="00DB043A">
      <w:pPr>
        <w:spacing w:before="0"/>
        <w:ind w:left="1985" w:hanging="709"/>
        <w:jc w:val="left"/>
        <w:rPr>
          <w:sz w:val="24"/>
          <w:szCs w:val="24"/>
        </w:rPr>
      </w:pPr>
      <w:r w:rsidRPr="00EF2670">
        <w:rPr>
          <w:sz w:val="24"/>
          <w:szCs w:val="24"/>
        </w:rPr>
        <w:t>1.</w:t>
      </w:r>
      <w:r w:rsidRPr="00EF2670">
        <w:rPr>
          <w:sz w:val="24"/>
          <w:szCs w:val="24"/>
        </w:rPr>
        <w:tab/>
        <w:t>Anteile an verbundenen Unternehmen;</w:t>
      </w:r>
    </w:p>
    <w:p w:rsidR="00DB043A" w:rsidRPr="00EF2670" w:rsidRDefault="00DB043A" w:rsidP="00DB043A">
      <w:pPr>
        <w:spacing w:before="0"/>
        <w:ind w:left="1985" w:hanging="709"/>
        <w:jc w:val="left"/>
        <w:rPr>
          <w:sz w:val="24"/>
          <w:szCs w:val="24"/>
        </w:rPr>
      </w:pPr>
      <w:r w:rsidRPr="00EF2670">
        <w:rPr>
          <w:sz w:val="24"/>
          <w:szCs w:val="24"/>
        </w:rPr>
        <w:t>2.</w:t>
      </w:r>
      <w:r w:rsidRPr="00EF2670">
        <w:rPr>
          <w:sz w:val="24"/>
          <w:szCs w:val="24"/>
        </w:rPr>
        <w:tab/>
        <w:t>sonstige Wertpapiere;</w:t>
      </w:r>
    </w:p>
    <w:p w:rsidR="00DB043A" w:rsidRPr="00EF2670" w:rsidRDefault="00DB043A" w:rsidP="00DB043A">
      <w:pPr>
        <w:pStyle w:val="Listenabsatz"/>
        <w:numPr>
          <w:ilvl w:val="0"/>
          <w:numId w:val="25"/>
        </w:numPr>
        <w:spacing w:before="0"/>
        <w:ind w:left="1276" w:hanging="552"/>
        <w:jc w:val="left"/>
        <w:rPr>
          <w:sz w:val="24"/>
          <w:szCs w:val="24"/>
        </w:rPr>
      </w:pPr>
      <w:r w:rsidRPr="00EF2670">
        <w:rPr>
          <w:sz w:val="24"/>
          <w:szCs w:val="24"/>
        </w:rPr>
        <w:t>Kassenbestand, Bundesbankguthaben, Guthaben bei Kreditinstituten und Schecks.</w:t>
      </w:r>
    </w:p>
    <w:p w:rsidR="00DB043A" w:rsidRDefault="00DB043A" w:rsidP="000A083A">
      <w:pPr>
        <w:spacing w:before="0"/>
        <w:ind w:left="709" w:hanging="709"/>
        <w:jc w:val="left"/>
        <w:rPr>
          <w:sz w:val="24"/>
          <w:szCs w:val="24"/>
        </w:rPr>
      </w:pPr>
      <w:r w:rsidRPr="00EF2670">
        <w:rPr>
          <w:sz w:val="24"/>
          <w:szCs w:val="24"/>
        </w:rPr>
        <w:t>C.</w:t>
      </w:r>
      <w:r w:rsidRPr="00EF2670">
        <w:rPr>
          <w:sz w:val="24"/>
          <w:szCs w:val="24"/>
        </w:rPr>
        <w:tab/>
        <w:t>Rechnungsabgrenzungsposten.</w:t>
      </w:r>
    </w:p>
    <w:p w:rsidR="00DB043A" w:rsidRDefault="00DB043A" w:rsidP="000A083A">
      <w:pPr>
        <w:spacing w:before="0"/>
        <w:ind w:left="709" w:hanging="709"/>
        <w:jc w:val="left"/>
        <w:rPr>
          <w:sz w:val="24"/>
          <w:szCs w:val="24"/>
        </w:rPr>
      </w:pPr>
      <w:r w:rsidRPr="00EF2670">
        <w:rPr>
          <w:sz w:val="24"/>
          <w:szCs w:val="24"/>
        </w:rPr>
        <w:t>D.</w:t>
      </w:r>
      <w:r w:rsidRPr="00EF2670">
        <w:rPr>
          <w:sz w:val="24"/>
          <w:szCs w:val="24"/>
        </w:rPr>
        <w:tab/>
        <w:t>Aktive latente Steuern.</w:t>
      </w:r>
    </w:p>
    <w:p w:rsidR="00DB043A" w:rsidRPr="00EF2670" w:rsidRDefault="00DB043A" w:rsidP="000A083A">
      <w:pPr>
        <w:spacing w:before="0"/>
        <w:ind w:left="709" w:hanging="709"/>
        <w:jc w:val="left"/>
        <w:rPr>
          <w:sz w:val="24"/>
          <w:szCs w:val="24"/>
        </w:rPr>
      </w:pPr>
      <w:r w:rsidRPr="00EF2670">
        <w:rPr>
          <w:sz w:val="24"/>
          <w:szCs w:val="24"/>
        </w:rPr>
        <w:t>E.</w:t>
      </w:r>
      <w:r w:rsidRPr="00EF2670">
        <w:rPr>
          <w:sz w:val="24"/>
          <w:szCs w:val="24"/>
        </w:rPr>
        <w:tab/>
      </w:r>
      <w:r w:rsidR="00EF2670" w:rsidRPr="00EF2670">
        <w:rPr>
          <w:sz w:val="24"/>
          <w:szCs w:val="24"/>
        </w:rPr>
        <w:t>Aktiver Unterschiedsbetrag aus der Vermögensverrechnung.</w:t>
      </w:r>
    </w:p>
    <w:p w:rsidR="0027632B" w:rsidRDefault="007F7FBE" w:rsidP="008A5560">
      <w:pPr>
        <w:spacing w:before="0"/>
        <w:rPr>
          <w:sz w:val="24"/>
          <w:szCs w:val="24"/>
        </w:rPr>
      </w:pPr>
      <w:r w:rsidRPr="00EF2670">
        <w:rPr>
          <w:sz w:val="24"/>
          <w:szCs w:val="24"/>
        </w:rPr>
        <w:t>(3) Passivseite</w:t>
      </w:r>
    </w:p>
    <w:p w:rsidR="007F7FBE" w:rsidRPr="00EF2670" w:rsidRDefault="007F7FBE" w:rsidP="000A083A">
      <w:pPr>
        <w:spacing w:before="0"/>
        <w:ind w:left="709" w:hanging="709"/>
        <w:jc w:val="left"/>
        <w:rPr>
          <w:sz w:val="24"/>
          <w:szCs w:val="24"/>
        </w:rPr>
      </w:pPr>
      <w:r w:rsidRPr="00EF2670">
        <w:rPr>
          <w:sz w:val="24"/>
          <w:szCs w:val="24"/>
        </w:rPr>
        <w:t>A.</w:t>
      </w:r>
      <w:r w:rsidRPr="00EF2670">
        <w:rPr>
          <w:sz w:val="24"/>
          <w:szCs w:val="24"/>
        </w:rPr>
        <w:tab/>
        <w:t>Eigenkapital:</w:t>
      </w:r>
    </w:p>
    <w:p w:rsidR="007F7FBE" w:rsidRPr="00EF2670" w:rsidRDefault="007F7FBE" w:rsidP="00AF62C3">
      <w:pPr>
        <w:pStyle w:val="Listenabsatz"/>
        <w:numPr>
          <w:ilvl w:val="0"/>
          <w:numId w:val="20"/>
        </w:numPr>
        <w:spacing w:before="0"/>
        <w:ind w:left="1276" w:hanging="567"/>
        <w:jc w:val="left"/>
        <w:rPr>
          <w:sz w:val="24"/>
          <w:szCs w:val="24"/>
        </w:rPr>
      </w:pPr>
      <w:r w:rsidRPr="00EF2670">
        <w:rPr>
          <w:sz w:val="24"/>
          <w:szCs w:val="24"/>
        </w:rPr>
        <w:t>Gezeichnetes Kapital</w:t>
      </w:r>
      <w:r w:rsidR="00AF62C3" w:rsidRPr="00EF2670">
        <w:rPr>
          <w:sz w:val="24"/>
          <w:szCs w:val="24"/>
        </w:rPr>
        <w:t>;</w:t>
      </w:r>
    </w:p>
    <w:p w:rsidR="00AF62C3" w:rsidRPr="00EF2670" w:rsidRDefault="00AF62C3" w:rsidP="00AF62C3">
      <w:pPr>
        <w:pStyle w:val="Listenabsatz"/>
        <w:numPr>
          <w:ilvl w:val="0"/>
          <w:numId w:val="20"/>
        </w:numPr>
        <w:spacing w:before="0"/>
        <w:ind w:left="1276" w:hanging="567"/>
        <w:jc w:val="left"/>
        <w:rPr>
          <w:sz w:val="24"/>
          <w:szCs w:val="24"/>
        </w:rPr>
      </w:pPr>
      <w:r w:rsidRPr="00EF2670">
        <w:rPr>
          <w:sz w:val="24"/>
          <w:szCs w:val="24"/>
        </w:rPr>
        <w:t>Kapitalrücklage;</w:t>
      </w:r>
    </w:p>
    <w:p w:rsidR="00DB3D5A" w:rsidRPr="00EF2670" w:rsidRDefault="00AF62C3" w:rsidP="00AF62C3">
      <w:pPr>
        <w:pStyle w:val="Listenabsatz"/>
        <w:numPr>
          <w:ilvl w:val="0"/>
          <w:numId w:val="20"/>
        </w:numPr>
        <w:spacing w:before="0"/>
        <w:ind w:left="1276" w:hanging="567"/>
        <w:jc w:val="left"/>
        <w:rPr>
          <w:sz w:val="24"/>
          <w:szCs w:val="24"/>
        </w:rPr>
      </w:pPr>
      <w:r w:rsidRPr="00EF2670">
        <w:rPr>
          <w:sz w:val="24"/>
          <w:szCs w:val="24"/>
        </w:rPr>
        <w:t>Gewinnrücklagen:</w:t>
      </w:r>
    </w:p>
    <w:p w:rsidR="007F7FBE" w:rsidRPr="00EF2670" w:rsidRDefault="007F7FBE" w:rsidP="00AF62C3">
      <w:pPr>
        <w:spacing w:before="0"/>
        <w:ind w:left="1985" w:hanging="709"/>
        <w:jc w:val="left"/>
        <w:rPr>
          <w:sz w:val="24"/>
          <w:szCs w:val="24"/>
        </w:rPr>
      </w:pPr>
      <w:r w:rsidRPr="00EF2670">
        <w:rPr>
          <w:sz w:val="24"/>
          <w:szCs w:val="24"/>
        </w:rPr>
        <w:t>1.</w:t>
      </w:r>
      <w:r w:rsidRPr="00EF2670">
        <w:rPr>
          <w:sz w:val="24"/>
          <w:szCs w:val="24"/>
        </w:rPr>
        <w:tab/>
      </w:r>
      <w:r w:rsidR="00ED235F" w:rsidRPr="00EF2670">
        <w:rPr>
          <w:sz w:val="24"/>
          <w:szCs w:val="24"/>
        </w:rPr>
        <w:t>gesetzliche Rücklage;</w:t>
      </w:r>
    </w:p>
    <w:p w:rsidR="00DB3D5A" w:rsidRPr="00EF2670" w:rsidRDefault="007F7FBE" w:rsidP="00AF62C3">
      <w:pPr>
        <w:spacing w:before="0"/>
        <w:ind w:left="1985" w:hanging="709"/>
        <w:jc w:val="left"/>
        <w:rPr>
          <w:sz w:val="24"/>
          <w:szCs w:val="24"/>
        </w:rPr>
      </w:pPr>
      <w:r w:rsidRPr="00EF2670">
        <w:rPr>
          <w:sz w:val="24"/>
          <w:szCs w:val="24"/>
        </w:rPr>
        <w:t>2.</w:t>
      </w:r>
      <w:r w:rsidRPr="00EF2670">
        <w:rPr>
          <w:sz w:val="24"/>
          <w:szCs w:val="24"/>
        </w:rPr>
        <w:tab/>
      </w:r>
      <w:r w:rsidR="00ED235F" w:rsidRPr="00EF2670">
        <w:rPr>
          <w:sz w:val="24"/>
          <w:szCs w:val="24"/>
        </w:rPr>
        <w:t>Rücklage für Anteile an einem herrschenden oder mehrheitlich beteiligten Unternehmen;</w:t>
      </w:r>
    </w:p>
    <w:p w:rsidR="00AF62C3" w:rsidRPr="00EF2670" w:rsidRDefault="00AF62C3" w:rsidP="00AF62C3">
      <w:pPr>
        <w:spacing w:before="0"/>
        <w:ind w:left="1985" w:hanging="709"/>
        <w:jc w:val="left"/>
        <w:rPr>
          <w:sz w:val="24"/>
          <w:szCs w:val="24"/>
        </w:rPr>
      </w:pPr>
      <w:r w:rsidRPr="00EF2670">
        <w:rPr>
          <w:sz w:val="24"/>
          <w:szCs w:val="24"/>
        </w:rPr>
        <w:t>3.</w:t>
      </w:r>
      <w:r w:rsidRPr="00EF2670">
        <w:rPr>
          <w:sz w:val="24"/>
          <w:szCs w:val="24"/>
        </w:rPr>
        <w:tab/>
        <w:t>satzungsmäßige Rücklagen;</w:t>
      </w:r>
    </w:p>
    <w:p w:rsidR="00AF62C3" w:rsidRPr="00EF2670" w:rsidRDefault="00AF62C3" w:rsidP="00AF62C3">
      <w:pPr>
        <w:spacing w:before="0"/>
        <w:ind w:left="1985" w:hanging="709"/>
        <w:jc w:val="left"/>
        <w:rPr>
          <w:sz w:val="24"/>
          <w:szCs w:val="24"/>
        </w:rPr>
      </w:pPr>
      <w:r w:rsidRPr="00EF2670">
        <w:rPr>
          <w:sz w:val="24"/>
          <w:szCs w:val="24"/>
        </w:rPr>
        <w:t>4.</w:t>
      </w:r>
      <w:r w:rsidRPr="00EF2670">
        <w:rPr>
          <w:sz w:val="24"/>
          <w:szCs w:val="24"/>
        </w:rPr>
        <w:tab/>
        <w:t>andere Gewinnrücklagen;</w:t>
      </w:r>
    </w:p>
    <w:p w:rsidR="00AF62C3" w:rsidRPr="00EF2670" w:rsidRDefault="00ED235F" w:rsidP="00AF62C3">
      <w:pPr>
        <w:pStyle w:val="Listenabsatz"/>
        <w:numPr>
          <w:ilvl w:val="0"/>
          <w:numId w:val="20"/>
        </w:numPr>
        <w:spacing w:before="0"/>
        <w:ind w:left="1276" w:hanging="567"/>
        <w:jc w:val="left"/>
        <w:rPr>
          <w:sz w:val="24"/>
          <w:szCs w:val="24"/>
        </w:rPr>
      </w:pPr>
      <w:r w:rsidRPr="00EF2670">
        <w:rPr>
          <w:sz w:val="24"/>
          <w:szCs w:val="24"/>
        </w:rPr>
        <w:t>Gewinnvortrag/Verlustvortrag;</w:t>
      </w:r>
    </w:p>
    <w:p w:rsidR="00DB3D5A" w:rsidRPr="00EF2670" w:rsidRDefault="00ED235F" w:rsidP="00AF62C3">
      <w:pPr>
        <w:pStyle w:val="Listenabsatz"/>
        <w:numPr>
          <w:ilvl w:val="0"/>
          <w:numId w:val="20"/>
        </w:numPr>
        <w:spacing w:before="0"/>
        <w:ind w:left="1276" w:hanging="567"/>
        <w:jc w:val="left"/>
        <w:rPr>
          <w:sz w:val="24"/>
          <w:szCs w:val="24"/>
        </w:rPr>
      </w:pPr>
      <w:proofErr w:type="spellStart"/>
      <w:r w:rsidRPr="00EF2670">
        <w:rPr>
          <w:sz w:val="24"/>
          <w:szCs w:val="24"/>
        </w:rPr>
        <w:t>Jahresüberschuß</w:t>
      </w:r>
      <w:proofErr w:type="spellEnd"/>
      <w:r w:rsidRPr="00EF2670">
        <w:rPr>
          <w:sz w:val="24"/>
          <w:szCs w:val="24"/>
        </w:rPr>
        <w:t>/Jahresfehlbetrag.</w:t>
      </w:r>
    </w:p>
    <w:p w:rsidR="00ED235F" w:rsidRDefault="00ED235F" w:rsidP="000A083A">
      <w:pPr>
        <w:spacing w:before="0"/>
        <w:ind w:left="709" w:hanging="709"/>
        <w:jc w:val="left"/>
        <w:rPr>
          <w:sz w:val="24"/>
          <w:szCs w:val="24"/>
        </w:rPr>
      </w:pPr>
      <w:r w:rsidRPr="00EF2670">
        <w:rPr>
          <w:sz w:val="24"/>
          <w:szCs w:val="24"/>
        </w:rPr>
        <w:t>B.</w:t>
      </w:r>
      <w:r w:rsidRPr="00EF2670">
        <w:rPr>
          <w:sz w:val="24"/>
          <w:szCs w:val="24"/>
        </w:rPr>
        <w:tab/>
        <w:t>Rückstellungen:</w:t>
      </w:r>
    </w:p>
    <w:p w:rsidR="00100702" w:rsidRPr="00E90F19" w:rsidRDefault="00100702" w:rsidP="00E90F19">
      <w:pPr>
        <w:pStyle w:val="Listenabsatz"/>
        <w:numPr>
          <w:ilvl w:val="0"/>
          <w:numId w:val="26"/>
        </w:numPr>
        <w:spacing w:before="0"/>
        <w:jc w:val="left"/>
        <w:rPr>
          <w:sz w:val="24"/>
          <w:szCs w:val="24"/>
        </w:rPr>
      </w:pPr>
      <w:r w:rsidRPr="00E90F19">
        <w:rPr>
          <w:sz w:val="24"/>
          <w:szCs w:val="24"/>
        </w:rPr>
        <w:t>Rückstellungen für Pensionen und ähnliche Verpflichtungen;</w:t>
      </w:r>
    </w:p>
    <w:p w:rsidR="00E90F19" w:rsidRPr="00E90F19" w:rsidRDefault="00E90F19" w:rsidP="00E90F19">
      <w:pPr>
        <w:pStyle w:val="Listenabsatz"/>
        <w:numPr>
          <w:ilvl w:val="0"/>
          <w:numId w:val="26"/>
        </w:numPr>
        <w:spacing w:before="0"/>
        <w:jc w:val="left"/>
        <w:rPr>
          <w:sz w:val="24"/>
          <w:szCs w:val="24"/>
        </w:rPr>
      </w:pPr>
      <w:r w:rsidRPr="00E90F19">
        <w:rPr>
          <w:sz w:val="24"/>
          <w:szCs w:val="24"/>
        </w:rPr>
        <w:t>Steuerrückstellungen;</w:t>
      </w:r>
    </w:p>
    <w:p w:rsidR="00EF2670" w:rsidRDefault="00E90F19" w:rsidP="00E90F19">
      <w:pPr>
        <w:pStyle w:val="Listenabsatz"/>
        <w:numPr>
          <w:ilvl w:val="0"/>
          <w:numId w:val="26"/>
        </w:numPr>
        <w:spacing w:before="0"/>
        <w:jc w:val="left"/>
        <w:rPr>
          <w:sz w:val="24"/>
          <w:szCs w:val="24"/>
        </w:rPr>
      </w:pPr>
      <w:r w:rsidRPr="00E90F19">
        <w:rPr>
          <w:sz w:val="24"/>
          <w:szCs w:val="24"/>
        </w:rPr>
        <w:t>sonstige Rückstellungen.</w:t>
      </w:r>
    </w:p>
    <w:p w:rsidR="00100702" w:rsidRPr="00E90F19" w:rsidRDefault="00100702" w:rsidP="000A083A">
      <w:pPr>
        <w:spacing w:before="0"/>
        <w:ind w:left="709" w:hanging="709"/>
        <w:jc w:val="left"/>
        <w:rPr>
          <w:sz w:val="24"/>
          <w:szCs w:val="24"/>
        </w:rPr>
      </w:pPr>
      <w:r w:rsidRPr="00E90F19">
        <w:rPr>
          <w:sz w:val="24"/>
          <w:szCs w:val="24"/>
        </w:rPr>
        <w:t>C.</w:t>
      </w:r>
      <w:r w:rsidRPr="00E90F19">
        <w:rPr>
          <w:sz w:val="24"/>
          <w:szCs w:val="24"/>
        </w:rPr>
        <w:tab/>
      </w:r>
      <w:r w:rsidRPr="00E90F19">
        <w:rPr>
          <w:sz w:val="24"/>
          <w:szCs w:val="24"/>
        </w:rPr>
        <w:tab/>
        <w:t>Verbindlichkeiten</w:t>
      </w:r>
      <w:r w:rsidR="00FA5E61" w:rsidRPr="00E90F19">
        <w:rPr>
          <w:sz w:val="24"/>
          <w:szCs w:val="24"/>
        </w:rPr>
        <w:t>:</w:t>
      </w:r>
    </w:p>
    <w:p w:rsidR="00E90F19" w:rsidRPr="00E90F19" w:rsidRDefault="00AF62C3" w:rsidP="00E90F19">
      <w:pPr>
        <w:pStyle w:val="Listenabsatz"/>
        <w:numPr>
          <w:ilvl w:val="0"/>
          <w:numId w:val="27"/>
        </w:numPr>
        <w:spacing w:before="0"/>
        <w:jc w:val="left"/>
        <w:rPr>
          <w:sz w:val="24"/>
          <w:szCs w:val="24"/>
        </w:rPr>
      </w:pPr>
      <w:r w:rsidRPr="00E90F19">
        <w:rPr>
          <w:sz w:val="24"/>
          <w:szCs w:val="24"/>
        </w:rPr>
        <w:t>Anleihen,</w:t>
      </w:r>
    </w:p>
    <w:p w:rsidR="00E90F19" w:rsidRPr="00E90F19" w:rsidRDefault="00E90F19" w:rsidP="00E90F19">
      <w:pPr>
        <w:pStyle w:val="Listenabsatz"/>
        <w:spacing w:before="0"/>
        <w:ind w:left="1981"/>
        <w:jc w:val="left"/>
        <w:rPr>
          <w:sz w:val="24"/>
          <w:szCs w:val="24"/>
        </w:rPr>
      </w:pPr>
      <w:r w:rsidRPr="00E90F19">
        <w:rPr>
          <w:sz w:val="24"/>
          <w:szCs w:val="24"/>
        </w:rPr>
        <w:t>davon konvertibel;</w:t>
      </w:r>
    </w:p>
    <w:p w:rsidR="00E90F19" w:rsidRPr="00E90F19" w:rsidRDefault="00E90F19" w:rsidP="00E90F19">
      <w:pPr>
        <w:pStyle w:val="Listenabsatz"/>
        <w:numPr>
          <w:ilvl w:val="0"/>
          <w:numId w:val="27"/>
        </w:numPr>
        <w:spacing w:before="0"/>
        <w:jc w:val="left"/>
        <w:rPr>
          <w:sz w:val="24"/>
          <w:szCs w:val="24"/>
        </w:rPr>
      </w:pPr>
      <w:r w:rsidRPr="00E90F19">
        <w:rPr>
          <w:sz w:val="24"/>
          <w:szCs w:val="24"/>
        </w:rPr>
        <w:t>Verbindlichkeiten gegenüber Kreditinstituten;</w:t>
      </w:r>
    </w:p>
    <w:p w:rsidR="00E90F19" w:rsidRPr="00E90F19" w:rsidRDefault="00E90F19" w:rsidP="00E90F19">
      <w:pPr>
        <w:pStyle w:val="Listenabsatz"/>
        <w:numPr>
          <w:ilvl w:val="0"/>
          <w:numId w:val="27"/>
        </w:numPr>
        <w:spacing w:before="0"/>
        <w:jc w:val="left"/>
        <w:rPr>
          <w:sz w:val="24"/>
          <w:szCs w:val="24"/>
        </w:rPr>
      </w:pPr>
      <w:r w:rsidRPr="00E90F19">
        <w:rPr>
          <w:sz w:val="24"/>
          <w:szCs w:val="24"/>
        </w:rPr>
        <w:t>erhaltene Anzahlungen auf Bestellungen;</w:t>
      </w:r>
    </w:p>
    <w:p w:rsidR="00E90F19" w:rsidRPr="00E90F19" w:rsidRDefault="00E90F19" w:rsidP="00E90F19">
      <w:pPr>
        <w:pStyle w:val="Listenabsatz"/>
        <w:numPr>
          <w:ilvl w:val="0"/>
          <w:numId w:val="27"/>
        </w:numPr>
        <w:spacing w:before="0"/>
        <w:jc w:val="left"/>
        <w:rPr>
          <w:sz w:val="24"/>
          <w:szCs w:val="24"/>
        </w:rPr>
      </w:pPr>
      <w:r w:rsidRPr="00E90F19">
        <w:rPr>
          <w:sz w:val="24"/>
          <w:szCs w:val="24"/>
        </w:rPr>
        <w:t>Verbindlichkeiten aus Lieferungen und Leistungen;</w:t>
      </w:r>
    </w:p>
    <w:p w:rsidR="00E90F19" w:rsidRPr="00E90F19" w:rsidRDefault="00E90F19" w:rsidP="00E90F19">
      <w:pPr>
        <w:pStyle w:val="Listenabsatz"/>
        <w:numPr>
          <w:ilvl w:val="0"/>
          <w:numId w:val="27"/>
        </w:numPr>
        <w:spacing w:before="0"/>
        <w:jc w:val="left"/>
        <w:rPr>
          <w:sz w:val="24"/>
          <w:szCs w:val="24"/>
        </w:rPr>
      </w:pPr>
      <w:r w:rsidRPr="00E90F19">
        <w:rPr>
          <w:sz w:val="24"/>
          <w:szCs w:val="24"/>
        </w:rPr>
        <w:t>Verbindlichkeiten aus der Annahme gezogener Wechsel und der Ausstellung eigener Wechsel;</w:t>
      </w:r>
    </w:p>
    <w:p w:rsidR="00E90F19" w:rsidRPr="00E90F19" w:rsidRDefault="00E90F19" w:rsidP="00E90F19">
      <w:pPr>
        <w:pStyle w:val="Listenabsatz"/>
        <w:numPr>
          <w:ilvl w:val="0"/>
          <w:numId w:val="27"/>
        </w:numPr>
        <w:spacing w:before="0"/>
        <w:jc w:val="left"/>
        <w:rPr>
          <w:sz w:val="24"/>
          <w:szCs w:val="24"/>
        </w:rPr>
      </w:pPr>
      <w:r w:rsidRPr="00E90F19">
        <w:rPr>
          <w:sz w:val="24"/>
          <w:szCs w:val="24"/>
        </w:rPr>
        <w:t>Verbindlichkeiten gegenüber verbundenen Unternehmen;</w:t>
      </w:r>
    </w:p>
    <w:p w:rsidR="00E90F19" w:rsidRPr="00E90F19" w:rsidRDefault="00E90F19" w:rsidP="00E90F19">
      <w:pPr>
        <w:pStyle w:val="Listenabsatz"/>
        <w:numPr>
          <w:ilvl w:val="0"/>
          <w:numId w:val="27"/>
        </w:numPr>
        <w:spacing w:before="0"/>
        <w:jc w:val="left"/>
        <w:rPr>
          <w:sz w:val="24"/>
          <w:szCs w:val="24"/>
        </w:rPr>
      </w:pPr>
      <w:r w:rsidRPr="00E90F19">
        <w:rPr>
          <w:sz w:val="24"/>
          <w:szCs w:val="24"/>
        </w:rPr>
        <w:t>Verbindlichkeiten gegenüber Unternehmen, mit denen ein Beteiligungsverhältnis besteht;</w:t>
      </w:r>
    </w:p>
    <w:p w:rsidR="00E90F19" w:rsidRPr="00E90F19" w:rsidRDefault="00E90F19" w:rsidP="00E90F19">
      <w:pPr>
        <w:pStyle w:val="Listenabsatz"/>
        <w:numPr>
          <w:ilvl w:val="0"/>
          <w:numId w:val="27"/>
        </w:numPr>
        <w:spacing w:before="0"/>
        <w:jc w:val="left"/>
        <w:rPr>
          <w:sz w:val="24"/>
          <w:szCs w:val="24"/>
        </w:rPr>
      </w:pPr>
      <w:r w:rsidRPr="00E90F19">
        <w:rPr>
          <w:sz w:val="24"/>
          <w:szCs w:val="24"/>
        </w:rPr>
        <w:t>sonstige Verbindlichkeiten,</w:t>
      </w:r>
    </w:p>
    <w:p w:rsidR="00E90F19" w:rsidRPr="00E90F19" w:rsidRDefault="00E90F19" w:rsidP="00E90F19">
      <w:pPr>
        <w:pStyle w:val="Listenabsatz"/>
        <w:spacing w:before="0"/>
        <w:ind w:left="1981"/>
        <w:jc w:val="left"/>
        <w:rPr>
          <w:sz w:val="24"/>
          <w:szCs w:val="24"/>
        </w:rPr>
      </w:pPr>
      <w:r w:rsidRPr="00E90F19">
        <w:rPr>
          <w:sz w:val="24"/>
          <w:szCs w:val="24"/>
        </w:rPr>
        <w:t>davon aus Steuern,</w:t>
      </w:r>
    </w:p>
    <w:p w:rsidR="00E90F19" w:rsidRPr="00EF2670" w:rsidRDefault="00E90F19" w:rsidP="00D608FC">
      <w:pPr>
        <w:spacing w:before="0"/>
        <w:ind w:left="1829" w:firstLine="152"/>
        <w:jc w:val="left"/>
        <w:rPr>
          <w:sz w:val="24"/>
          <w:szCs w:val="24"/>
        </w:rPr>
      </w:pPr>
      <w:r w:rsidRPr="00E90F19">
        <w:rPr>
          <w:sz w:val="24"/>
          <w:szCs w:val="24"/>
        </w:rPr>
        <w:t>davon im Rahmen der sozialen Sicherheit</w:t>
      </w:r>
      <w:r w:rsidR="00D608FC">
        <w:rPr>
          <w:sz w:val="24"/>
          <w:szCs w:val="24"/>
        </w:rPr>
        <w:t>.</w:t>
      </w:r>
    </w:p>
    <w:p w:rsidR="00100702" w:rsidRDefault="00100702" w:rsidP="000A083A">
      <w:pPr>
        <w:spacing w:before="0"/>
        <w:ind w:left="709" w:hanging="709"/>
        <w:jc w:val="left"/>
        <w:rPr>
          <w:sz w:val="24"/>
          <w:szCs w:val="24"/>
        </w:rPr>
      </w:pPr>
      <w:r w:rsidRPr="00EF2670">
        <w:rPr>
          <w:sz w:val="24"/>
          <w:szCs w:val="24"/>
        </w:rPr>
        <w:t>D.</w:t>
      </w:r>
      <w:r w:rsidRPr="00EF2670">
        <w:rPr>
          <w:sz w:val="24"/>
          <w:szCs w:val="24"/>
        </w:rPr>
        <w:tab/>
      </w:r>
      <w:r w:rsidRPr="00EF2670">
        <w:rPr>
          <w:sz w:val="24"/>
          <w:szCs w:val="24"/>
        </w:rPr>
        <w:tab/>
        <w:t>Rechnungsabgrenzungsposten.</w:t>
      </w:r>
    </w:p>
    <w:p w:rsidR="00ED235F" w:rsidRPr="00EF2670" w:rsidRDefault="00100702" w:rsidP="000A083A">
      <w:pPr>
        <w:spacing w:before="0"/>
        <w:ind w:left="709" w:hanging="709"/>
        <w:jc w:val="left"/>
        <w:rPr>
          <w:sz w:val="24"/>
          <w:szCs w:val="24"/>
        </w:rPr>
      </w:pPr>
      <w:r w:rsidRPr="00EF2670">
        <w:rPr>
          <w:sz w:val="24"/>
          <w:szCs w:val="24"/>
        </w:rPr>
        <w:t>E.</w:t>
      </w:r>
      <w:r w:rsidRPr="00EF2670">
        <w:rPr>
          <w:sz w:val="24"/>
          <w:szCs w:val="24"/>
        </w:rPr>
        <w:tab/>
      </w:r>
      <w:r w:rsidRPr="00EF2670">
        <w:rPr>
          <w:sz w:val="24"/>
          <w:szCs w:val="24"/>
        </w:rPr>
        <w:tab/>
        <w:t>Passive latente Steuern.</w:t>
      </w:r>
    </w:p>
    <w:sectPr w:rsidR="00ED235F" w:rsidRPr="00EF2670" w:rsidSect="00CC064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100" w:right="1701" w:bottom="1134" w:left="1134" w:header="113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3FE" w:rsidRDefault="009773FE">
      <w:pPr>
        <w:spacing w:before="0"/>
      </w:pPr>
      <w:r>
        <w:separator/>
      </w:r>
    </w:p>
  </w:endnote>
  <w:endnote w:type="continuationSeparator" w:id="0">
    <w:p w:rsidR="009773FE" w:rsidRDefault="009773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77D" w:rsidRDefault="00F817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6E6" w:rsidRPr="00F8177D" w:rsidRDefault="00F8177D" w:rsidP="00F8177D">
    <w:pPr>
      <w:tabs>
        <w:tab w:val="center" w:pos="4536"/>
        <w:tab w:val="right" w:pos="9072"/>
      </w:tabs>
      <w:spacing w:before="520" w:after="120"/>
      <w:rPr>
        <w:rFonts w:eastAsiaTheme="minorHAnsi"/>
        <w:sz w:val="20"/>
        <w:lang w:eastAsia="en-US"/>
      </w:rPr>
    </w:pPr>
    <w:bookmarkStart w:id="0" w:name="_GoBack"/>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cstheme="minorBidi"/>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924337310"/>
        <w:docPartObj>
          <w:docPartGallery w:val="Page Numbers (Top of Page)"/>
          <w:docPartUnique/>
        </w:docPartObj>
      </w:sdt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cstheme="minorBidi"/>
            <w:sz w:val="20"/>
            <w:lang w:eastAsia="en-US"/>
          </w:rPr>
          <w:t>2</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Pr>
        <w:noProof/>
        <w:sz w:val="20"/>
      </w:rPr>
      <w:drawing>
        <wp:anchor distT="0" distB="0" distL="114300" distR="114300" simplePos="0" relativeHeight="251661312" behindDoc="0" locked="0" layoutInCell="1" allowOverlap="1" wp14:anchorId="0CF99B72" wp14:editId="5ECD2BE5">
          <wp:simplePos x="0" y="0"/>
          <wp:positionH relativeFrom="column">
            <wp:posOffset>1737360</wp:posOffset>
          </wp:positionH>
          <wp:positionV relativeFrom="paragraph">
            <wp:posOffset>133985</wp:posOffset>
          </wp:positionV>
          <wp:extent cx="2283460" cy="32385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460" cy="323850"/>
                  </a:xfrm>
                  <a:prstGeom prst="rect">
                    <a:avLst/>
                  </a:prstGeom>
                  <a:noFill/>
                  <a:ln>
                    <a:noFill/>
                  </a:ln>
                </pic:spPr>
              </pic:pic>
            </a:graphicData>
          </a:graphic>
        </wp:anchor>
      </w:drawing>
    </w:r>
    <w:r w:rsidRPr="00E211D2">
      <w:rPr>
        <w:rFonts w:eastAsiaTheme="minorHAnsi" w:cstheme="minorBidi"/>
        <w:sz w:val="20"/>
        <w:lang w:eastAsia="en-US"/>
      </w:rPr>
      <w:tab/>
    </w:r>
    <w:r>
      <w:rPr>
        <w:rFonts w:eastAsiaTheme="minorHAnsi" w:cstheme="minorBidi"/>
        <w:b/>
        <w:color w:val="00B0F0"/>
        <w:sz w:val="20"/>
        <w:lang w:eastAsia="en-US"/>
      </w:rPr>
      <w:t>Handout 9</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6E6" w:rsidRPr="00F8177D" w:rsidRDefault="00F8177D" w:rsidP="00F8177D">
    <w:pPr>
      <w:tabs>
        <w:tab w:val="center" w:pos="4536"/>
        <w:tab w:val="right" w:pos="9072"/>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2014915945"/>
        <w:docPartObj>
          <w:docPartGallery w:val="Page Numbers (Top of Page)"/>
          <w:docPartUnique/>
        </w:docPartObj>
      </w:sdt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sz w:val="20"/>
            <w:lang w:eastAsia="en-US"/>
          </w:rPr>
          <w:t>6</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Pr>
        <w:noProof/>
        <w:sz w:val="20"/>
      </w:rPr>
      <w:drawing>
        <wp:anchor distT="0" distB="0" distL="114300" distR="114300" simplePos="0" relativeHeight="251659264" behindDoc="0" locked="0" layoutInCell="1" allowOverlap="1" wp14:anchorId="164AB1D4" wp14:editId="4A94BF76">
          <wp:simplePos x="0" y="0"/>
          <wp:positionH relativeFrom="column">
            <wp:posOffset>1737360</wp:posOffset>
          </wp:positionH>
          <wp:positionV relativeFrom="paragraph">
            <wp:posOffset>133985</wp:posOffset>
          </wp:positionV>
          <wp:extent cx="2283460" cy="32385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460" cy="323850"/>
                  </a:xfrm>
                  <a:prstGeom prst="rect">
                    <a:avLst/>
                  </a:prstGeom>
                  <a:noFill/>
                  <a:ln>
                    <a:noFill/>
                  </a:ln>
                </pic:spPr>
              </pic:pic>
            </a:graphicData>
          </a:graphic>
        </wp:anchor>
      </w:drawing>
    </w:r>
    <w:r w:rsidRPr="00E211D2">
      <w:rPr>
        <w:rFonts w:eastAsiaTheme="minorHAnsi" w:cstheme="minorBidi"/>
        <w:sz w:val="20"/>
        <w:lang w:eastAsia="en-US"/>
      </w:rPr>
      <w:tab/>
    </w:r>
    <w:r>
      <w:rPr>
        <w:rFonts w:eastAsiaTheme="minorHAnsi" w:cstheme="minorBidi"/>
        <w:b/>
        <w:color w:val="00B0F0"/>
        <w:sz w:val="20"/>
        <w:lang w:eastAsia="en-US"/>
      </w:rPr>
      <w:t xml:space="preserve">Handout </w:t>
    </w:r>
    <w:r>
      <w:rPr>
        <w:rFonts w:eastAsiaTheme="minorHAnsi" w:cstheme="minorBidi"/>
        <w:b/>
        <w:color w:val="00B0F0"/>
        <w:sz w:val="20"/>
        <w:lang w:eastAsia="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3FE" w:rsidRDefault="009773FE" w:rsidP="00EE217B">
      <w:pPr>
        <w:pStyle w:val="Fuzeile"/>
      </w:pPr>
    </w:p>
    <w:p w:rsidR="009773FE" w:rsidRPr="00EE217B" w:rsidRDefault="009773FE" w:rsidP="00EE217B">
      <w:pPr>
        <w:spacing w:before="0"/>
        <w:jc w:val="center"/>
      </w:pPr>
      <w:r w:rsidRPr="00027F72">
        <w:separator/>
      </w:r>
      <w:r w:rsidRPr="00027F72">
        <w:separator/>
      </w:r>
    </w:p>
  </w:footnote>
  <w:footnote w:type="continuationSeparator" w:id="0">
    <w:p w:rsidR="009773FE" w:rsidRDefault="009773FE" w:rsidP="00711AB6">
      <w:pPr>
        <w:spacing w:before="0"/>
        <w:jc w:val="center"/>
      </w:pPr>
    </w:p>
    <w:p w:rsidR="009773FE" w:rsidRPr="00711AB6" w:rsidRDefault="009773FE"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77D" w:rsidRDefault="00F817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6E6" w:rsidRPr="00665F75" w:rsidRDefault="007506E6" w:rsidP="00B73242">
    <w:pPr>
      <w:pStyle w:val="Kopfzeile"/>
      <w:pBdr>
        <w:bottom w:val="none" w:sz="0" w:space="0" w:color="auto"/>
      </w:pBdr>
      <w:spacing w:before="0"/>
      <w:rPr>
        <w:sz w:val="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6E6" w:rsidRPr="00354556" w:rsidRDefault="007506E6" w:rsidP="00354556">
    <w:pPr>
      <w:pStyle w:val="Kopfzeile"/>
      <w:pBdr>
        <w:bottom w:val="none" w:sz="0" w:space="0" w:color="auto"/>
      </w:pBdr>
      <w:spacing w:before="0"/>
      <w:rPr>
        <w:sz w:val="2"/>
      </w:rPr>
    </w:pPr>
    <w:r w:rsidRPr="00354556">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4895"/>
        </w:tabs>
        <w:ind w:left="4895"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7C24F13"/>
    <w:multiLevelType w:val="hybridMultilevel"/>
    <w:tmpl w:val="BAC22852"/>
    <w:lvl w:ilvl="0" w:tplc="519058E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A354562"/>
    <w:multiLevelType w:val="hybridMultilevel"/>
    <w:tmpl w:val="BAC22852"/>
    <w:lvl w:ilvl="0" w:tplc="519058EC">
      <w:start w:val="1"/>
      <w:numFmt w:val="upperRoman"/>
      <w:lvlText w:val="%1."/>
      <w:lvlJc w:val="left"/>
      <w:pPr>
        <w:ind w:left="1292" w:hanging="720"/>
      </w:pPr>
      <w:rPr>
        <w:rFonts w:hint="default"/>
      </w:rPr>
    </w:lvl>
    <w:lvl w:ilvl="1" w:tplc="04070019" w:tentative="1">
      <w:start w:val="1"/>
      <w:numFmt w:val="lowerLetter"/>
      <w:lvlText w:val="%2."/>
      <w:lvlJc w:val="left"/>
      <w:pPr>
        <w:ind w:left="1652" w:hanging="360"/>
      </w:pPr>
    </w:lvl>
    <w:lvl w:ilvl="2" w:tplc="0407001B" w:tentative="1">
      <w:start w:val="1"/>
      <w:numFmt w:val="lowerRoman"/>
      <w:lvlText w:val="%3."/>
      <w:lvlJc w:val="right"/>
      <w:pPr>
        <w:ind w:left="2372" w:hanging="180"/>
      </w:pPr>
    </w:lvl>
    <w:lvl w:ilvl="3" w:tplc="0407000F" w:tentative="1">
      <w:start w:val="1"/>
      <w:numFmt w:val="decimal"/>
      <w:lvlText w:val="%4."/>
      <w:lvlJc w:val="left"/>
      <w:pPr>
        <w:ind w:left="3092" w:hanging="360"/>
      </w:pPr>
    </w:lvl>
    <w:lvl w:ilvl="4" w:tplc="04070019" w:tentative="1">
      <w:start w:val="1"/>
      <w:numFmt w:val="lowerLetter"/>
      <w:lvlText w:val="%5."/>
      <w:lvlJc w:val="left"/>
      <w:pPr>
        <w:ind w:left="3812" w:hanging="360"/>
      </w:pPr>
    </w:lvl>
    <w:lvl w:ilvl="5" w:tplc="0407001B" w:tentative="1">
      <w:start w:val="1"/>
      <w:numFmt w:val="lowerRoman"/>
      <w:lvlText w:val="%6."/>
      <w:lvlJc w:val="right"/>
      <w:pPr>
        <w:ind w:left="4532" w:hanging="180"/>
      </w:pPr>
    </w:lvl>
    <w:lvl w:ilvl="6" w:tplc="0407000F" w:tentative="1">
      <w:start w:val="1"/>
      <w:numFmt w:val="decimal"/>
      <w:lvlText w:val="%7."/>
      <w:lvlJc w:val="left"/>
      <w:pPr>
        <w:ind w:left="5252" w:hanging="360"/>
      </w:pPr>
    </w:lvl>
    <w:lvl w:ilvl="7" w:tplc="04070019" w:tentative="1">
      <w:start w:val="1"/>
      <w:numFmt w:val="lowerLetter"/>
      <w:lvlText w:val="%8."/>
      <w:lvlJc w:val="left"/>
      <w:pPr>
        <w:ind w:left="5972" w:hanging="360"/>
      </w:pPr>
    </w:lvl>
    <w:lvl w:ilvl="8" w:tplc="0407001B" w:tentative="1">
      <w:start w:val="1"/>
      <w:numFmt w:val="lowerRoman"/>
      <w:lvlText w:val="%9."/>
      <w:lvlJc w:val="right"/>
      <w:pPr>
        <w:ind w:left="6692" w:hanging="180"/>
      </w:pPr>
    </w:lvl>
  </w:abstractNum>
  <w:abstractNum w:abstractNumId="10" w15:restartNumberingAfterBreak="0">
    <w:nsid w:val="0FDA4465"/>
    <w:multiLevelType w:val="hybridMultilevel"/>
    <w:tmpl w:val="AF92E496"/>
    <w:lvl w:ilvl="0" w:tplc="5CB05C9E">
      <w:start w:val="1"/>
      <w:numFmt w:val="decimal"/>
      <w:lvlText w:val="%1."/>
      <w:lvlJc w:val="left"/>
      <w:pPr>
        <w:ind w:left="1976" w:hanging="705"/>
      </w:pPr>
      <w:rPr>
        <w:rFonts w:hint="default"/>
      </w:rPr>
    </w:lvl>
    <w:lvl w:ilvl="1" w:tplc="04070019" w:tentative="1">
      <w:start w:val="1"/>
      <w:numFmt w:val="lowerLetter"/>
      <w:lvlText w:val="%2."/>
      <w:lvlJc w:val="left"/>
      <w:pPr>
        <w:ind w:left="2351" w:hanging="360"/>
      </w:pPr>
    </w:lvl>
    <w:lvl w:ilvl="2" w:tplc="0407001B" w:tentative="1">
      <w:start w:val="1"/>
      <w:numFmt w:val="lowerRoman"/>
      <w:lvlText w:val="%3."/>
      <w:lvlJc w:val="right"/>
      <w:pPr>
        <w:ind w:left="3071" w:hanging="180"/>
      </w:pPr>
    </w:lvl>
    <w:lvl w:ilvl="3" w:tplc="0407000F" w:tentative="1">
      <w:start w:val="1"/>
      <w:numFmt w:val="decimal"/>
      <w:lvlText w:val="%4."/>
      <w:lvlJc w:val="left"/>
      <w:pPr>
        <w:ind w:left="3791" w:hanging="360"/>
      </w:pPr>
    </w:lvl>
    <w:lvl w:ilvl="4" w:tplc="04070019" w:tentative="1">
      <w:start w:val="1"/>
      <w:numFmt w:val="lowerLetter"/>
      <w:lvlText w:val="%5."/>
      <w:lvlJc w:val="left"/>
      <w:pPr>
        <w:ind w:left="4511" w:hanging="360"/>
      </w:pPr>
    </w:lvl>
    <w:lvl w:ilvl="5" w:tplc="0407001B" w:tentative="1">
      <w:start w:val="1"/>
      <w:numFmt w:val="lowerRoman"/>
      <w:lvlText w:val="%6."/>
      <w:lvlJc w:val="right"/>
      <w:pPr>
        <w:ind w:left="5231" w:hanging="180"/>
      </w:pPr>
    </w:lvl>
    <w:lvl w:ilvl="6" w:tplc="0407000F" w:tentative="1">
      <w:start w:val="1"/>
      <w:numFmt w:val="decimal"/>
      <w:lvlText w:val="%7."/>
      <w:lvlJc w:val="left"/>
      <w:pPr>
        <w:ind w:left="5951" w:hanging="360"/>
      </w:pPr>
    </w:lvl>
    <w:lvl w:ilvl="7" w:tplc="04070019" w:tentative="1">
      <w:start w:val="1"/>
      <w:numFmt w:val="lowerLetter"/>
      <w:lvlText w:val="%8."/>
      <w:lvlJc w:val="left"/>
      <w:pPr>
        <w:ind w:left="6671" w:hanging="360"/>
      </w:pPr>
    </w:lvl>
    <w:lvl w:ilvl="8" w:tplc="0407001B" w:tentative="1">
      <w:start w:val="1"/>
      <w:numFmt w:val="lowerRoman"/>
      <w:lvlText w:val="%9."/>
      <w:lvlJc w:val="right"/>
      <w:pPr>
        <w:ind w:left="7391" w:hanging="180"/>
      </w:pPr>
    </w:lvl>
  </w:abstractNum>
  <w:abstractNum w:abstractNumId="11"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2"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7B5646"/>
    <w:multiLevelType w:val="hybridMultilevel"/>
    <w:tmpl w:val="BAC22852"/>
    <w:lvl w:ilvl="0" w:tplc="519058E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E67778"/>
    <w:multiLevelType w:val="hybridMultilevel"/>
    <w:tmpl w:val="D64245CE"/>
    <w:lvl w:ilvl="0" w:tplc="2AA6828C">
      <w:start w:val="1"/>
      <w:numFmt w:val="decimal"/>
      <w:lvlText w:val="%1."/>
      <w:lvlJc w:val="left"/>
      <w:pPr>
        <w:ind w:left="1981" w:hanging="705"/>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17"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335716"/>
    <w:multiLevelType w:val="hybridMultilevel"/>
    <w:tmpl w:val="54EC6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27C20A2"/>
    <w:multiLevelType w:val="hybridMultilevel"/>
    <w:tmpl w:val="DC3C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2" w15:restartNumberingAfterBreak="0">
    <w:nsid w:val="62DA0A4A"/>
    <w:multiLevelType w:val="hybridMultilevel"/>
    <w:tmpl w:val="DA5471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41035C"/>
    <w:multiLevelType w:val="hybridMultilevel"/>
    <w:tmpl w:val="06C87B8C"/>
    <w:lvl w:ilvl="0" w:tplc="22A2F1A6">
      <w:start w:val="1"/>
      <w:numFmt w:val="decimal"/>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4" w15:restartNumberingAfterBreak="0">
    <w:nsid w:val="74843D60"/>
    <w:multiLevelType w:val="hybridMultilevel"/>
    <w:tmpl w:val="723CC1B0"/>
    <w:lvl w:ilvl="0" w:tplc="F2AAFC52">
      <w:start w:val="1"/>
      <w:numFmt w:val="decimal"/>
      <w:lvlText w:val="%1."/>
      <w:lvlJc w:val="left"/>
      <w:pPr>
        <w:ind w:left="1981" w:hanging="705"/>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25" w15:restartNumberingAfterBreak="0">
    <w:nsid w:val="7CD96AB9"/>
    <w:multiLevelType w:val="hybridMultilevel"/>
    <w:tmpl w:val="D05E6006"/>
    <w:lvl w:ilvl="0" w:tplc="4B34747A">
      <w:start w:val="1"/>
      <w:numFmt w:val="upperRoman"/>
      <w:lvlText w:val="%1."/>
      <w:lvlJc w:val="left"/>
      <w:pPr>
        <w:ind w:left="1444" w:hanging="720"/>
      </w:pPr>
      <w:rPr>
        <w:rFonts w:hint="default"/>
      </w:rPr>
    </w:lvl>
    <w:lvl w:ilvl="1" w:tplc="04070019" w:tentative="1">
      <w:start w:val="1"/>
      <w:numFmt w:val="lowerLetter"/>
      <w:lvlText w:val="%2."/>
      <w:lvlJc w:val="left"/>
      <w:pPr>
        <w:ind w:left="1804" w:hanging="360"/>
      </w:pPr>
    </w:lvl>
    <w:lvl w:ilvl="2" w:tplc="0407001B" w:tentative="1">
      <w:start w:val="1"/>
      <w:numFmt w:val="lowerRoman"/>
      <w:lvlText w:val="%3."/>
      <w:lvlJc w:val="right"/>
      <w:pPr>
        <w:ind w:left="2524" w:hanging="180"/>
      </w:pPr>
    </w:lvl>
    <w:lvl w:ilvl="3" w:tplc="0407000F" w:tentative="1">
      <w:start w:val="1"/>
      <w:numFmt w:val="decimal"/>
      <w:lvlText w:val="%4."/>
      <w:lvlJc w:val="left"/>
      <w:pPr>
        <w:ind w:left="3244" w:hanging="360"/>
      </w:pPr>
    </w:lvl>
    <w:lvl w:ilvl="4" w:tplc="04070019" w:tentative="1">
      <w:start w:val="1"/>
      <w:numFmt w:val="lowerLetter"/>
      <w:lvlText w:val="%5."/>
      <w:lvlJc w:val="left"/>
      <w:pPr>
        <w:ind w:left="3964" w:hanging="360"/>
      </w:pPr>
    </w:lvl>
    <w:lvl w:ilvl="5" w:tplc="0407001B" w:tentative="1">
      <w:start w:val="1"/>
      <w:numFmt w:val="lowerRoman"/>
      <w:lvlText w:val="%6."/>
      <w:lvlJc w:val="right"/>
      <w:pPr>
        <w:ind w:left="4684" w:hanging="180"/>
      </w:pPr>
    </w:lvl>
    <w:lvl w:ilvl="6" w:tplc="0407000F" w:tentative="1">
      <w:start w:val="1"/>
      <w:numFmt w:val="decimal"/>
      <w:lvlText w:val="%7."/>
      <w:lvlJc w:val="left"/>
      <w:pPr>
        <w:ind w:left="5404" w:hanging="360"/>
      </w:pPr>
    </w:lvl>
    <w:lvl w:ilvl="7" w:tplc="04070019" w:tentative="1">
      <w:start w:val="1"/>
      <w:numFmt w:val="lowerLetter"/>
      <w:lvlText w:val="%8."/>
      <w:lvlJc w:val="left"/>
      <w:pPr>
        <w:ind w:left="6124" w:hanging="360"/>
      </w:pPr>
    </w:lvl>
    <w:lvl w:ilvl="8" w:tplc="0407001B" w:tentative="1">
      <w:start w:val="1"/>
      <w:numFmt w:val="lowerRoman"/>
      <w:lvlText w:val="%9."/>
      <w:lvlJc w:val="right"/>
      <w:pPr>
        <w:ind w:left="6844" w:hanging="180"/>
      </w:pPr>
    </w:lvl>
  </w:abstractNum>
  <w:abstractNum w:abstractNumId="26"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num w:numId="1">
    <w:abstractNumId w:val="26"/>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21"/>
  </w:num>
  <w:num w:numId="12">
    <w:abstractNumId w:val="12"/>
  </w:num>
  <w:num w:numId="13">
    <w:abstractNumId w:val="13"/>
  </w:num>
  <w:num w:numId="14">
    <w:abstractNumId w:val="20"/>
  </w:num>
  <w:num w:numId="15">
    <w:abstractNumId w:val="17"/>
  </w:num>
  <w:num w:numId="16">
    <w:abstractNumId w:val="15"/>
  </w:num>
  <w:num w:numId="17">
    <w:abstractNumId w:val="18"/>
  </w:num>
  <w:num w:numId="18">
    <w:abstractNumId w:val="19"/>
  </w:num>
  <w:num w:numId="19">
    <w:abstractNumId w:val="9"/>
  </w:num>
  <w:num w:numId="20">
    <w:abstractNumId w:val="8"/>
  </w:num>
  <w:num w:numId="21">
    <w:abstractNumId w:val="14"/>
  </w:num>
  <w:num w:numId="22">
    <w:abstractNumId w:val="23"/>
  </w:num>
  <w:num w:numId="23">
    <w:abstractNumId w:val="22"/>
  </w:num>
  <w:num w:numId="24">
    <w:abstractNumId w:val="10"/>
  </w:num>
  <w:num w:numId="25">
    <w:abstractNumId w:val="25"/>
  </w:num>
  <w:num w:numId="26">
    <w:abstractNumId w:val="24"/>
  </w:num>
  <w:num w:numId="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E"/>
    <w:rsid w:val="00002230"/>
    <w:rsid w:val="00002EED"/>
    <w:rsid w:val="000030A9"/>
    <w:rsid w:val="000054E6"/>
    <w:rsid w:val="0001477C"/>
    <w:rsid w:val="0002748A"/>
    <w:rsid w:val="0003242D"/>
    <w:rsid w:val="0004061E"/>
    <w:rsid w:val="000503CF"/>
    <w:rsid w:val="0005326E"/>
    <w:rsid w:val="000616B8"/>
    <w:rsid w:val="00064F40"/>
    <w:rsid w:val="00075E7C"/>
    <w:rsid w:val="00080B9A"/>
    <w:rsid w:val="00086B8A"/>
    <w:rsid w:val="0009344D"/>
    <w:rsid w:val="00097B2B"/>
    <w:rsid w:val="000A083A"/>
    <w:rsid w:val="000B1337"/>
    <w:rsid w:val="000E26F7"/>
    <w:rsid w:val="000F3F03"/>
    <w:rsid w:val="00100702"/>
    <w:rsid w:val="00105868"/>
    <w:rsid w:val="00106BBE"/>
    <w:rsid w:val="00111AC6"/>
    <w:rsid w:val="001205E2"/>
    <w:rsid w:val="00143F11"/>
    <w:rsid w:val="00165A53"/>
    <w:rsid w:val="00180880"/>
    <w:rsid w:val="00182B83"/>
    <w:rsid w:val="00184E10"/>
    <w:rsid w:val="0019585B"/>
    <w:rsid w:val="001A1316"/>
    <w:rsid w:val="001A1B58"/>
    <w:rsid w:val="001B3F50"/>
    <w:rsid w:val="001B7E25"/>
    <w:rsid w:val="001C0D6B"/>
    <w:rsid w:val="001C1789"/>
    <w:rsid w:val="001D22E2"/>
    <w:rsid w:val="001E1F96"/>
    <w:rsid w:val="001E38E2"/>
    <w:rsid w:val="001E7A82"/>
    <w:rsid w:val="001F04DD"/>
    <w:rsid w:val="002065BE"/>
    <w:rsid w:val="0021047B"/>
    <w:rsid w:val="00213C34"/>
    <w:rsid w:val="00257647"/>
    <w:rsid w:val="002717FB"/>
    <w:rsid w:val="0027632B"/>
    <w:rsid w:val="00283F41"/>
    <w:rsid w:val="00284FA6"/>
    <w:rsid w:val="00285560"/>
    <w:rsid w:val="00285C0D"/>
    <w:rsid w:val="00290924"/>
    <w:rsid w:val="0029592F"/>
    <w:rsid w:val="002A064F"/>
    <w:rsid w:val="002A0C98"/>
    <w:rsid w:val="002A29CF"/>
    <w:rsid w:val="002B17CE"/>
    <w:rsid w:val="002B298F"/>
    <w:rsid w:val="002B37AC"/>
    <w:rsid w:val="002D0908"/>
    <w:rsid w:val="002D7E2D"/>
    <w:rsid w:val="002F09D8"/>
    <w:rsid w:val="002F6B99"/>
    <w:rsid w:val="002F771F"/>
    <w:rsid w:val="00304799"/>
    <w:rsid w:val="00312CCD"/>
    <w:rsid w:val="00340216"/>
    <w:rsid w:val="00342964"/>
    <w:rsid w:val="00352142"/>
    <w:rsid w:val="00354556"/>
    <w:rsid w:val="00360F3D"/>
    <w:rsid w:val="00364269"/>
    <w:rsid w:val="00376DCD"/>
    <w:rsid w:val="003806AE"/>
    <w:rsid w:val="00382BCD"/>
    <w:rsid w:val="003932A1"/>
    <w:rsid w:val="003A6FEB"/>
    <w:rsid w:val="003B420D"/>
    <w:rsid w:val="003E348F"/>
    <w:rsid w:val="003E5835"/>
    <w:rsid w:val="003E6220"/>
    <w:rsid w:val="003E702B"/>
    <w:rsid w:val="003F1B18"/>
    <w:rsid w:val="004021D2"/>
    <w:rsid w:val="004076E9"/>
    <w:rsid w:val="0041402E"/>
    <w:rsid w:val="00416098"/>
    <w:rsid w:val="00416270"/>
    <w:rsid w:val="004248A0"/>
    <w:rsid w:val="00433509"/>
    <w:rsid w:val="00440D21"/>
    <w:rsid w:val="00445BB8"/>
    <w:rsid w:val="0044742E"/>
    <w:rsid w:val="00454705"/>
    <w:rsid w:val="00465DB3"/>
    <w:rsid w:val="004867BC"/>
    <w:rsid w:val="0049126F"/>
    <w:rsid w:val="004B2234"/>
    <w:rsid w:val="004B5526"/>
    <w:rsid w:val="004B5A8E"/>
    <w:rsid w:val="004B6272"/>
    <w:rsid w:val="004B6415"/>
    <w:rsid w:val="004C3F5D"/>
    <w:rsid w:val="004C60FF"/>
    <w:rsid w:val="004D43D5"/>
    <w:rsid w:val="004D6C91"/>
    <w:rsid w:val="004E699D"/>
    <w:rsid w:val="004F1C26"/>
    <w:rsid w:val="004F1E92"/>
    <w:rsid w:val="0050152B"/>
    <w:rsid w:val="005060F4"/>
    <w:rsid w:val="00516C43"/>
    <w:rsid w:val="0052103B"/>
    <w:rsid w:val="00523480"/>
    <w:rsid w:val="00525CDB"/>
    <w:rsid w:val="00527267"/>
    <w:rsid w:val="00534A4B"/>
    <w:rsid w:val="0053603B"/>
    <w:rsid w:val="005473EF"/>
    <w:rsid w:val="0055136F"/>
    <w:rsid w:val="0055156D"/>
    <w:rsid w:val="00567521"/>
    <w:rsid w:val="00575E32"/>
    <w:rsid w:val="00583AA1"/>
    <w:rsid w:val="0058527F"/>
    <w:rsid w:val="00585859"/>
    <w:rsid w:val="005913EC"/>
    <w:rsid w:val="005921A2"/>
    <w:rsid w:val="005967E6"/>
    <w:rsid w:val="005B57D7"/>
    <w:rsid w:val="005B71FE"/>
    <w:rsid w:val="005B7F7F"/>
    <w:rsid w:val="005C1C85"/>
    <w:rsid w:val="005C5708"/>
    <w:rsid w:val="005D1825"/>
    <w:rsid w:val="005D26BD"/>
    <w:rsid w:val="005D2A74"/>
    <w:rsid w:val="005E0577"/>
    <w:rsid w:val="005E07BD"/>
    <w:rsid w:val="005E7803"/>
    <w:rsid w:val="005F6F40"/>
    <w:rsid w:val="00622F44"/>
    <w:rsid w:val="00632C1A"/>
    <w:rsid w:val="006454CF"/>
    <w:rsid w:val="0065198F"/>
    <w:rsid w:val="006521FF"/>
    <w:rsid w:val="006643EF"/>
    <w:rsid w:val="00665F75"/>
    <w:rsid w:val="0066763B"/>
    <w:rsid w:val="00684B37"/>
    <w:rsid w:val="006B41C0"/>
    <w:rsid w:val="006C4228"/>
    <w:rsid w:val="006D45A1"/>
    <w:rsid w:val="006E24F6"/>
    <w:rsid w:val="006E7126"/>
    <w:rsid w:val="006F281C"/>
    <w:rsid w:val="007026D1"/>
    <w:rsid w:val="00711AB6"/>
    <w:rsid w:val="007153AC"/>
    <w:rsid w:val="00716DD5"/>
    <w:rsid w:val="00720E5C"/>
    <w:rsid w:val="00742EA1"/>
    <w:rsid w:val="00744772"/>
    <w:rsid w:val="00744C9A"/>
    <w:rsid w:val="007506E6"/>
    <w:rsid w:val="007558B3"/>
    <w:rsid w:val="007626C5"/>
    <w:rsid w:val="00763FC1"/>
    <w:rsid w:val="007648E0"/>
    <w:rsid w:val="00765666"/>
    <w:rsid w:val="00772791"/>
    <w:rsid w:val="00783921"/>
    <w:rsid w:val="0078728B"/>
    <w:rsid w:val="00790130"/>
    <w:rsid w:val="00796513"/>
    <w:rsid w:val="007A060E"/>
    <w:rsid w:val="007A3E0C"/>
    <w:rsid w:val="007A5734"/>
    <w:rsid w:val="007B1945"/>
    <w:rsid w:val="007D3976"/>
    <w:rsid w:val="007D6927"/>
    <w:rsid w:val="007E0249"/>
    <w:rsid w:val="007F3A7C"/>
    <w:rsid w:val="007F7FBE"/>
    <w:rsid w:val="00802ED4"/>
    <w:rsid w:val="00805892"/>
    <w:rsid w:val="0081072B"/>
    <w:rsid w:val="00812DE4"/>
    <w:rsid w:val="0081547C"/>
    <w:rsid w:val="008248D3"/>
    <w:rsid w:val="008471C9"/>
    <w:rsid w:val="00855B99"/>
    <w:rsid w:val="00862DDF"/>
    <w:rsid w:val="00870FFE"/>
    <w:rsid w:val="00872C95"/>
    <w:rsid w:val="00872F5F"/>
    <w:rsid w:val="0087591D"/>
    <w:rsid w:val="0088020C"/>
    <w:rsid w:val="00884570"/>
    <w:rsid w:val="00891EEA"/>
    <w:rsid w:val="008976BA"/>
    <w:rsid w:val="008A5560"/>
    <w:rsid w:val="008C44B0"/>
    <w:rsid w:val="008D0CCB"/>
    <w:rsid w:val="008D1A8E"/>
    <w:rsid w:val="008E0D82"/>
    <w:rsid w:val="008E0FC7"/>
    <w:rsid w:val="008F5DDD"/>
    <w:rsid w:val="008F75E7"/>
    <w:rsid w:val="009075A9"/>
    <w:rsid w:val="009212B4"/>
    <w:rsid w:val="00934436"/>
    <w:rsid w:val="009369BA"/>
    <w:rsid w:val="00944537"/>
    <w:rsid w:val="0095198B"/>
    <w:rsid w:val="00970211"/>
    <w:rsid w:val="009760D0"/>
    <w:rsid w:val="00977270"/>
    <w:rsid w:val="009773FE"/>
    <w:rsid w:val="0099236A"/>
    <w:rsid w:val="009A292B"/>
    <w:rsid w:val="009A6E64"/>
    <w:rsid w:val="009C1E3E"/>
    <w:rsid w:val="009C2FF2"/>
    <w:rsid w:val="009C3FCF"/>
    <w:rsid w:val="009C6EFB"/>
    <w:rsid w:val="009C7804"/>
    <w:rsid w:val="009D429E"/>
    <w:rsid w:val="009E1FB1"/>
    <w:rsid w:val="009E52C9"/>
    <w:rsid w:val="009F6E01"/>
    <w:rsid w:val="00A06317"/>
    <w:rsid w:val="00A237ED"/>
    <w:rsid w:val="00A31197"/>
    <w:rsid w:val="00A5114A"/>
    <w:rsid w:val="00A613A1"/>
    <w:rsid w:val="00A649A3"/>
    <w:rsid w:val="00A7113B"/>
    <w:rsid w:val="00A75CE3"/>
    <w:rsid w:val="00A8486F"/>
    <w:rsid w:val="00A87FE5"/>
    <w:rsid w:val="00A946ED"/>
    <w:rsid w:val="00AA65D6"/>
    <w:rsid w:val="00AC17EE"/>
    <w:rsid w:val="00AC3CBC"/>
    <w:rsid w:val="00AE290A"/>
    <w:rsid w:val="00AF1983"/>
    <w:rsid w:val="00AF62C3"/>
    <w:rsid w:val="00AF76A2"/>
    <w:rsid w:val="00B13741"/>
    <w:rsid w:val="00B15817"/>
    <w:rsid w:val="00B1680D"/>
    <w:rsid w:val="00B2286E"/>
    <w:rsid w:val="00B22993"/>
    <w:rsid w:val="00B261B2"/>
    <w:rsid w:val="00B50770"/>
    <w:rsid w:val="00B6345C"/>
    <w:rsid w:val="00B66196"/>
    <w:rsid w:val="00B73242"/>
    <w:rsid w:val="00B77530"/>
    <w:rsid w:val="00B77813"/>
    <w:rsid w:val="00B91F5A"/>
    <w:rsid w:val="00BA01E3"/>
    <w:rsid w:val="00BA02EC"/>
    <w:rsid w:val="00BA1533"/>
    <w:rsid w:val="00BA1564"/>
    <w:rsid w:val="00BA7590"/>
    <w:rsid w:val="00BC6A51"/>
    <w:rsid w:val="00BD2864"/>
    <w:rsid w:val="00BD37FF"/>
    <w:rsid w:val="00BD62C0"/>
    <w:rsid w:val="00BD6F09"/>
    <w:rsid w:val="00BE368B"/>
    <w:rsid w:val="00BF0354"/>
    <w:rsid w:val="00BF2B89"/>
    <w:rsid w:val="00BF7EB9"/>
    <w:rsid w:val="00C10F24"/>
    <w:rsid w:val="00C22525"/>
    <w:rsid w:val="00C24E59"/>
    <w:rsid w:val="00C30D7D"/>
    <w:rsid w:val="00C3485C"/>
    <w:rsid w:val="00C43D74"/>
    <w:rsid w:val="00C470A2"/>
    <w:rsid w:val="00C61048"/>
    <w:rsid w:val="00C63600"/>
    <w:rsid w:val="00C8522D"/>
    <w:rsid w:val="00C91AC1"/>
    <w:rsid w:val="00C929A0"/>
    <w:rsid w:val="00C940C7"/>
    <w:rsid w:val="00CA5FDE"/>
    <w:rsid w:val="00CA64ED"/>
    <w:rsid w:val="00CA6FFC"/>
    <w:rsid w:val="00CB24C7"/>
    <w:rsid w:val="00CB3640"/>
    <w:rsid w:val="00CC0648"/>
    <w:rsid w:val="00CC19EF"/>
    <w:rsid w:val="00CD1A9A"/>
    <w:rsid w:val="00CD4117"/>
    <w:rsid w:val="00CE73C2"/>
    <w:rsid w:val="00D13823"/>
    <w:rsid w:val="00D13BD1"/>
    <w:rsid w:val="00D3060C"/>
    <w:rsid w:val="00D45365"/>
    <w:rsid w:val="00D608FC"/>
    <w:rsid w:val="00D61222"/>
    <w:rsid w:val="00D65E04"/>
    <w:rsid w:val="00DA6374"/>
    <w:rsid w:val="00DB043A"/>
    <w:rsid w:val="00DB3534"/>
    <w:rsid w:val="00DB3B77"/>
    <w:rsid w:val="00DB3D5A"/>
    <w:rsid w:val="00DC5CF9"/>
    <w:rsid w:val="00DD3447"/>
    <w:rsid w:val="00DD5810"/>
    <w:rsid w:val="00DD6816"/>
    <w:rsid w:val="00DE10AB"/>
    <w:rsid w:val="00DE2B44"/>
    <w:rsid w:val="00E016C0"/>
    <w:rsid w:val="00E211D2"/>
    <w:rsid w:val="00E342CA"/>
    <w:rsid w:val="00E368C3"/>
    <w:rsid w:val="00E50734"/>
    <w:rsid w:val="00E54CF5"/>
    <w:rsid w:val="00E57522"/>
    <w:rsid w:val="00E57793"/>
    <w:rsid w:val="00E61BCD"/>
    <w:rsid w:val="00E643D4"/>
    <w:rsid w:val="00E65739"/>
    <w:rsid w:val="00E77518"/>
    <w:rsid w:val="00E90F19"/>
    <w:rsid w:val="00EA0865"/>
    <w:rsid w:val="00EA2ACF"/>
    <w:rsid w:val="00EA74B3"/>
    <w:rsid w:val="00EC00F0"/>
    <w:rsid w:val="00ED235F"/>
    <w:rsid w:val="00EE217B"/>
    <w:rsid w:val="00EE4C18"/>
    <w:rsid w:val="00EF2558"/>
    <w:rsid w:val="00EF2670"/>
    <w:rsid w:val="00F029CC"/>
    <w:rsid w:val="00F02A61"/>
    <w:rsid w:val="00F16438"/>
    <w:rsid w:val="00F16D23"/>
    <w:rsid w:val="00F2421E"/>
    <w:rsid w:val="00F3121A"/>
    <w:rsid w:val="00F35247"/>
    <w:rsid w:val="00F43427"/>
    <w:rsid w:val="00F508B7"/>
    <w:rsid w:val="00F51F9C"/>
    <w:rsid w:val="00F579A0"/>
    <w:rsid w:val="00F607DD"/>
    <w:rsid w:val="00F672A4"/>
    <w:rsid w:val="00F67FF5"/>
    <w:rsid w:val="00F8177D"/>
    <w:rsid w:val="00F87375"/>
    <w:rsid w:val="00F91BA3"/>
    <w:rsid w:val="00F920AB"/>
    <w:rsid w:val="00FA1E51"/>
    <w:rsid w:val="00FA5E61"/>
    <w:rsid w:val="00FB19BE"/>
    <w:rsid w:val="00FB74D4"/>
    <w:rsid w:val="00FC2BD6"/>
    <w:rsid w:val="00FD0600"/>
    <w:rsid w:val="00FD6CCC"/>
    <w:rsid w:val="00FE5374"/>
    <w:rsid w:val="00FE65A7"/>
    <w:rsid w:val="00FF4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E72446C"/>
  <w15:docId w15:val="{3BD57837-B969-43FC-9CEA-2971495C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StandardWeb">
    <w:name w:val="Normal (Web)"/>
    <w:basedOn w:val="Standard"/>
    <w:uiPriority w:val="99"/>
    <w:semiHidden/>
    <w:unhideWhenUsed/>
    <w:rsid w:val="00772791"/>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3513">
      <w:bodyDiv w:val="1"/>
      <w:marLeft w:val="0"/>
      <w:marRight w:val="0"/>
      <w:marTop w:val="0"/>
      <w:marBottom w:val="0"/>
      <w:divBdr>
        <w:top w:val="none" w:sz="0" w:space="0" w:color="auto"/>
        <w:left w:val="none" w:sz="0" w:space="0" w:color="auto"/>
        <w:bottom w:val="none" w:sz="0" w:space="0" w:color="auto"/>
        <w:right w:val="none" w:sz="0" w:space="0" w:color="auto"/>
      </w:divBdr>
      <w:divsChild>
        <w:div w:id="522285369">
          <w:marLeft w:val="0"/>
          <w:marRight w:val="0"/>
          <w:marTop w:val="0"/>
          <w:marBottom w:val="0"/>
          <w:divBdr>
            <w:top w:val="none" w:sz="0" w:space="0" w:color="auto"/>
            <w:left w:val="none" w:sz="0" w:space="0" w:color="auto"/>
            <w:bottom w:val="none" w:sz="0" w:space="0" w:color="auto"/>
            <w:right w:val="none" w:sz="0" w:space="0" w:color="auto"/>
          </w:divBdr>
        </w:div>
        <w:div w:id="907765142">
          <w:marLeft w:val="0"/>
          <w:marRight w:val="0"/>
          <w:marTop w:val="0"/>
          <w:marBottom w:val="0"/>
          <w:divBdr>
            <w:top w:val="none" w:sz="0" w:space="0" w:color="auto"/>
            <w:left w:val="none" w:sz="0" w:space="0" w:color="auto"/>
            <w:bottom w:val="none" w:sz="0" w:space="0" w:color="auto"/>
            <w:right w:val="none" w:sz="0" w:space="0" w:color="auto"/>
          </w:divBdr>
          <w:divsChild>
            <w:div w:id="810705865">
              <w:marLeft w:val="0"/>
              <w:marRight w:val="0"/>
              <w:marTop w:val="0"/>
              <w:marBottom w:val="0"/>
              <w:divBdr>
                <w:top w:val="none" w:sz="0" w:space="0" w:color="auto"/>
                <w:left w:val="none" w:sz="0" w:space="0" w:color="auto"/>
                <w:bottom w:val="none" w:sz="0" w:space="0" w:color="auto"/>
                <w:right w:val="none" w:sz="0" w:space="0" w:color="auto"/>
              </w:divBdr>
              <w:divsChild>
                <w:div w:id="1200435842">
                  <w:marLeft w:val="0"/>
                  <w:marRight w:val="0"/>
                  <w:marTop w:val="0"/>
                  <w:marBottom w:val="0"/>
                  <w:divBdr>
                    <w:top w:val="none" w:sz="0" w:space="0" w:color="auto"/>
                    <w:left w:val="none" w:sz="0" w:space="0" w:color="auto"/>
                    <w:bottom w:val="none" w:sz="0" w:space="0" w:color="auto"/>
                    <w:right w:val="none" w:sz="0" w:space="0" w:color="auto"/>
                  </w:divBdr>
                  <w:divsChild>
                    <w:div w:id="1081179215">
                      <w:marLeft w:val="0"/>
                      <w:marRight w:val="0"/>
                      <w:marTop w:val="0"/>
                      <w:marBottom w:val="0"/>
                      <w:divBdr>
                        <w:top w:val="none" w:sz="0" w:space="0" w:color="auto"/>
                        <w:left w:val="none" w:sz="0" w:space="0" w:color="auto"/>
                        <w:bottom w:val="none" w:sz="0" w:space="0" w:color="auto"/>
                        <w:right w:val="none" w:sz="0" w:space="0" w:color="auto"/>
                      </w:divBdr>
                    </w:div>
                    <w:div w:id="230233598">
                      <w:marLeft w:val="0"/>
                      <w:marRight w:val="0"/>
                      <w:marTop w:val="0"/>
                      <w:marBottom w:val="0"/>
                      <w:divBdr>
                        <w:top w:val="none" w:sz="0" w:space="0" w:color="auto"/>
                        <w:left w:val="none" w:sz="0" w:space="0" w:color="auto"/>
                        <w:bottom w:val="none" w:sz="0" w:space="0" w:color="auto"/>
                        <w:right w:val="none" w:sz="0" w:space="0" w:color="auto"/>
                      </w:divBdr>
                      <w:divsChild>
                        <w:div w:id="1938637475">
                          <w:marLeft w:val="0"/>
                          <w:marRight w:val="0"/>
                          <w:marTop w:val="0"/>
                          <w:marBottom w:val="0"/>
                          <w:divBdr>
                            <w:top w:val="none" w:sz="0" w:space="0" w:color="auto"/>
                            <w:left w:val="none" w:sz="0" w:space="0" w:color="auto"/>
                            <w:bottom w:val="none" w:sz="0" w:space="0" w:color="auto"/>
                            <w:right w:val="none" w:sz="0" w:space="0" w:color="auto"/>
                          </w:divBdr>
                          <w:divsChild>
                            <w:div w:id="257911585">
                              <w:marLeft w:val="0"/>
                              <w:marRight w:val="0"/>
                              <w:marTop w:val="0"/>
                              <w:marBottom w:val="0"/>
                              <w:divBdr>
                                <w:top w:val="none" w:sz="0" w:space="0" w:color="auto"/>
                                <w:left w:val="none" w:sz="0" w:space="0" w:color="auto"/>
                                <w:bottom w:val="none" w:sz="0" w:space="0" w:color="auto"/>
                                <w:right w:val="none" w:sz="0" w:space="0" w:color="auto"/>
                              </w:divBdr>
                              <w:divsChild>
                                <w:div w:id="126555538">
                                  <w:marLeft w:val="0"/>
                                  <w:marRight w:val="0"/>
                                  <w:marTop w:val="0"/>
                                  <w:marBottom w:val="0"/>
                                  <w:divBdr>
                                    <w:top w:val="none" w:sz="0" w:space="0" w:color="auto"/>
                                    <w:left w:val="none" w:sz="0" w:space="0" w:color="auto"/>
                                    <w:bottom w:val="none" w:sz="0" w:space="0" w:color="auto"/>
                                    <w:right w:val="none" w:sz="0" w:space="0" w:color="auto"/>
                                  </w:divBdr>
                                </w:div>
                                <w:div w:id="1547525317">
                                  <w:marLeft w:val="0"/>
                                  <w:marRight w:val="0"/>
                                  <w:marTop w:val="0"/>
                                  <w:marBottom w:val="0"/>
                                  <w:divBdr>
                                    <w:top w:val="none" w:sz="0" w:space="0" w:color="auto"/>
                                    <w:left w:val="none" w:sz="0" w:space="0" w:color="auto"/>
                                    <w:bottom w:val="none" w:sz="0" w:space="0" w:color="auto"/>
                                    <w:right w:val="none" w:sz="0" w:space="0" w:color="auto"/>
                                  </w:divBdr>
                                  <w:divsChild>
                                    <w:div w:id="307901202">
                                      <w:marLeft w:val="0"/>
                                      <w:marRight w:val="0"/>
                                      <w:marTop w:val="0"/>
                                      <w:marBottom w:val="0"/>
                                      <w:divBdr>
                                        <w:top w:val="none" w:sz="0" w:space="0" w:color="auto"/>
                                        <w:left w:val="none" w:sz="0" w:space="0" w:color="auto"/>
                                        <w:bottom w:val="none" w:sz="0" w:space="0" w:color="auto"/>
                                        <w:right w:val="none" w:sz="0" w:space="0" w:color="auto"/>
                                      </w:divBdr>
                                      <w:divsChild>
                                        <w:div w:id="1631125915">
                                          <w:marLeft w:val="0"/>
                                          <w:marRight w:val="0"/>
                                          <w:marTop w:val="0"/>
                                          <w:marBottom w:val="0"/>
                                          <w:divBdr>
                                            <w:top w:val="none" w:sz="0" w:space="0" w:color="auto"/>
                                            <w:left w:val="none" w:sz="0" w:space="0" w:color="auto"/>
                                            <w:bottom w:val="none" w:sz="0" w:space="0" w:color="auto"/>
                                            <w:right w:val="none" w:sz="0" w:space="0" w:color="auto"/>
                                          </w:divBdr>
                                          <w:divsChild>
                                            <w:div w:id="296179220">
                                              <w:marLeft w:val="0"/>
                                              <w:marRight w:val="0"/>
                                              <w:marTop w:val="0"/>
                                              <w:marBottom w:val="0"/>
                                              <w:divBdr>
                                                <w:top w:val="none" w:sz="0" w:space="0" w:color="auto"/>
                                                <w:left w:val="none" w:sz="0" w:space="0" w:color="auto"/>
                                                <w:bottom w:val="none" w:sz="0" w:space="0" w:color="auto"/>
                                                <w:right w:val="none" w:sz="0" w:space="0" w:color="auto"/>
                                              </w:divBdr>
                                            </w:div>
                                            <w:div w:id="1559584708">
                                              <w:marLeft w:val="0"/>
                                              <w:marRight w:val="0"/>
                                              <w:marTop w:val="0"/>
                                              <w:marBottom w:val="0"/>
                                              <w:divBdr>
                                                <w:top w:val="none" w:sz="0" w:space="0" w:color="auto"/>
                                                <w:left w:val="none" w:sz="0" w:space="0" w:color="auto"/>
                                                <w:bottom w:val="none" w:sz="0" w:space="0" w:color="auto"/>
                                                <w:right w:val="none" w:sz="0" w:space="0" w:color="auto"/>
                                              </w:divBdr>
                                            </w:div>
                                            <w:div w:id="268467082">
                                              <w:marLeft w:val="0"/>
                                              <w:marRight w:val="0"/>
                                              <w:marTop w:val="0"/>
                                              <w:marBottom w:val="0"/>
                                              <w:divBdr>
                                                <w:top w:val="none" w:sz="0" w:space="0" w:color="auto"/>
                                                <w:left w:val="none" w:sz="0" w:space="0" w:color="auto"/>
                                                <w:bottom w:val="none" w:sz="0" w:space="0" w:color="auto"/>
                                                <w:right w:val="none" w:sz="0" w:space="0" w:color="auto"/>
                                              </w:divBdr>
                                            </w:div>
                                            <w:div w:id="154952793">
                                              <w:marLeft w:val="0"/>
                                              <w:marRight w:val="0"/>
                                              <w:marTop w:val="0"/>
                                              <w:marBottom w:val="0"/>
                                              <w:divBdr>
                                                <w:top w:val="none" w:sz="0" w:space="0" w:color="auto"/>
                                                <w:left w:val="none" w:sz="0" w:space="0" w:color="auto"/>
                                                <w:bottom w:val="none" w:sz="0" w:space="0" w:color="auto"/>
                                                <w:right w:val="none" w:sz="0" w:space="0" w:color="auto"/>
                                              </w:divBdr>
                                            </w:div>
                                          </w:divsChild>
                                        </w:div>
                                        <w:div w:id="3180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88481">
      <w:bodyDiv w:val="1"/>
      <w:marLeft w:val="0"/>
      <w:marRight w:val="0"/>
      <w:marTop w:val="0"/>
      <w:marBottom w:val="0"/>
      <w:divBdr>
        <w:top w:val="none" w:sz="0" w:space="0" w:color="auto"/>
        <w:left w:val="none" w:sz="0" w:space="0" w:color="auto"/>
        <w:bottom w:val="none" w:sz="0" w:space="0" w:color="auto"/>
        <w:right w:val="none" w:sz="0" w:space="0" w:color="auto"/>
      </w:divBdr>
      <w:divsChild>
        <w:div w:id="1161045649">
          <w:marLeft w:val="0"/>
          <w:marRight w:val="0"/>
          <w:marTop w:val="0"/>
          <w:marBottom w:val="0"/>
          <w:divBdr>
            <w:top w:val="none" w:sz="0" w:space="0" w:color="auto"/>
            <w:left w:val="none" w:sz="0" w:space="0" w:color="auto"/>
            <w:bottom w:val="none" w:sz="0" w:space="0" w:color="auto"/>
            <w:right w:val="none" w:sz="0" w:space="0" w:color="auto"/>
          </w:divBdr>
          <w:divsChild>
            <w:div w:id="1643577462">
              <w:marLeft w:val="0"/>
              <w:marRight w:val="0"/>
              <w:marTop w:val="0"/>
              <w:marBottom w:val="0"/>
              <w:divBdr>
                <w:top w:val="none" w:sz="0" w:space="0" w:color="auto"/>
                <w:left w:val="none" w:sz="0" w:space="0" w:color="auto"/>
                <w:bottom w:val="none" w:sz="0" w:space="0" w:color="auto"/>
                <w:right w:val="none" w:sz="0" w:space="0" w:color="auto"/>
              </w:divBdr>
            </w:div>
            <w:div w:id="708536069">
              <w:marLeft w:val="0"/>
              <w:marRight w:val="0"/>
              <w:marTop w:val="0"/>
              <w:marBottom w:val="0"/>
              <w:divBdr>
                <w:top w:val="none" w:sz="0" w:space="0" w:color="auto"/>
                <w:left w:val="none" w:sz="0" w:space="0" w:color="auto"/>
                <w:bottom w:val="none" w:sz="0" w:space="0" w:color="auto"/>
                <w:right w:val="none" w:sz="0" w:space="0" w:color="auto"/>
              </w:divBdr>
            </w:div>
            <w:div w:id="1244996473">
              <w:marLeft w:val="0"/>
              <w:marRight w:val="0"/>
              <w:marTop w:val="0"/>
              <w:marBottom w:val="0"/>
              <w:divBdr>
                <w:top w:val="none" w:sz="0" w:space="0" w:color="auto"/>
                <w:left w:val="none" w:sz="0" w:space="0" w:color="auto"/>
                <w:bottom w:val="none" w:sz="0" w:space="0" w:color="auto"/>
                <w:right w:val="none" w:sz="0" w:space="0" w:color="auto"/>
              </w:divBdr>
            </w:div>
            <w:div w:id="20766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5493">
      <w:bodyDiv w:val="1"/>
      <w:marLeft w:val="0"/>
      <w:marRight w:val="0"/>
      <w:marTop w:val="0"/>
      <w:marBottom w:val="0"/>
      <w:divBdr>
        <w:top w:val="none" w:sz="0" w:space="0" w:color="auto"/>
        <w:left w:val="none" w:sz="0" w:space="0" w:color="auto"/>
        <w:bottom w:val="none" w:sz="0" w:space="0" w:color="auto"/>
        <w:right w:val="none" w:sz="0" w:space="0" w:color="auto"/>
      </w:divBdr>
      <w:divsChild>
        <w:div w:id="557518666">
          <w:marLeft w:val="0"/>
          <w:marRight w:val="0"/>
          <w:marTop w:val="0"/>
          <w:marBottom w:val="0"/>
          <w:divBdr>
            <w:top w:val="none" w:sz="0" w:space="0" w:color="auto"/>
            <w:left w:val="none" w:sz="0" w:space="0" w:color="auto"/>
            <w:bottom w:val="none" w:sz="0" w:space="0" w:color="auto"/>
            <w:right w:val="none" w:sz="0" w:space="0" w:color="auto"/>
          </w:divBdr>
        </w:div>
      </w:divsChild>
    </w:div>
    <w:div w:id="698316194">
      <w:bodyDiv w:val="1"/>
      <w:marLeft w:val="0"/>
      <w:marRight w:val="0"/>
      <w:marTop w:val="0"/>
      <w:marBottom w:val="0"/>
      <w:divBdr>
        <w:top w:val="none" w:sz="0" w:space="0" w:color="auto"/>
        <w:left w:val="none" w:sz="0" w:space="0" w:color="auto"/>
        <w:bottom w:val="none" w:sz="0" w:space="0" w:color="auto"/>
        <w:right w:val="none" w:sz="0" w:space="0" w:color="auto"/>
      </w:divBdr>
      <w:divsChild>
        <w:div w:id="1146357798">
          <w:marLeft w:val="0"/>
          <w:marRight w:val="0"/>
          <w:marTop w:val="0"/>
          <w:marBottom w:val="0"/>
          <w:divBdr>
            <w:top w:val="none" w:sz="0" w:space="0" w:color="auto"/>
            <w:left w:val="none" w:sz="0" w:space="0" w:color="auto"/>
            <w:bottom w:val="none" w:sz="0" w:space="0" w:color="auto"/>
            <w:right w:val="none" w:sz="0" w:space="0" w:color="auto"/>
          </w:divBdr>
        </w:div>
      </w:divsChild>
    </w:div>
    <w:div w:id="708147936">
      <w:bodyDiv w:val="1"/>
      <w:marLeft w:val="0"/>
      <w:marRight w:val="0"/>
      <w:marTop w:val="0"/>
      <w:marBottom w:val="0"/>
      <w:divBdr>
        <w:top w:val="none" w:sz="0" w:space="0" w:color="auto"/>
        <w:left w:val="none" w:sz="0" w:space="0" w:color="auto"/>
        <w:bottom w:val="none" w:sz="0" w:space="0" w:color="auto"/>
        <w:right w:val="none" w:sz="0" w:space="0" w:color="auto"/>
      </w:divBdr>
      <w:divsChild>
        <w:div w:id="870072776">
          <w:marLeft w:val="0"/>
          <w:marRight w:val="0"/>
          <w:marTop w:val="0"/>
          <w:marBottom w:val="0"/>
          <w:divBdr>
            <w:top w:val="none" w:sz="0" w:space="0" w:color="auto"/>
            <w:left w:val="none" w:sz="0" w:space="0" w:color="auto"/>
            <w:bottom w:val="none" w:sz="0" w:space="0" w:color="auto"/>
            <w:right w:val="none" w:sz="0" w:space="0" w:color="auto"/>
          </w:divBdr>
        </w:div>
      </w:divsChild>
    </w:div>
    <w:div w:id="770588053">
      <w:bodyDiv w:val="1"/>
      <w:marLeft w:val="0"/>
      <w:marRight w:val="0"/>
      <w:marTop w:val="0"/>
      <w:marBottom w:val="0"/>
      <w:divBdr>
        <w:top w:val="none" w:sz="0" w:space="0" w:color="auto"/>
        <w:left w:val="none" w:sz="0" w:space="0" w:color="auto"/>
        <w:bottom w:val="none" w:sz="0" w:space="0" w:color="auto"/>
        <w:right w:val="none" w:sz="0" w:space="0" w:color="auto"/>
      </w:divBdr>
      <w:divsChild>
        <w:div w:id="221409949">
          <w:marLeft w:val="0"/>
          <w:marRight w:val="0"/>
          <w:marTop w:val="0"/>
          <w:marBottom w:val="0"/>
          <w:divBdr>
            <w:top w:val="none" w:sz="0" w:space="0" w:color="auto"/>
            <w:left w:val="none" w:sz="0" w:space="0" w:color="auto"/>
            <w:bottom w:val="none" w:sz="0" w:space="0" w:color="auto"/>
            <w:right w:val="none" w:sz="0" w:space="0" w:color="auto"/>
          </w:divBdr>
        </w:div>
      </w:divsChild>
    </w:div>
    <w:div w:id="844126057">
      <w:bodyDiv w:val="1"/>
      <w:marLeft w:val="0"/>
      <w:marRight w:val="0"/>
      <w:marTop w:val="0"/>
      <w:marBottom w:val="0"/>
      <w:divBdr>
        <w:top w:val="none" w:sz="0" w:space="0" w:color="auto"/>
        <w:left w:val="none" w:sz="0" w:space="0" w:color="auto"/>
        <w:bottom w:val="none" w:sz="0" w:space="0" w:color="auto"/>
        <w:right w:val="none" w:sz="0" w:space="0" w:color="auto"/>
      </w:divBdr>
      <w:divsChild>
        <w:div w:id="1147818072">
          <w:marLeft w:val="0"/>
          <w:marRight w:val="0"/>
          <w:marTop w:val="0"/>
          <w:marBottom w:val="0"/>
          <w:divBdr>
            <w:top w:val="none" w:sz="0" w:space="0" w:color="auto"/>
            <w:left w:val="none" w:sz="0" w:space="0" w:color="auto"/>
            <w:bottom w:val="none" w:sz="0" w:space="0" w:color="auto"/>
            <w:right w:val="none" w:sz="0" w:space="0" w:color="auto"/>
          </w:divBdr>
        </w:div>
        <w:div w:id="1492915539">
          <w:marLeft w:val="0"/>
          <w:marRight w:val="0"/>
          <w:marTop w:val="0"/>
          <w:marBottom w:val="0"/>
          <w:divBdr>
            <w:top w:val="none" w:sz="0" w:space="0" w:color="auto"/>
            <w:left w:val="none" w:sz="0" w:space="0" w:color="auto"/>
            <w:bottom w:val="none" w:sz="0" w:space="0" w:color="auto"/>
            <w:right w:val="none" w:sz="0" w:space="0" w:color="auto"/>
          </w:divBdr>
        </w:div>
      </w:divsChild>
    </w:div>
    <w:div w:id="1139692716">
      <w:bodyDiv w:val="1"/>
      <w:marLeft w:val="0"/>
      <w:marRight w:val="0"/>
      <w:marTop w:val="0"/>
      <w:marBottom w:val="0"/>
      <w:divBdr>
        <w:top w:val="none" w:sz="0" w:space="0" w:color="auto"/>
        <w:left w:val="none" w:sz="0" w:space="0" w:color="auto"/>
        <w:bottom w:val="none" w:sz="0" w:space="0" w:color="auto"/>
        <w:right w:val="none" w:sz="0" w:space="0" w:color="auto"/>
      </w:divBdr>
      <w:divsChild>
        <w:div w:id="2017148878">
          <w:marLeft w:val="0"/>
          <w:marRight w:val="0"/>
          <w:marTop w:val="0"/>
          <w:marBottom w:val="0"/>
          <w:divBdr>
            <w:top w:val="none" w:sz="0" w:space="0" w:color="auto"/>
            <w:left w:val="none" w:sz="0" w:space="0" w:color="auto"/>
            <w:bottom w:val="none" w:sz="0" w:space="0" w:color="auto"/>
            <w:right w:val="none" w:sz="0" w:space="0" w:color="auto"/>
          </w:divBdr>
        </w:div>
        <w:div w:id="1613511052">
          <w:marLeft w:val="0"/>
          <w:marRight w:val="0"/>
          <w:marTop w:val="0"/>
          <w:marBottom w:val="0"/>
          <w:divBdr>
            <w:top w:val="none" w:sz="0" w:space="0" w:color="auto"/>
            <w:left w:val="none" w:sz="0" w:space="0" w:color="auto"/>
            <w:bottom w:val="none" w:sz="0" w:space="0" w:color="auto"/>
            <w:right w:val="none" w:sz="0" w:space="0" w:color="auto"/>
          </w:divBdr>
        </w:div>
      </w:divsChild>
    </w:div>
    <w:div w:id="1156802477">
      <w:bodyDiv w:val="1"/>
      <w:marLeft w:val="0"/>
      <w:marRight w:val="0"/>
      <w:marTop w:val="0"/>
      <w:marBottom w:val="0"/>
      <w:divBdr>
        <w:top w:val="none" w:sz="0" w:space="0" w:color="auto"/>
        <w:left w:val="none" w:sz="0" w:space="0" w:color="auto"/>
        <w:bottom w:val="none" w:sz="0" w:space="0" w:color="auto"/>
        <w:right w:val="none" w:sz="0" w:space="0" w:color="auto"/>
      </w:divBdr>
    </w:div>
    <w:div w:id="1176454751">
      <w:bodyDiv w:val="1"/>
      <w:marLeft w:val="0"/>
      <w:marRight w:val="0"/>
      <w:marTop w:val="0"/>
      <w:marBottom w:val="0"/>
      <w:divBdr>
        <w:top w:val="none" w:sz="0" w:space="0" w:color="auto"/>
        <w:left w:val="none" w:sz="0" w:space="0" w:color="auto"/>
        <w:bottom w:val="none" w:sz="0" w:space="0" w:color="auto"/>
        <w:right w:val="none" w:sz="0" w:space="0" w:color="auto"/>
      </w:divBdr>
      <w:divsChild>
        <w:div w:id="1948998127">
          <w:marLeft w:val="0"/>
          <w:marRight w:val="0"/>
          <w:marTop w:val="0"/>
          <w:marBottom w:val="0"/>
          <w:divBdr>
            <w:top w:val="none" w:sz="0" w:space="0" w:color="auto"/>
            <w:left w:val="none" w:sz="0" w:space="0" w:color="auto"/>
            <w:bottom w:val="none" w:sz="0" w:space="0" w:color="auto"/>
            <w:right w:val="none" w:sz="0" w:space="0" w:color="auto"/>
          </w:divBdr>
          <w:divsChild>
            <w:div w:id="1830780071">
              <w:marLeft w:val="0"/>
              <w:marRight w:val="0"/>
              <w:marTop w:val="0"/>
              <w:marBottom w:val="0"/>
              <w:divBdr>
                <w:top w:val="none" w:sz="0" w:space="0" w:color="auto"/>
                <w:left w:val="none" w:sz="0" w:space="0" w:color="auto"/>
                <w:bottom w:val="none" w:sz="0" w:space="0" w:color="auto"/>
                <w:right w:val="none" w:sz="0" w:space="0" w:color="auto"/>
              </w:divBdr>
            </w:div>
            <w:div w:id="836766599">
              <w:marLeft w:val="0"/>
              <w:marRight w:val="0"/>
              <w:marTop w:val="0"/>
              <w:marBottom w:val="0"/>
              <w:divBdr>
                <w:top w:val="none" w:sz="0" w:space="0" w:color="auto"/>
                <w:left w:val="none" w:sz="0" w:space="0" w:color="auto"/>
                <w:bottom w:val="none" w:sz="0" w:space="0" w:color="auto"/>
                <w:right w:val="none" w:sz="0" w:space="0" w:color="auto"/>
              </w:divBdr>
            </w:div>
            <w:div w:id="1002704700">
              <w:marLeft w:val="0"/>
              <w:marRight w:val="0"/>
              <w:marTop w:val="0"/>
              <w:marBottom w:val="0"/>
              <w:divBdr>
                <w:top w:val="none" w:sz="0" w:space="0" w:color="auto"/>
                <w:left w:val="none" w:sz="0" w:space="0" w:color="auto"/>
                <w:bottom w:val="none" w:sz="0" w:space="0" w:color="auto"/>
                <w:right w:val="none" w:sz="0" w:space="0" w:color="auto"/>
              </w:divBdr>
            </w:div>
          </w:divsChild>
        </w:div>
        <w:div w:id="86123270">
          <w:marLeft w:val="0"/>
          <w:marRight w:val="0"/>
          <w:marTop w:val="0"/>
          <w:marBottom w:val="0"/>
          <w:divBdr>
            <w:top w:val="none" w:sz="0" w:space="0" w:color="auto"/>
            <w:left w:val="none" w:sz="0" w:space="0" w:color="auto"/>
            <w:bottom w:val="none" w:sz="0" w:space="0" w:color="auto"/>
            <w:right w:val="none" w:sz="0" w:space="0" w:color="auto"/>
          </w:divBdr>
          <w:divsChild>
            <w:div w:id="1484196198">
              <w:marLeft w:val="0"/>
              <w:marRight w:val="0"/>
              <w:marTop w:val="0"/>
              <w:marBottom w:val="0"/>
              <w:divBdr>
                <w:top w:val="none" w:sz="0" w:space="0" w:color="auto"/>
                <w:left w:val="none" w:sz="0" w:space="0" w:color="auto"/>
                <w:bottom w:val="none" w:sz="0" w:space="0" w:color="auto"/>
                <w:right w:val="none" w:sz="0" w:space="0" w:color="auto"/>
              </w:divBdr>
            </w:div>
            <w:div w:id="263078793">
              <w:marLeft w:val="0"/>
              <w:marRight w:val="0"/>
              <w:marTop w:val="0"/>
              <w:marBottom w:val="0"/>
              <w:divBdr>
                <w:top w:val="none" w:sz="0" w:space="0" w:color="auto"/>
                <w:left w:val="none" w:sz="0" w:space="0" w:color="auto"/>
                <w:bottom w:val="none" w:sz="0" w:space="0" w:color="auto"/>
                <w:right w:val="none" w:sz="0" w:space="0" w:color="auto"/>
              </w:divBdr>
            </w:div>
            <w:div w:id="1930766980">
              <w:marLeft w:val="0"/>
              <w:marRight w:val="0"/>
              <w:marTop w:val="0"/>
              <w:marBottom w:val="0"/>
              <w:divBdr>
                <w:top w:val="none" w:sz="0" w:space="0" w:color="auto"/>
                <w:left w:val="none" w:sz="0" w:space="0" w:color="auto"/>
                <w:bottom w:val="none" w:sz="0" w:space="0" w:color="auto"/>
                <w:right w:val="none" w:sz="0" w:space="0" w:color="auto"/>
              </w:divBdr>
            </w:div>
            <w:div w:id="226652319">
              <w:marLeft w:val="0"/>
              <w:marRight w:val="0"/>
              <w:marTop w:val="0"/>
              <w:marBottom w:val="0"/>
              <w:divBdr>
                <w:top w:val="none" w:sz="0" w:space="0" w:color="auto"/>
                <w:left w:val="none" w:sz="0" w:space="0" w:color="auto"/>
                <w:bottom w:val="none" w:sz="0" w:space="0" w:color="auto"/>
                <w:right w:val="none" w:sz="0" w:space="0" w:color="auto"/>
              </w:divBdr>
            </w:div>
            <w:div w:id="822311606">
              <w:marLeft w:val="0"/>
              <w:marRight w:val="0"/>
              <w:marTop w:val="0"/>
              <w:marBottom w:val="0"/>
              <w:divBdr>
                <w:top w:val="none" w:sz="0" w:space="0" w:color="auto"/>
                <w:left w:val="none" w:sz="0" w:space="0" w:color="auto"/>
                <w:bottom w:val="none" w:sz="0" w:space="0" w:color="auto"/>
                <w:right w:val="none" w:sz="0" w:space="0" w:color="auto"/>
              </w:divBdr>
            </w:div>
            <w:div w:id="878127093">
              <w:marLeft w:val="0"/>
              <w:marRight w:val="0"/>
              <w:marTop w:val="0"/>
              <w:marBottom w:val="0"/>
              <w:divBdr>
                <w:top w:val="none" w:sz="0" w:space="0" w:color="auto"/>
                <w:left w:val="none" w:sz="0" w:space="0" w:color="auto"/>
                <w:bottom w:val="none" w:sz="0" w:space="0" w:color="auto"/>
                <w:right w:val="none" w:sz="0" w:space="0" w:color="auto"/>
              </w:divBdr>
            </w:div>
            <w:div w:id="1957130123">
              <w:marLeft w:val="0"/>
              <w:marRight w:val="0"/>
              <w:marTop w:val="0"/>
              <w:marBottom w:val="0"/>
              <w:divBdr>
                <w:top w:val="none" w:sz="0" w:space="0" w:color="auto"/>
                <w:left w:val="none" w:sz="0" w:space="0" w:color="auto"/>
                <w:bottom w:val="none" w:sz="0" w:space="0" w:color="auto"/>
                <w:right w:val="none" w:sz="0" w:space="0" w:color="auto"/>
              </w:divBdr>
            </w:div>
            <w:div w:id="1420248332">
              <w:marLeft w:val="0"/>
              <w:marRight w:val="0"/>
              <w:marTop w:val="0"/>
              <w:marBottom w:val="0"/>
              <w:divBdr>
                <w:top w:val="none" w:sz="0" w:space="0" w:color="auto"/>
                <w:left w:val="none" w:sz="0" w:space="0" w:color="auto"/>
                <w:bottom w:val="none" w:sz="0" w:space="0" w:color="auto"/>
                <w:right w:val="none" w:sz="0" w:space="0" w:color="auto"/>
              </w:divBdr>
            </w:div>
            <w:div w:id="1997802641">
              <w:marLeft w:val="0"/>
              <w:marRight w:val="0"/>
              <w:marTop w:val="0"/>
              <w:marBottom w:val="0"/>
              <w:divBdr>
                <w:top w:val="none" w:sz="0" w:space="0" w:color="auto"/>
                <w:left w:val="none" w:sz="0" w:space="0" w:color="auto"/>
                <w:bottom w:val="none" w:sz="0" w:space="0" w:color="auto"/>
                <w:right w:val="none" w:sz="0" w:space="0" w:color="auto"/>
              </w:divBdr>
            </w:div>
            <w:div w:id="555317510">
              <w:marLeft w:val="0"/>
              <w:marRight w:val="0"/>
              <w:marTop w:val="0"/>
              <w:marBottom w:val="0"/>
              <w:divBdr>
                <w:top w:val="none" w:sz="0" w:space="0" w:color="auto"/>
                <w:left w:val="none" w:sz="0" w:space="0" w:color="auto"/>
                <w:bottom w:val="none" w:sz="0" w:space="0" w:color="auto"/>
                <w:right w:val="none" w:sz="0" w:space="0" w:color="auto"/>
              </w:divBdr>
            </w:div>
            <w:div w:id="2080133242">
              <w:marLeft w:val="0"/>
              <w:marRight w:val="0"/>
              <w:marTop w:val="0"/>
              <w:marBottom w:val="0"/>
              <w:divBdr>
                <w:top w:val="none" w:sz="0" w:space="0" w:color="auto"/>
                <w:left w:val="none" w:sz="0" w:space="0" w:color="auto"/>
                <w:bottom w:val="none" w:sz="0" w:space="0" w:color="auto"/>
                <w:right w:val="none" w:sz="0" w:space="0" w:color="auto"/>
              </w:divBdr>
            </w:div>
          </w:divsChild>
        </w:div>
        <w:div w:id="547299571">
          <w:marLeft w:val="0"/>
          <w:marRight w:val="0"/>
          <w:marTop w:val="0"/>
          <w:marBottom w:val="0"/>
          <w:divBdr>
            <w:top w:val="none" w:sz="0" w:space="0" w:color="auto"/>
            <w:left w:val="none" w:sz="0" w:space="0" w:color="auto"/>
            <w:bottom w:val="none" w:sz="0" w:space="0" w:color="auto"/>
            <w:right w:val="none" w:sz="0" w:space="0" w:color="auto"/>
          </w:divBdr>
        </w:div>
        <w:div w:id="441268990">
          <w:marLeft w:val="0"/>
          <w:marRight w:val="0"/>
          <w:marTop w:val="0"/>
          <w:marBottom w:val="0"/>
          <w:divBdr>
            <w:top w:val="none" w:sz="0" w:space="0" w:color="auto"/>
            <w:left w:val="none" w:sz="0" w:space="0" w:color="auto"/>
            <w:bottom w:val="none" w:sz="0" w:space="0" w:color="auto"/>
            <w:right w:val="none" w:sz="0" w:space="0" w:color="auto"/>
          </w:divBdr>
        </w:div>
      </w:divsChild>
    </w:div>
    <w:div w:id="1252085741">
      <w:bodyDiv w:val="1"/>
      <w:marLeft w:val="0"/>
      <w:marRight w:val="0"/>
      <w:marTop w:val="0"/>
      <w:marBottom w:val="0"/>
      <w:divBdr>
        <w:top w:val="none" w:sz="0" w:space="0" w:color="auto"/>
        <w:left w:val="none" w:sz="0" w:space="0" w:color="auto"/>
        <w:bottom w:val="none" w:sz="0" w:space="0" w:color="auto"/>
        <w:right w:val="none" w:sz="0" w:space="0" w:color="auto"/>
      </w:divBdr>
    </w:div>
    <w:div w:id="1280913101">
      <w:bodyDiv w:val="1"/>
      <w:marLeft w:val="0"/>
      <w:marRight w:val="0"/>
      <w:marTop w:val="0"/>
      <w:marBottom w:val="0"/>
      <w:divBdr>
        <w:top w:val="none" w:sz="0" w:space="0" w:color="auto"/>
        <w:left w:val="none" w:sz="0" w:space="0" w:color="auto"/>
        <w:bottom w:val="none" w:sz="0" w:space="0" w:color="auto"/>
        <w:right w:val="none" w:sz="0" w:space="0" w:color="auto"/>
      </w:divBdr>
    </w:div>
    <w:div w:id="1288393924">
      <w:bodyDiv w:val="1"/>
      <w:marLeft w:val="0"/>
      <w:marRight w:val="0"/>
      <w:marTop w:val="0"/>
      <w:marBottom w:val="0"/>
      <w:divBdr>
        <w:top w:val="none" w:sz="0" w:space="0" w:color="auto"/>
        <w:left w:val="none" w:sz="0" w:space="0" w:color="auto"/>
        <w:bottom w:val="none" w:sz="0" w:space="0" w:color="auto"/>
        <w:right w:val="none" w:sz="0" w:space="0" w:color="auto"/>
      </w:divBdr>
      <w:divsChild>
        <w:div w:id="851842421">
          <w:marLeft w:val="0"/>
          <w:marRight w:val="0"/>
          <w:marTop w:val="0"/>
          <w:marBottom w:val="0"/>
          <w:divBdr>
            <w:top w:val="none" w:sz="0" w:space="0" w:color="auto"/>
            <w:left w:val="none" w:sz="0" w:space="0" w:color="auto"/>
            <w:bottom w:val="none" w:sz="0" w:space="0" w:color="auto"/>
            <w:right w:val="none" w:sz="0" w:space="0" w:color="auto"/>
          </w:divBdr>
        </w:div>
        <w:div w:id="825121724">
          <w:marLeft w:val="0"/>
          <w:marRight w:val="0"/>
          <w:marTop w:val="0"/>
          <w:marBottom w:val="0"/>
          <w:divBdr>
            <w:top w:val="none" w:sz="0" w:space="0" w:color="auto"/>
            <w:left w:val="none" w:sz="0" w:space="0" w:color="auto"/>
            <w:bottom w:val="none" w:sz="0" w:space="0" w:color="auto"/>
            <w:right w:val="none" w:sz="0" w:space="0" w:color="auto"/>
          </w:divBdr>
        </w:div>
      </w:divsChild>
    </w:div>
    <w:div w:id="1357468588">
      <w:bodyDiv w:val="1"/>
      <w:marLeft w:val="0"/>
      <w:marRight w:val="0"/>
      <w:marTop w:val="0"/>
      <w:marBottom w:val="0"/>
      <w:divBdr>
        <w:top w:val="none" w:sz="0" w:space="0" w:color="auto"/>
        <w:left w:val="none" w:sz="0" w:space="0" w:color="auto"/>
        <w:bottom w:val="none" w:sz="0" w:space="0" w:color="auto"/>
        <w:right w:val="none" w:sz="0" w:space="0" w:color="auto"/>
      </w:divBdr>
    </w:div>
    <w:div w:id="1366515970">
      <w:bodyDiv w:val="1"/>
      <w:marLeft w:val="0"/>
      <w:marRight w:val="0"/>
      <w:marTop w:val="0"/>
      <w:marBottom w:val="0"/>
      <w:divBdr>
        <w:top w:val="none" w:sz="0" w:space="0" w:color="auto"/>
        <w:left w:val="none" w:sz="0" w:space="0" w:color="auto"/>
        <w:bottom w:val="none" w:sz="0" w:space="0" w:color="auto"/>
        <w:right w:val="none" w:sz="0" w:space="0" w:color="auto"/>
      </w:divBdr>
      <w:divsChild>
        <w:div w:id="1436171400">
          <w:marLeft w:val="0"/>
          <w:marRight w:val="0"/>
          <w:marTop w:val="0"/>
          <w:marBottom w:val="0"/>
          <w:divBdr>
            <w:top w:val="none" w:sz="0" w:space="0" w:color="auto"/>
            <w:left w:val="none" w:sz="0" w:space="0" w:color="auto"/>
            <w:bottom w:val="none" w:sz="0" w:space="0" w:color="auto"/>
            <w:right w:val="none" w:sz="0" w:space="0" w:color="auto"/>
          </w:divBdr>
        </w:div>
      </w:divsChild>
    </w:div>
    <w:div w:id="1390766739">
      <w:bodyDiv w:val="1"/>
      <w:marLeft w:val="0"/>
      <w:marRight w:val="0"/>
      <w:marTop w:val="0"/>
      <w:marBottom w:val="0"/>
      <w:divBdr>
        <w:top w:val="none" w:sz="0" w:space="0" w:color="auto"/>
        <w:left w:val="none" w:sz="0" w:space="0" w:color="auto"/>
        <w:bottom w:val="none" w:sz="0" w:space="0" w:color="auto"/>
        <w:right w:val="none" w:sz="0" w:space="0" w:color="auto"/>
      </w:divBdr>
      <w:divsChild>
        <w:div w:id="1854148305">
          <w:marLeft w:val="0"/>
          <w:marRight w:val="0"/>
          <w:marTop w:val="0"/>
          <w:marBottom w:val="0"/>
          <w:divBdr>
            <w:top w:val="none" w:sz="0" w:space="0" w:color="auto"/>
            <w:left w:val="none" w:sz="0" w:space="0" w:color="auto"/>
            <w:bottom w:val="none" w:sz="0" w:space="0" w:color="auto"/>
            <w:right w:val="none" w:sz="0" w:space="0" w:color="auto"/>
          </w:divBdr>
        </w:div>
        <w:div w:id="1997880660">
          <w:marLeft w:val="0"/>
          <w:marRight w:val="0"/>
          <w:marTop w:val="0"/>
          <w:marBottom w:val="0"/>
          <w:divBdr>
            <w:top w:val="none" w:sz="0" w:space="0" w:color="auto"/>
            <w:left w:val="none" w:sz="0" w:space="0" w:color="auto"/>
            <w:bottom w:val="none" w:sz="0" w:space="0" w:color="auto"/>
            <w:right w:val="none" w:sz="0" w:space="0" w:color="auto"/>
          </w:divBdr>
        </w:div>
        <w:div w:id="1722097932">
          <w:marLeft w:val="0"/>
          <w:marRight w:val="0"/>
          <w:marTop w:val="0"/>
          <w:marBottom w:val="0"/>
          <w:divBdr>
            <w:top w:val="none" w:sz="0" w:space="0" w:color="auto"/>
            <w:left w:val="none" w:sz="0" w:space="0" w:color="auto"/>
            <w:bottom w:val="none" w:sz="0" w:space="0" w:color="auto"/>
            <w:right w:val="none" w:sz="0" w:space="0" w:color="auto"/>
          </w:divBdr>
        </w:div>
      </w:divsChild>
    </w:div>
    <w:div w:id="1608779796">
      <w:bodyDiv w:val="1"/>
      <w:marLeft w:val="0"/>
      <w:marRight w:val="0"/>
      <w:marTop w:val="0"/>
      <w:marBottom w:val="0"/>
      <w:divBdr>
        <w:top w:val="none" w:sz="0" w:space="0" w:color="auto"/>
        <w:left w:val="none" w:sz="0" w:space="0" w:color="auto"/>
        <w:bottom w:val="none" w:sz="0" w:space="0" w:color="auto"/>
        <w:right w:val="none" w:sz="0" w:space="0" w:color="auto"/>
      </w:divBdr>
    </w:div>
    <w:div w:id="1686322693">
      <w:bodyDiv w:val="1"/>
      <w:marLeft w:val="0"/>
      <w:marRight w:val="0"/>
      <w:marTop w:val="0"/>
      <w:marBottom w:val="0"/>
      <w:divBdr>
        <w:top w:val="none" w:sz="0" w:space="0" w:color="auto"/>
        <w:left w:val="none" w:sz="0" w:space="0" w:color="auto"/>
        <w:bottom w:val="none" w:sz="0" w:space="0" w:color="auto"/>
        <w:right w:val="none" w:sz="0" w:space="0" w:color="auto"/>
      </w:divBdr>
    </w:div>
    <w:div w:id="1693920574">
      <w:bodyDiv w:val="1"/>
      <w:marLeft w:val="0"/>
      <w:marRight w:val="0"/>
      <w:marTop w:val="0"/>
      <w:marBottom w:val="0"/>
      <w:divBdr>
        <w:top w:val="none" w:sz="0" w:space="0" w:color="auto"/>
        <w:left w:val="none" w:sz="0" w:space="0" w:color="auto"/>
        <w:bottom w:val="none" w:sz="0" w:space="0" w:color="auto"/>
        <w:right w:val="none" w:sz="0" w:space="0" w:color="auto"/>
      </w:divBdr>
    </w:div>
    <w:div w:id="1744833996">
      <w:bodyDiv w:val="1"/>
      <w:marLeft w:val="0"/>
      <w:marRight w:val="0"/>
      <w:marTop w:val="0"/>
      <w:marBottom w:val="0"/>
      <w:divBdr>
        <w:top w:val="none" w:sz="0" w:space="0" w:color="auto"/>
        <w:left w:val="none" w:sz="0" w:space="0" w:color="auto"/>
        <w:bottom w:val="none" w:sz="0" w:space="0" w:color="auto"/>
        <w:right w:val="none" w:sz="0" w:space="0" w:color="auto"/>
      </w:divBdr>
    </w:div>
    <w:div w:id="1847553823">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666194">
      <w:bodyDiv w:val="1"/>
      <w:marLeft w:val="0"/>
      <w:marRight w:val="0"/>
      <w:marTop w:val="0"/>
      <w:marBottom w:val="0"/>
      <w:divBdr>
        <w:top w:val="none" w:sz="0" w:space="0" w:color="auto"/>
        <w:left w:val="none" w:sz="0" w:space="0" w:color="auto"/>
        <w:bottom w:val="none" w:sz="0" w:space="0" w:color="auto"/>
        <w:right w:val="none" w:sz="0" w:space="0" w:color="auto"/>
      </w:divBdr>
    </w:div>
    <w:div w:id="2133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2K19SRV\AUDfIT_Redaktion\AUD_61_Ablauforganisation\AUD_QMA_61_G_Redaktionsarbeit\_1%20Handbuch\AUD_61_G_Redaktionsarbeit%20FORTLAUFEND\G_4._Skriptentwicklung\G_4._ANLAGENBAND\_320_Muster_JAE-JAP_Sachverhalt,%20Fr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50DB6D50-49E6-4AAF-889A-3E29428C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_320_Muster_JAE-JAP_Sachverhalt, Frage.dotx</Template>
  <TotalTime>0</TotalTime>
  <Pages>2</Pages>
  <Words>415</Words>
  <Characters>2963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Klein, Paula - LÖSLE</dc:creator>
  <cp:lastModifiedBy>Koch, Anja - AUDfIT</cp:lastModifiedBy>
  <cp:revision>3</cp:revision>
  <cp:lastPrinted>2025-10-09T11:44:00Z</cp:lastPrinted>
  <dcterms:created xsi:type="dcterms:W3CDTF">2025-10-01T07:01:00Z</dcterms:created>
  <dcterms:modified xsi:type="dcterms:W3CDTF">2025-10-09T11:47:00Z</dcterms:modified>
</cp:coreProperties>
</file>