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rsidTr="00CA64ED">
        <w:trPr>
          <w:cantSplit/>
          <w:trHeight w:val="830"/>
        </w:trPr>
        <w:tc>
          <w:tcPr>
            <w:tcW w:w="8648" w:type="dxa"/>
            <w:tcBorders>
              <w:right w:val="nil"/>
            </w:tcBorders>
            <w:shd w:val="clear" w:color="auto" w:fill="CCECFF"/>
            <w:tcMar>
              <w:top w:w="113" w:type="dxa"/>
              <w:bottom w:w="113" w:type="dxa"/>
            </w:tcMar>
            <w:vAlign w:val="center"/>
          </w:tcPr>
          <w:p w:rsidR="000773A3" w:rsidRDefault="00E55C6E" w:rsidP="001A6337">
            <w:pPr>
              <w:pStyle w:val="berschrift1"/>
              <w:numPr>
                <w:ilvl w:val="0"/>
                <w:numId w:val="0"/>
              </w:numPr>
              <w:rPr>
                <w:rFonts w:ascii="Century Gothic" w:hAnsi="Century Gothic"/>
                <w:color w:val="00B0F0"/>
                <w:sz w:val="28"/>
              </w:rPr>
            </w:pPr>
            <w:r>
              <w:rPr>
                <w:rFonts w:ascii="Century Gothic" w:hAnsi="Century Gothic"/>
                <w:color w:val="00B0F0"/>
                <w:sz w:val="28"/>
              </w:rPr>
              <w:t>P</w:t>
            </w:r>
            <w:r w:rsidR="00885CEC">
              <w:rPr>
                <w:rFonts w:ascii="Century Gothic" w:hAnsi="Century Gothic"/>
                <w:color w:val="00B0F0"/>
                <w:sz w:val="28"/>
              </w:rPr>
              <w:t>raxisfragen</w:t>
            </w:r>
          </w:p>
          <w:p w:rsidR="00AF76A2" w:rsidRPr="007D6927" w:rsidRDefault="00885CEC" w:rsidP="001A6337">
            <w:pPr>
              <w:pStyle w:val="berschrift1"/>
              <w:numPr>
                <w:ilvl w:val="0"/>
                <w:numId w:val="0"/>
              </w:numPr>
              <w:rPr>
                <w:rFonts w:ascii="Century Gothic" w:hAnsi="Century Gothic"/>
                <w:sz w:val="28"/>
              </w:rPr>
            </w:pPr>
            <w:r>
              <w:rPr>
                <w:rFonts w:ascii="Century Gothic" w:hAnsi="Century Gothic"/>
                <w:color w:val="00B0F0"/>
                <w:sz w:val="28"/>
              </w:rPr>
              <w:t>Themenbereich</w:t>
            </w:r>
            <w:r w:rsidR="00B50770" w:rsidRPr="00280D52">
              <w:rPr>
                <w:rFonts w:ascii="Century Gothic" w:hAnsi="Century Gothic"/>
                <w:color w:val="00B0F0"/>
                <w:sz w:val="28"/>
              </w:rPr>
              <w:t xml:space="preserve"> </w:t>
            </w:r>
            <w:r w:rsidR="00480A8A">
              <w:rPr>
                <w:rFonts w:ascii="Century Gothic" w:hAnsi="Century Gothic"/>
                <w:color w:val="00B0F0"/>
                <w:sz w:val="28"/>
              </w:rPr>
              <w:t>3</w:t>
            </w:r>
            <w:r w:rsidR="003A7861" w:rsidRPr="00280D52">
              <w:rPr>
                <w:rFonts w:ascii="Century Gothic" w:hAnsi="Century Gothic"/>
                <w:color w:val="00B0F0"/>
                <w:sz w:val="28"/>
              </w:rPr>
              <w:t>:</w:t>
            </w:r>
            <w:r w:rsidR="005E0577" w:rsidRPr="00280D52">
              <w:rPr>
                <w:rFonts w:ascii="Century Gothic" w:hAnsi="Century Gothic"/>
                <w:color w:val="00B0F0"/>
                <w:sz w:val="28"/>
              </w:rPr>
              <w:t xml:space="preserve"> </w:t>
            </w:r>
            <w:r w:rsidR="00480A8A">
              <w:rPr>
                <w:rFonts w:ascii="Century Gothic" w:hAnsi="Century Gothic"/>
                <w:b w:val="0"/>
                <w:color w:val="00B0F0"/>
                <w:sz w:val="28"/>
              </w:rPr>
              <w:t>Bilanzierung immaterielle Vermögensgegenstände und Sachanlagevermögen</w:t>
            </w:r>
          </w:p>
        </w:tc>
        <w:tc>
          <w:tcPr>
            <w:tcW w:w="424" w:type="dxa"/>
            <w:tcBorders>
              <w:top w:val="nil"/>
              <w:left w:val="nil"/>
              <w:bottom w:val="nil"/>
            </w:tcBorders>
            <w:shd w:val="clear" w:color="auto" w:fill="CCECFF"/>
            <w:textDirection w:val="btLr"/>
            <w:vAlign w:val="center"/>
          </w:tcPr>
          <w:p w:rsidR="00AF76A2" w:rsidRPr="00B34064" w:rsidRDefault="00B50770" w:rsidP="00AF76A2">
            <w:pPr>
              <w:pStyle w:val="berschrift1"/>
              <w:numPr>
                <w:ilvl w:val="0"/>
                <w:numId w:val="0"/>
              </w:numPr>
              <w:ind w:left="113" w:right="113"/>
              <w:jc w:val="center"/>
              <w:rPr>
                <w:rFonts w:ascii="Century Gothic" w:hAnsi="Century Gothic"/>
                <w:b w:val="0"/>
                <w:sz w:val="28"/>
              </w:rPr>
            </w:pPr>
            <w:r w:rsidRPr="00885CEC">
              <w:rPr>
                <w:rFonts w:ascii="Century Gothic" w:hAnsi="Century Gothic"/>
                <w:b w:val="0"/>
                <w:color w:val="00B0F0"/>
                <w:sz w:val="12"/>
                <w:shd w:val="clear" w:color="auto" w:fill="00B0F0"/>
              </w:rPr>
              <w:t>0</w:t>
            </w:r>
            <w:r w:rsidR="00885CEC" w:rsidRPr="00885CEC">
              <w:rPr>
                <w:rFonts w:ascii="Century Gothic" w:hAnsi="Century Gothic"/>
                <w:b w:val="0"/>
                <w:color w:val="00B0F0"/>
                <w:sz w:val="12"/>
                <w:shd w:val="clear" w:color="auto" w:fill="00B0F0"/>
              </w:rPr>
              <w:t>7</w:t>
            </w:r>
            <w:r w:rsidR="00AF76A2" w:rsidRPr="00885CEC">
              <w:rPr>
                <w:rFonts w:ascii="Century Gothic" w:hAnsi="Century Gothic"/>
                <w:b w:val="0"/>
                <w:color w:val="00B0F0"/>
                <w:sz w:val="12"/>
                <w:shd w:val="clear" w:color="auto" w:fill="00B0F0"/>
              </w:rPr>
              <w:t>/202</w:t>
            </w:r>
            <w:r w:rsidR="00885CEC" w:rsidRPr="00885CEC">
              <w:rPr>
                <w:rFonts w:ascii="Century Gothic" w:hAnsi="Century Gothic"/>
                <w:b w:val="0"/>
                <w:color w:val="00B0F0"/>
                <w:sz w:val="12"/>
                <w:shd w:val="clear" w:color="auto" w:fill="00B0F0"/>
              </w:rPr>
              <w:t>5</w:t>
            </w:r>
          </w:p>
        </w:tc>
      </w:tr>
    </w:tbl>
    <w:p w:rsidR="00F3121A" w:rsidRPr="00354556" w:rsidRDefault="00F3121A" w:rsidP="008A5560">
      <w:pPr>
        <w:spacing w:before="0"/>
        <w:rPr>
          <w:sz w:val="24"/>
          <w:szCs w:val="28"/>
        </w:rPr>
      </w:pPr>
    </w:p>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0773A3" w:rsidRPr="00E65739" w:rsidTr="001374FD">
        <w:tc>
          <w:tcPr>
            <w:tcW w:w="7767" w:type="dxa"/>
            <w:tcBorders>
              <w:top w:val="single" w:sz="4" w:space="0" w:color="auto"/>
              <w:right w:val="single" w:sz="4" w:space="0" w:color="FFFFFF"/>
            </w:tcBorders>
            <w:shd w:val="clear" w:color="auto" w:fill="D9D9D9" w:themeFill="background1" w:themeFillShade="D9"/>
          </w:tcPr>
          <w:p w:rsidR="00885CEC" w:rsidRPr="00E65739" w:rsidRDefault="00885CEC" w:rsidP="00885CEC">
            <w:pPr>
              <w:spacing w:before="0"/>
              <w:rPr>
                <w:b/>
                <w:sz w:val="24"/>
                <w:szCs w:val="28"/>
              </w:rPr>
            </w:pPr>
            <w:bookmarkStart w:id="0" w:name="_Hlk203041342"/>
            <w:r>
              <w:rPr>
                <w:b/>
                <w:sz w:val="24"/>
                <w:szCs w:val="28"/>
              </w:rPr>
              <w:t>Frage 1</w:t>
            </w:r>
          </w:p>
        </w:tc>
        <w:tc>
          <w:tcPr>
            <w:tcW w:w="624" w:type="dxa"/>
            <w:tcBorders>
              <w:top w:val="single" w:sz="4" w:space="0" w:color="auto"/>
              <w:left w:val="single" w:sz="4" w:space="0" w:color="FFFFFF"/>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Nein</w:t>
            </w:r>
          </w:p>
        </w:tc>
      </w:tr>
      <w:tr w:rsidR="00480A8A" w:rsidRPr="00E65739" w:rsidTr="000773A3">
        <w:trPr>
          <w:gridAfter w:val="2"/>
          <w:wAfter w:w="1280" w:type="dxa"/>
        </w:trPr>
        <w:tc>
          <w:tcPr>
            <w:tcW w:w="7767" w:type="dxa"/>
            <w:shd w:val="clear" w:color="auto" w:fill="auto"/>
            <w:vAlign w:val="center"/>
          </w:tcPr>
          <w:p w:rsidR="00480A8A" w:rsidRPr="00B86895" w:rsidRDefault="00480A8A" w:rsidP="00480A8A">
            <w:pPr>
              <w:spacing w:before="0"/>
              <w:rPr>
                <w:szCs w:val="22"/>
              </w:rPr>
            </w:pPr>
            <w:r w:rsidRPr="00480A8A">
              <w:rPr>
                <w:szCs w:val="22"/>
              </w:rPr>
              <w:t>In 2018 wurde eine Individualsoftware (&gt; 5.000 € - Erweiterung über den ursprünglichen Zustand hinaus) hergestellt und aktiviert, die zwei Jahre später modifiziert wird. Die Bearbeitung der Modifikation wird von eigenen Angestellten gemeinsam mit Mitarbeitern eines Softwareunternehmens vorgenommen, wobei die eigenen Angestellten nur zuarbeiten.</w:t>
            </w:r>
          </w:p>
        </w:tc>
      </w:tr>
      <w:bookmarkEnd w:id="0"/>
      <w:tr w:rsidR="000773A3" w:rsidRPr="00E65739" w:rsidTr="000773A3">
        <w:trPr>
          <w:gridAfter w:val="2"/>
          <w:wAfter w:w="1280" w:type="dxa"/>
        </w:trPr>
        <w:tc>
          <w:tcPr>
            <w:tcW w:w="7767" w:type="dxa"/>
            <w:shd w:val="clear" w:color="auto" w:fill="auto"/>
            <w:vAlign w:val="center"/>
          </w:tcPr>
          <w:p w:rsidR="00885CEC" w:rsidRDefault="00480A8A" w:rsidP="00885CEC">
            <w:pPr>
              <w:spacing w:before="0"/>
              <w:jc w:val="left"/>
              <w:rPr>
                <w:b/>
                <w:sz w:val="24"/>
                <w:szCs w:val="28"/>
              </w:rPr>
            </w:pPr>
            <w:r w:rsidRPr="00480A8A">
              <w:rPr>
                <w:szCs w:val="22"/>
              </w:rPr>
              <w:t>Wie sind die Aufwendungen des Jahres zu bewerten?</w:t>
            </w:r>
          </w:p>
        </w:tc>
      </w:tr>
      <w:tr w:rsidR="000773A3" w:rsidRPr="00E65739" w:rsidTr="000773A3">
        <w:tc>
          <w:tcPr>
            <w:tcW w:w="7767" w:type="dxa"/>
            <w:shd w:val="clear" w:color="auto" w:fill="auto"/>
            <w:vAlign w:val="center"/>
          </w:tcPr>
          <w:p w:rsidR="00885CEC" w:rsidRPr="001F3BFE" w:rsidRDefault="00480A8A" w:rsidP="000773A3">
            <w:pPr>
              <w:pStyle w:val="Listenabsatz"/>
              <w:numPr>
                <w:ilvl w:val="0"/>
                <w:numId w:val="24"/>
              </w:numPr>
              <w:spacing w:before="0"/>
              <w:ind w:left="454" w:hanging="425"/>
              <w:jc w:val="left"/>
            </w:pPr>
            <w:r w:rsidRPr="00480A8A">
              <w:t>Es besteht ein Aktivierungsgebot, da die in 2018 hergestellte Individualsoftware aktiviert wurde.</w:t>
            </w:r>
          </w:p>
        </w:tc>
        <w:tc>
          <w:tcPr>
            <w:tcW w:w="624" w:type="dxa"/>
            <w:shd w:val="clear" w:color="auto" w:fill="auto"/>
            <w:vAlign w:val="center"/>
          </w:tcPr>
          <w:p w:rsidR="00885CEC" w:rsidRDefault="00E55C6E"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480A8A"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Pr="001F3BFE" w:rsidRDefault="00480A8A" w:rsidP="000773A3">
            <w:pPr>
              <w:pStyle w:val="Listenabsatz"/>
              <w:numPr>
                <w:ilvl w:val="0"/>
                <w:numId w:val="24"/>
              </w:numPr>
              <w:spacing w:before="0"/>
              <w:ind w:left="454" w:hanging="425"/>
              <w:jc w:val="left"/>
            </w:pPr>
            <w:r w:rsidRPr="00480A8A">
              <w:t>Es besteht ein Aktivierungswahlrecht, da sowohl eigene Angestellte und auch fremde Personen eingebunden sind.</w:t>
            </w:r>
          </w:p>
        </w:tc>
        <w:tc>
          <w:tcPr>
            <w:tcW w:w="624" w:type="dxa"/>
            <w:shd w:val="clear" w:color="auto" w:fill="auto"/>
            <w:vAlign w:val="center"/>
          </w:tcPr>
          <w:p w:rsidR="00885CEC" w:rsidRDefault="0091405A"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E55C6E"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Default="00480A8A" w:rsidP="000773A3">
            <w:pPr>
              <w:pStyle w:val="Listenabsatz"/>
              <w:numPr>
                <w:ilvl w:val="0"/>
                <w:numId w:val="24"/>
              </w:numPr>
              <w:spacing w:before="0"/>
              <w:ind w:left="454" w:hanging="425"/>
              <w:jc w:val="left"/>
            </w:pPr>
            <w:r w:rsidRPr="00480A8A">
              <w:t>Es handelt sich um einen neuen Vermögensgegenstand.</w:t>
            </w:r>
          </w:p>
        </w:tc>
        <w:tc>
          <w:tcPr>
            <w:tcW w:w="624" w:type="dxa"/>
            <w:shd w:val="clear" w:color="auto" w:fill="auto"/>
            <w:vAlign w:val="center"/>
          </w:tcPr>
          <w:p w:rsidR="00885CEC" w:rsidRDefault="00480A8A"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E55C6E" w:rsidP="00885CEC">
            <w:pPr>
              <w:spacing w:before="0"/>
              <w:jc w:val="center"/>
              <w:rPr>
                <w:b/>
                <w:sz w:val="24"/>
                <w:szCs w:val="28"/>
              </w:rPr>
            </w:pPr>
            <w:r>
              <w:rPr>
                <w:rFonts w:ascii="Wingdings" w:hAnsi="Wingdings" w:cs="Wingdings"/>
                <w:sz w:val="26"/>
                <w:szCs w:val="26"/>
              </w:rPr>
              <w:t></w:t>
            </w:r>
          </w:p>
        </w:tc>
      </w:tr>
      <w:tr w:rsidR="00B86895" w:rsidRPr="00E65739" w:rsidTr="000773A3">
        <w:tc>
          <w:tcPr>
            <w:tcW w:w="7767" w:type="dxa"/>
            <w:shd w:val="clear" w:color="auto" w:fill="auto"/>
            <w:vAlign w:val="center"/>
          </w:tcPr>
          <w:p w:rsidR="00B86895" w:rsidRPr="001F3BFE" w:rsidRDefault="00480A8A" w:rsidP="000773A3">
            <w:pPr>
              <w:pStyle w:val="Listenabsatz"/>
              <w:numPr>
                <w:ilvl w:val="0"/>
                <w:numId w:val="24"/>
              </w:numPr>
              <w:spacing w:before="0"/>
              <w:ind w:left="454" w:hanging="425"/>
              <w:jc w:val="left"/>
            </w:pPr>
            <w:r w:rsidRPr="00480A8A">
              <w:t>Es besteht ein Aktivierungsverbot, für die Aufwendungen der eigenen Angestellten.</w:t>
            </w:r>
          </w:p>
        </w:tc>
        <w:tc>
          <w:tcPr>
            <w:tcW w:w="624" w:type="dxa"/>
            <w:shd w:val="clear" w:color="auto" w:fill="auto"/>
            <w:vAlign w:val="center"/>
          </w:tcPr>
          <w:p w:rsidR="00B86895" w:rsidRDefault="00B86895" w:rsidP="00885CEC">
            <w:pPr>
              <w:spacing w:before="0"/>
              <w:jc w:val="center"/>
              <w:rPr>
                <w:rFonts w:ascii="Wingdings" w:hAnsi="Wingdings" w:cs="Wingdings"/>
                <w:sz w:val="26"/>
                <w:szCs w:val="26"/>
              </w:rPr>
            </w:pPr>
            <w:r>
              <w:rPr>
                <w:rFonts w:ascii="Wingdings" w:hAnsi="Wingdings" w:cs="Wingdings"/>
                <w:sz w:val="26"/>
                <w:szCs w:val="26"/>
              </w:rPr>
              <w:t></w:t>
            </w:r>
          </w:p>
        </w:tc>
        <w:tc>
          <w:tcPr>
            <w:tcW w:w="656" w:type="dxa"/>
            <w:shd w:val="clear" w:color="auto" w:fill="auto"/>
            <w:vAlign w:val="center"/>
          </w:tcPr>
          <w:p w:rsidR="00B86895" w:rsidRDefault="00E55C6E" w:rsidP="00885CEC">
            <w:pPr>
              <w:spacing w:before="0"/>
              <w:jc w:val="center"/>
              <w:rPr>
                <w:rFonts w:ascii="Wingdings" w:hAnsi="Wingdings" w:cs="Wingdings"/>
                <w:sz w:val="26"/>
                <w:szCs w:val="26"/>
              </w:rPr>
            </w:pPr>
            <w:r>
              <w:rPr>
                <w:rFonts w:ascii="Wingdings" w:hAnsi="Wingdings" w:cs="Wingdings"/>
                <w:sz w:val="26"/>
                <w:szCs w:val="26"/>
              </w:rPr>
              <w:t></w:t>
            </w:r>
          </w:p>
        </w:tc>
      </w:tr>
    </w:tbl>
    <w:p w:rsidR="002C1895" w:rsidRDefault="002C1895"/>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B929CA" w:rsidRPr="00E65739" w:rsidTr="00C2478A">
        <w:tc>
          <w:tcPr>
            <w:tcW w:w="7767" w:type="dxa"/>
            <w:tcBorders>
              <w:top w:val="single" w:sz="4" w:space="0" w:color="auto"/>
              <w:right w:val="single" w:sz="4" w:space="0" w:color="FFFFFF"/>
            </w:tcBorders>
            <w:shd w:val="clear" w:color="auto" w:fill="D9D9D9" w:themeFill="background1" w:themeFillShade="D9"/>
          </w:tcPr>
          <w:p w:rsidR="00B929CA" w:rsidRPr="00E65739" w:rsidRDefault="00B929CA" w:rsidP="00C2478A">
            <w:pPr>
              <w:spacing w:before="0"/>
              <w:rPr>
                <w:b/>
                <w:sz w:val="24"/>
                <w:szCs w:val="28"/>
              </w:rPr>
            </w:pPr>
            <w:r>
              <w:rPr>
                <w:b/>
                <w:sz w:val="24"/>
                <w:szCs w:val="28"/>
              </w:rPr>
              <w:t>Frage 2</w:t>
            </w:r>
          </w:p>
        </w:tc>
        <w:tc>
          <w:tcPr>
            <w:tcW w:w="624" w:type="dxa"/>
            <w:tcBorders>
              <w:top w:val="single" w:sz="4" w:space="0" w:color="auto"/>
              <w:left w:val="single" w:sz="4" w:space="0" w:color="FFFFFF"/>
            </w:tcBorders>
            <w:shd w:val="clear" w:color="auto" w:fill="D9D9D9" w:themeFill="background1" w:themeFillShade="D9"/>
          </w:tcPr>
          <w:p w:rsidR="00B929CA" w:rsidRPr="000773A3" w:rsidRDefault="00B929CA" w:rsidP="00C2478A">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B929CA" w:rsidRPr="000773A3" w:rsidRDefault="00B929CA" w:rsidP="00C2478A">
            <w:pPr>
              <w:spacing w:before="0"/>
              <w:jc w:val="center"/>
              <w:rPr>
                <w:sz w:val="20"/>
                <w:szCs w:val="28"/>
              </w:rPr>
            </w:pPr>
            <w:r w:rsidRPr="000773A3">
              <w:rPr>
                <w:sz w:val="20"/>
                <w:szCs w:val="28"/>
              </w:rPr>
              <w:t>Nein</w:t>
            </w:r>
          </w:p>
        </w:tc>
      </w:tr>
      <w:tr w:rsidR="00B929CA" w:rsidRPr="00E65739" w:rsidTr="00C2478A">
        <w:trPr>
          <w:gridAfter w:val="2"/>
          <w:wAfter w:w="1280" w:type="dxa"/>
        </w:trPr>
        <w:tc>
          <w:tcPr>
            <w:tcW w:w="7767" w:type="dxa"/>
            <w:shd w:val="clear" w:color="auto" w:fill="auto"/>
            <w:vAlign w:val="center"/>
          </w:tcPr>
          <w:p w:rsidR="00B929CA" w:rsidRDefault="00B929CA" w:rsidP="00C2478A">
            <w:pPr>
              <w:spacing w:before="0"/>
              <w:jc w:val="left"/>
              <w:rPr>
                <w:b/>
                <w:sz w:val="24"/>
                <w:szCs w:val="28"/>
              </w:rPr>
            </w:pPr>
            <w:r w:rsidRPr="00480A8A">
              <w:rPr>
                <w:szCs w:val="22"/>
              </w:rPr>
              <w:t>Wie sind die Aufwendungen des Jahres zu bewerten?</w:t>
            </w:r>
          </w:p>
        </w:tc>
      </w:tr>
      <w:tr w:rsidR="00B929CA" w:rsidRPr="00E65739" w:rsidTr="00C2478A">
        <w:tc>
          <w:tcPr>
            <w:tcW w:w="7767" w:type="dxa"/>
            <w:shd w:val="clear" w:color="auto" w:fill="auto"/>
            <w:vAlign w:val="center"/>
          </w:tcPr>
          <w:p w:rsidR="00B929CA" w:rsidRPr="001F3BFE" w:rsidRDefault="00B929CA" w:rsidP="00B929CA">
            <w:pPr>
              <w:pStyle w:val="Listenabsatz"/>
              <w:numPr>
                <w:ilvl w:val="0"/>
                <w:numId w:val="26"/>
              </w:numPr>
              <w:spacing w:before="0"/>
              <w:ind w:left="463" w:hanging="425"/>
              <w:jc w:val="left"/>
            </w:pPr>
            <w:r w:rsidRPr="00B929CA">
              <w:t>Der Anlagespiegel wird bei mittelgroßen Kapitalgesellschaften freiwillig aufgestellt.</w:t>
            </w:r>
          </w:p>
        </w:tc>
        <w:tc>
          <w:tcPr>
            <w:tcW w:w="624" w:type="dxa"/>
            <w:shd w:val="clear" w:color="auto" w:fill="auto"/>
            <w:vAlign w:val="center"/>
          </w:tcPr>
          <w:p w:rsidR="00B929CA" w:rsidRDefault="00B929CA"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B929CA" w:rsidRDefault="00E55C6E" w:rsidP="00C2478A">
            <w:pPr>
              <w:spacing w:before="0"/>
              <w:jc w:val="center"/>
              <w:rPr>
                <w:b/>
                <w:sz w:val="24"/>
                <w:szCs w:val="28"/>
              </w:rPr>
            </w:pPr>
            <w:r>
              <w:rPr>
                <w:rFonts w:ascii="Wingdings" w:hAnsi="Wingdings" w:cs="Wingdings"/>
                <w:sz w:val="26"/>
                <w:szCs w:val="26"/>
              </w:rPr>
              <w:t></w:t>
            </w:r>
          </w:p>
        </w:tc>
      </w:tr>
      <w:tr w:rsidR="00B929CA" w:rsidRPr="00E65739" w:rsidTr="00C2478A">
        <w:tc>
          <w:tcPr>
            <w:tcW w:w="7767" w:type="dxa"/>
            <w:shd w:val="clear" w:color="auto" w:fill="auto"/>
            <w:vAlign w:val="center"/>
          </w:tcPr>
          <w:p w:rsidR="00B929CA" w:rsidRPr="001F3BFE" w:rsidRDefault="00B929CA" w:rsidP="00B929CA">
            <w:pPr>
              <w:pStyle w:val="Listenabsatz"/>
              <w:numPr>
                <w:ilvl w:val="0"/>
                <w:numId w:val="26"/>
              </w:numPr>
              <w:spacing w:before="0"/>
              <w:ind w:left="454" w:hanging="425"/>
              <w:jc w:val="left"/>
            </w:pPr>
            <w:r w:rsidRPr="00B929CA">
              <w:t>Zu jedem Posten des AV sind die in die Herstellungskosten einbezogenen FK-Zinsen, die im aktuellen Geschäftsjahr aktiviert wurden, anzugeben.</w:t>
            </w:r>
          </w:p>
        </w:tc>
        <w:tc>
          <w:tcPr>
            <w:tcW w:w="624" w:type="dxa"/>
            <w:shd w:val="clear" w:color="auto" w:fill="auto"/>
            <w:vAlign w:val="center"/>
          </w:tcPr>
          <w:p w:rsidR="00B929CA" w:rsidRDefault="00E55C6E"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B929CA" w:rsidRDefault="00B929CA" w:rsidP="00C2478A">
            <w:pPr>
              <w:spacing w:before="0"/>
              <w:jc w:val="center"/>
              <w:rPr>
                <w:b/>
                <w:sz w:val="24"/>
                <w:szCs w:val="28"/>
              </w:rPr>
            </w:pPr>
            <w:r>
              <w:rPr>
                <w:rFonts w:ascii="Wingdings" w:hAnsi="Wingdings" w:cs="Wingdings"/>
                <w:sz w:val="26"/>
                <w:szCs w:val="26"/>
              </w:rPr>
              <w:t></w:t>
            </w:r>
          </w:p>
        </w:tc>
      </w:tr>
      <w:tr w:rsidR="00B929CA" w:rsidRPr="00E65739" w:rsidTr="00C2478A">
        <w:tc>
          <w:tcPr>
            <w:tcW w:w="7767" w:type="dxa"/>
            <w:shd w:val="clear" w:color="auto" w:fill="auto"/>
            <w:vAlign w:val="center"/>
          </w:tcPr>
          <w:p w:rsidR="00B929CA" w:rsidRDefault="00B929CA" w:rsidP="00B929CA">
            <w:pPr>
              <w:pStyle w:val="Listenabsatz"/>
              <w:numPr>
                <w:ilvl w:val="0"/>
                <w:numId w:val="26"/>
              </w:numPr>
              <w:spacing w:before="0"/>
              <w:ind w:left="454" w:hanging="425"/>
              <w:jc w:val="left"/>
            </w:pPr>
            <w:r w:rsidRPr="00B929CA">
              <w:t>Der Anl</w:t>
            </w:r>
            <w:bookmarkStart w:id="1" w:name="_GoBack"/>
            <w:bookmarkEnd w:id="1"/>
            <w:r w:rsidRPr="00B929CA">
              <w:t>agespiegel kann Teil des Anhangs sein (Wahlrecht).</w:t>
            </w:r>
          </w:p>
        </w:tc>
        <w:tc>
          <w:tcPr>
            <w:tcW w:w="624" w:type="dxa"/>
            <w:shd w:val="clear" w:color="auto" w:fill="auto"/>
            <w:vAlign w:val="center"/>
          </w:tcPr>
          <w:p w:rsidR="00B929CA" w:rsidRDefault="00B929CA"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B929CA" w:rsidRDefault="00E55C6E" w:rsidP="00C2478A">
            <w:pPr>
              <w:spacing w:before="0"/>
              <w:jc w:val="center"/>
              <w:rPr>
                <w:b/>
                <w:sz w:val="24"/>
                <w:szCs w:val="28"/>
              </w:rPr>
            </w:pPr>
            <w:r>
              <w:rPr>
                <w:rFonts w:ascii="Wingdings" w:hAnsi="Wingdings" w:cs="Wingdings"/>
                <w:sz w:val="26"/>
                <w:szCs w:val="26"/>
              </w:rPr>
              <w:t></w:t>
            </w:r>
          </w:p>
        </w:tc>
      </w:tr>
      <w:tr w:rsidR="00B929CA" w:rsidRPr="00E65739" w:rsidTr="00C2478A">
        <w:tc>
          <w:tcPr>
            <w:tcW w:w="7767" w:type="dxa"/>
            <w:shd w:val="clear" w:color="auto" w:fill="auto"/>
            <w:vAlign w:val="center"/>
          </w:tcPr>
          <w:p w:rsidR="00B929CA" w:rsidRDefault="00B929CA" w:rsidP="00B929CA">
            <w:pPr>
              <w:pStyle w:val="Listenabsatz"/>
              <w:numPr>
                <w:ilvl w:val="0"/>
                <w:numId w:val="26"/>
              </w:numPr>
              <w:spacing w:before="0"/>
              <w:ind w:left="454" w:hanging="425"/>
              <w:jc w:val="left"/>
            </w:pPr>
            <w:r w:rsidRPr="00B929CA">
              <w:t>Bei den Abschreibungen sind anzugeben,</w:t>
            </w:r>
          </w:p>
          <w:p w:rsidR="00B929CA" w:rsidRDefault="00B929CA" w:rsidP="00B929CA">
            <w:pPr>
              <w:pStyle w:val="Listenabsatz"/>
              <w:numPr>
                <w:ilvl w:val="0"/>
                <w:numId w:val="27"/>
              </w:numPr>
              <w:spacing w:before="0"/>
              <w:ind w:left="747" w:hanging="284"/>
              <w:jc w:val="left"/>
            </w:pPr>
            <w:r>
              <w:t>die Abschreibungen zu Beginn und zum Ende des Geschäftsjahres,</w:t>
            </w:r>
          </w:p>
          <w:p w:rsidR="00B929CA" w:rsidRDefault="00B929CA" w:rsidP="00B929CA">
            <w:pPr>
              <w:pStyle w:val="Listenabsatz"/>
              <w:numPr>
                <w:ilvl w:val="0"/>
                <w:numId w:val="27"/>
              </w:numPr>
              <w:spacing w:before="0"/>
              <w:ind w:left="747" w:hanging="284"/>
              <w:jc w:val="left"/>
            </w:pPr>
            <w:r>
              <w:t>die Abschreibungen des Geschäftsjahres sowie</w:t>
            </w:r>
          </w:p>
          <w:p w:rsidR="00B929CA" w:rsidRPr="001F3BFE" w:rsidRDefault="00B929CA" w:rsidP="00B929CA">
            <w:pPr>
              <w:pStyle w:val="Listenabsatz"/>
              <w:numPr>
                <w:ilvl w:val="0"/>
                <w:numId w:val="27"/>
              </w:numPr>
              <w:spacing w:before="0"/>
              <w:ind w:left="747" w:hanging="284"/>
              <w:jc w:val="left"/>
            </w:pPr>
            <w:r>
              <w:t>die Änderungen der Abschreibungen durch Zu-, Abgänge und Umbuchungen.</w:t>
            </w:r>
          </w:p>
        </w:tc>
        <w:tc>
          <w:tcPr>
            <w:tcW w:w="624" w:type="dxa"/>
            <w:shd w:val="clear" w:color="auto" w:fill="auto"/>
            <w:vAlign w:val="center"/>
          </w:tcPr>
          <w:p w:rsidR="00B929CA" w:rsidRDefault="00E55C6E" w:rsidP="00C2478A">
            <w:pPr>
              <w:spacing w:before="0"/>
              <w:jc w:val="center"/>
              <w:rPr>
                <w:rFonts w:ascii="Wingdings" w:hAnsi="Wingdings" w:cs="Wingdings"/>
                <w:sz w:val="26"/>
                <w:szCs w:val="26"/>
              </w:rPr>
            </w:pPr>
            <w:r>
              <w:rPr>
                <w:rFonts w:ascii="Wingdings" w:hAnsi="Wingdings" w:cs="Wingdings"/>
                <w:sz w:val="26"/>
                <w:szCs w:val="26"/>
              </w:rPr>
              <w:t></w:t>
            </w:r>
          </w:p>
        </w:tc>
        <w:tc>
          <w:tcPr>
            <w:tcW w:w="656" w:type="dxa"/>
            <w:shd w:val="clear" w:color="auto" w:fill="auto"/>
            <w:vAlign w:val="center"/>
          </w:tcPr>
          <w:p w:rsidR="00B929CA" w:rsidRDefault="00B929CA" w:rsidP="00C2478A">
            <w:pPr>
              <w:spacing w:before="0"/>
              <w:jc w:val="center"/>
              <w:rPr>
                <w:rFonts w:ascii="Wingdings" w:hAnsi="Wingdings" w:cs="Wingdings"/>
                <w:sz w:val="26"/>
                <w:szCs w:val="26"/>
              </w:rPr>
            </w:pPr>
            <w:r>
              <w:rPr>
                <w:rFonts w:ascii="Wingdings" w:hAnsi="Wingdings" w:cs="Wingdings"/>
                <w:sz w:val="26"/>
                <w:szCs w:val="26"/>
              </w:rPr>
              <w:t></w:t>
            </w:r>
          </w:p>
        </w:tc>
      </w:tr>
    </w:tbl>
    <w:p w:rsidR="00B929CA" w:rsidRDefault="00B929CA" w:rsidP="00B86895">
      <w:pPr>
        <w:rPr>
          <w:szCs w:val="28"/>
        </w:rPr>
      </w:pPr>
    </w:p>
    <w:sectPr w:rsidR="00B929CA" w:rsidSect="00885CEC">
      <w:headerReference w:type="default" r:id="rId9"/>
      <w:footerReference w:type="default" r:id="rId10"/>
      <w:headerReference w:type="first" r:id="rId11"/>
      <w:footerReference w:type="first" r:id="rId12"/>
      <w:type w:val="continuous"/>
      <w:pgSz w:w="11907" w:h="16839" w:code="9"/>
      <w:pgMar w:top="1099" w:right="1701" w:bottom="1134" w:left="1134" w:header="113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E51" w:rsidRDefault="007F3E51">
      <w:pPr>
        <w:spacing w:before="0"/>
      </w:pPr>
      <w:r>
        <w:separator/>
      </w:r>
    </w:p>
  </w:endnote>
  <w:endnote w:type="continuationSeparator" w:id="0">
    <w:p w:rsidR="007F3E51" w:rsidRDefault="007F3E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E0" w:rsidRDefault="00CA591A" w:rsidP="002062E0">
    <w:pPr>
      <w:tabs>
        <w:tab w:val="center" w:pos="4536"/>
        <w:tab w:val="right" w:pos="9072"/>
      </w:tabs>
      <w:spacing w:before="0"/>
      <w:rPr>
        <w:rFonts w:eastAsiaTheme="minorHAnsi"/>
        <w:noProof/>
        <w:sz w:val="20"/>
      </w:rPr>
    </w:pPr>
    <w:r>
      <w:rPr>
        <w:noProof/>
        <w:szCs w:val="22"/>
      </w:rPr>
      <w:drawing>
        <wp:anchor distT="0" distB="0" distL="114300" distR="114300" simplePos="0" relativeHeight="251659264" behindDoc="1" locked="0" layoutInCell="1" allowOverlap="1" wp14:anchorId="16194297" wp14:editId="621C49D5">
          <wp:simplePos x="0" y="0"/>
          <wp:positionH relativeFrom="column">
            <wp:posOffset>1533525</wp:posOffset>
          </wp:positionH>
          <wp:positionV relativeFrom="page">
            <wp:posOffset>10020935</wp:posOffset>
          </wp:positionV>
          <wp:extent cx="2419350" cy="342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342900"/>
                  </a:xfrm>
                  <a:prstGeom prst="rect">
                    <a:avLst/>
                  </a:prstGeom>
                  <a:noFill/>
                  <a:ln>
                    <a:noFill/>
                  </a:ln>
                </pic:spPr>
              </pic:pic>
            </a:graphicData>
          </a:graphic>
        </wp:anchor>
      </w:drawing>
    </w:r>
    <w:r w:rsidR="002062E0" w:rsidRPr="006C672A">
      <w:rPr>
        <w:sz w:val="20"/>
      </w:rPr>
      <w:t xml:space="preserve">Seite: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PAGE   \* MERGEFORMAT</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r w:rsidR="002062E0"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002062E0" w:rsidRPr="006C672A">
          <w:rPr>
            <w:rFonts w:eastAsiaTheme="minorHAnsi" w:cstheme="minorBidi"/>
            <w:sz w:val="20"/>
            <w:lang w:eastAsia="en-US"/>
          </w:rPr>
          <w:t xml:space="preserve">von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 xml:space="preserve"> NUMPAGES  \* Arabic  \* MERGEFORMAT </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sdtContent>
    </w:sdt>
    <w:r w:rsidR="002062E0">
      <w:rPr>
        <w:rFonts w:eastAsiaTheme="minorHAnsi"/>
        <w:noProof/>
        <w:sz w:val="20"/>
      </w:rPr>
      <w:t xml:space="preserve"> </w:t>
    </w:r>
  </w:p>
  <w:p w:rsidR="007F3E51" w:rsidRPr="002062E0" w:rsidRDefault="002062E0" w:rsidP="002062E0">
    <w:pPr>
      <w:tabs>
        <w:tab w:val="center" w:pos="4536"/>
        <w:tab w:val="right" w:pos="9072"/>
      </w:tabs>
      <w:spacing w:before="0"/>
      <w:rPr>
        <w:rFonts w:eastAsiaTheme="minorHAnsi"/>
        <w:sz w:val="20"/>
        <w:lang w:eastAsia="en-US"/>
      </w:rPr>
    </w:pPr>
    <w:r w:rsidRPr="00A429AD">
      <w:rPr>
        <w:rFonts w:eastAsiaTheme="minorHAnsi"/>
        <w:b/>
        <w:noProof/>
        <w:color w:val="00B0F0"/>
        <w:sz w:val="20"/>
      </w:rPr>
      <w:t>JA</w:t>
    </w:r>
    <w:r w:rsidR="00D56BC4">
      <w:rPr>
        <w:rFonts w:eastAsiaTheme="minorHAnsi"/>
        <w:b/>
        <w:noProof/>
        <w:color w:val="00B0F0"/>
        <w:sz w:val="20"/>
      </w:rPr>
      <w:t>E</w:t>
    </w:r>
    <w:r w:rsidRPr="00A429AD">
      <w:rPr>
        <w:rFonts w:eastAsiaTheme="minorHAnsi"/>
        <w:b/>
        <w:noProof/>
        <w:color w:val="00B0F0"/>
        <w:sz w:val="20"/>
      </w:rPr>
      <w:t xml:space="preserve"> 1</w:t>
    </w:r>
    <w:r>
      <w:rPr>
        <w:rFonts w:eastAsiaTheme="minorHAnsi"/>
        <w:noProof/>
        <w:sz w:val="20"/>
      </w:rPr>
      <w:tab/>
    </w:r>
    <w:r>
      <w:rPr>
        <w:sz w:val="20"/>
      </w:rPr>
      <w:tab/>
    </w:r>
    <w:r>
      <w:rPr>
        <w:rFonts w:eastAsiaTheme="minorHAnsi" w:cstheme="minorBidi"/>
        <w:b/>
        <w:color w:val="00B0F0"/>
        <w:sz w:val="20"/>
        <w:lang w:eastAsia="en-US"/>
      </w:rPr>
      <w:t>Praxisfrage</w:t>
    </w:r>
    <w:r w:rsidR="00BC3DAE">
      <w:rPr>
        <w:rFonts w:eastAsiaTheme="minorHAnsi" w:cstheme="minorBidi"/>
        <w:b/>
        <w:color w:val="00B0F0"/>
        <w:sz w:val="20"/>
        <w:lang w:eastAsia="en-US"/>
      </w:rPr>
      <w:t>n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E211D2" w:rsidRDefault="007F3E51" w:rsidP="000503CF">
    <w:pPr>
      <w:tabs>
        <w:tab w:val="center" w:pos="4536"/>
        <w:tab w:val="right" w:pos="9072"/>
        <w:tab w:val="left" w:pos="9781"/>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noProof/>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noProof/>
            <w:sz w:val="20"/>
            <w:lang w:eastAsia="en-US"/>
          </w:rPr>
          <w:t>2</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sidRPr="00E211D2">
      <w:rPr>
        <w:rFonts w:eastAsiaTheme="minorHAnsi" w:cstheme="minorBidi"/>
        <w:sz w:val="20"/>
        <w:lang w:eastAsia="en-US"/>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w:t>
    </w:r>
    <w:r w:rsidR="00885CEC">
      <w:rPr>
        <w:rFonts w:eastAsiaTheme="minorHAnsi" w:cstheme="minorBidi"/>
        <w:b/>
        <w:color w:val="00B0F0"/>
        <w:sz w:val="20"/>
        <w:lang w:eastAsia="en-US"/>
      </w:rPr>
      <w:t xml:space="preserve">Praxisfragen </w:t>
    </w:r>
    <w:r w:rsidR="00885CEC" w:rsidRPr="00885CEC">
      <w:rPr>
        <w:rFonts w:eastAsiaTheme="minorHAnsi" w:cstheme="minorBidi"/>
        <w:b/>
        <w:color w:val="00B0F0"/>
        <w:sz w:val="20"/>
        <w:highlight w:val="yellow"/>
        <w:lang w:eastAsia="en-US"/>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E51" w:rsidRDefault="007F3E51" w:rsidP="00EE217B">
      <w:pPr>
        <w:pStyle w:val="Fuzeile"/>
      </w:pPr>
    </w:p>
    <w:p w:rsidR="007F3E51" w:rsidRPr="00EE217B" w:rsidRDefault="007F3E51" w:rsidP="00EE217B">
      <w:pPr>
        <w:spacing w:before="0"/>
        <w:jc w:val="center"/>
      </w:pPr>
      <w:r w:rsidRPr="00027F72">
        <w:separator/>
      </w:r>
      <w:r w:rsidRPr="00027F72">
        <w:separator/>
      </w:r>
    </w:p>
  </w:footnote>
  <w:footnote w:type="continuationSeparator" w:id="0">
    <w:p w:rsidR="007F3E51" w:rsidRDefault="007F3E51" w:rsidP="00711AB6">
      <w:pPr>
        <w:spacing w:before="0"/>
        <w:jc w:val="center"/>
      </w:pPr>
    </w:p>
    <w:p w:rsidR="007F3E51" w:rsidRPr="00711AB6" w:rsidRDefault="007F3E51"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665F75" w:rsidRDefault="007F3E51"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354556" w:rsidRDefault="007F3E51"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92E6748"/>
    <w:multiLevelType w:val="hybridMultilevel"/>
    <w:tmpl w:val="E110E210"/>
    <w:lvl w:ilvl="0" w:tplc="3F56300C">
      <w:start w:val="1"/>
      <w:numFmt w:val="bullet"/>
      <w:lvlText w:val="•"/>
      <w:lvlJc w:val="left"/>
      <w:pPr>
        <w:tabs>
          <w:tab w:val="num" w:pos="720"/>
        </w:tabs>
        <w:ind w:left="720" w:hanging="360"/>
      </w:pPr>
      <w:rPr>
        <w:rFonts w:ascii="Arial" w:hAnsi="Arial" w:hint="default"/>
      </w:rPr>
    </w:lvl>
    <w:lvl w:ilvl="1" w:tplc="A7944AC6">
      <w:start w:val="1"/>
      <w:numFmt w:val="bullet"/>
      <w:lvlText w:val="•"/>
      <w:lvlJc w:val="left"/>
      <w:pPr>
        <w:tabs>
          <w:tab w:val="num" w:pos="1440"/>
        </w:tabs>
        <w:ind w:left="1440" w:hanging="360"/>
      </w:pPr>
      <w:rPr>
        <w:rFonts w:ascii="Arial" w:hAnsi="Arial" w:hint="default"/>
      </w:rPr>
    </w:lvl>
    <w:lvl w:ilvl="2" w:tplc="05169D4C" w:tentative="1">
      <w:start w:val="1"/>
      <w:numFmt w:val="bullet"/>
      <w:lvlText w:val="•"/>
      <w:lvlJc w:val="left"/>
      <w:pPr>
        <w:tabs>
          <w:tab w:val="num" w:pos="2160"/>
        </w:tabs>
        <w:ind w:left="2160" w:hanging="360"/>
      </w:pPr>
      <w:rPr>
        <w:rFonts w:ascii="Arial" w:hAnsi="Arial" w:hint="default"/>
      </w:rPr>
    </w:lvl>
    <w:lvl w:ilvl="3" w:tplc="EC04D538" w:tentative="1">
      <w:start w:val="1"/>
      <w:numFmt w:val="bullet"/>
      <w:lvlText w:val="•"/>
      <w:lvlJc w:val="left"/>
      <w:pPr>
        <w:tabs>
          <w:tab w:val="num" w:pos="2880"/>
        </w:tabs>
        <w:ind w:left="2880" w:hanging="360"/>
      </w:pPr>
      <w:rPr>
        <w:rFonts w:ascii="Arial" w:hAnsi="Arial" w:hint="default"/>
      </w:rPr>
    </w:lvl>
    <w:lvl w:ilvl="4" w:tplc="542A5860" w:tentative="1">
      <w:start w:val="1"/>
      <w:numFmt w:val="bullet"/>
      <w:lvlText w:val="•"/>
      <w:lvlJc w:val="left"/>
      <w:pPr>
        <w:tabs>
          <w:tab w:val="num" w:pos="3600"/>
        </w:tabs>
        <w:ind w:left="3600" w:hanging="360"/>
      </w:pPr>
      <w:rPr>
        <w:rFonts w:ascii="Arial" w:hAnsi="Arial" w:hint="default"/>
      </w:rPr>
    </w:lvl>
    <w:lvl w:ilvl="5" w:tplc="F7F64126" w:tentative="1">
      <w:start w:val="1"/>
      <w:numFmt w:val="bullet"/>
      <w:lvlText w:val="•"/>
      <w:lvlJc w:val="left"/>
      <w:pPr>
        <w:tabs>
          <w:tab w:val="num" w:pos="4320"/>
        </w:tabs>
        <w:ind w:left="4320" w:hanging="360"/>
      </w:pPr>
      <w:rPr>
        <w:rFonts w:ascii="Arial" w:hAnsi="Arial" w:hint="default"/>
      </w:rPr>
    </w:lvl>
    <w:lvl w:ilvl="6" w:tplc="BB96E286" w:tentative="1">
      <w:start w:val="1"/>
      <w:numFmt w:val="bullet"/>
      <w:lvlText w:val="•"/>
      <w:lvlJc w:val="left"/>
      <w:pPr>
        <w:tabs>
          <w:tab w:val="num" w:pos="5040"/>
        </w:tabs>
        <w:ind w:left="5040" w:hanging="360"/>
      </w:pPr>
      <w:rPr>
        <w:rFonts w:ascii="Arial" w:hAnsi="Arial" w:hint="default"/>
      </w:rPr>
    </w:lvl>
    <w:lvl w:ilvl="7" w:tplc="CD90CBDE" w:tentative="1">
      <w:start w:val="1"/>
      <w:numFmt w:val="bullet"/>
      <w:lvlText w:val="•"/>
      <w:lvlJc w:val="left"/>
      <w:pPr>
        <w:tabs>
          <w:tab w:val="num" w:pos="5760"/>
        </w:tabs>
        <w:ind w:left="5760" w:hanging="360"/>
      </w:pPr>
      <w:rPr>
        <w:rFonts w:ascii="Arial" w:hAnsi="Arial" w:hint="default"/>
      </w:rPr>
    </w:lvl>
    <w:lvl w:ilvl="8" w:tplc="BF9083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9429D3"/>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E3493"/>
    <w:multiLevelType w:val="hybridMultilevel"/>
    <w:tmpl w:val="5D7CF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675ABB"/>
    <w:multiLevelType w:val="hybridMultilevel"/>
    <w:tmpl w:val="AB8EF6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41D00EF"/>
    <w:multiLevelType w:val="hybridMultilevel"/>
    <w:tmpl w:val="0F082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5D7F86"/>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4" w15:restartNumberingAfterBreak="0">
    <w:nsid w:val="6F240297"/>
    <w:multiLevelType w:val="hybridMultilevel"/>
    <w:tmpl w:val="F67A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C8E2C3A"/>
    <w:multiLevelType w:val="hybridMultilevel"/>
    <w:tmpl w:val="D8469316"/>
    <w:lvl w:ilvl="0" w:tplc="0D140A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27" w15:restartNumberingAfterBreak="0">
    <w:nsid w:val="7F426428"/>
    <w:multiLevelType w:val="hybridMultilevel"/>
    <w:tmpl w:val="5134911C"/>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26"/>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3"/>
  </w:num>
  <w:num w:numId="12">
    <w:abstractNumId w:val="11"/>
  </w:num>
  <w:num w:numId="13">
    <w:abstractNumId w:val="13"/>
  </w:num>
  <w:num w:numId="14">
    <w:abstractNumId w:val="22"/>
  </w:num>
  <w:num w:numId="15">
    <w:abstractNumId w:val="16"/>
  </w:num>
  <w:num w:numId="16">
    <w:abstractNumId w:val="14"/>
  </w:num>
  <w:num w:numId="17">
    <w:abstractNumId w:val="18"/>
  </w:num>
  <w:num w:numId="18">
    <w:abstractNumId w:val="21"/>
  </w:num>
  <w:num w:numId="19">
    <w:abstractNumId w:val="12"/>
  </w:num>
  <w:num w:numId="20">
    <w:abstractNumId w:val="8"/>
  </w:num>
  <w:num w:numId="21">
    <w:abstractNumId w:val="19"/>
  </w:num>
  <w:num w:numId="22">
    <w:abstractNumId w:val="17"/>
  </w:num>
  <w:num w:numId="23">
    <w:abstractNumId w:val="24"/>
  </w:num>
  <w:num w:numId="24">
    <w:abstractNumId w:val="9"/>
  </w:num>
  <w:num w:numId="25">
    <w:abstractNumId w:val="25"/>
  </w:num>
  <w:num w:numId="26">
    <w:abstractNumId w:val="20"/>
  </w:num>
  <w:num w:numId="27">
    <w:abstractNumId w:val="27"/>
  </w:num>
  <w:num w:numId="2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773A3"/>
    <w:rsid w:val="00080B9A"/>
    <w:rsid w:val="00086B8A"/>
    <w:rsid w:val="00090E49"/>
    <w:rsid w:val="0009344D"/>
    <w:rsid w:val="00097B2B"/>
    <w:rsid w:val="000B1337"/>
    <w:rsid w:val="000E26F7"/>
    <w:rsid w:val="000E57B4"/>
    <w:rsid w:val="00106BBE"/>
    <w:rsid w:val="00111AC6"/>
    <w:rsid w:val="001205E2"/>
    <w:rsid w:val="001374FD"/>
    <w:rsid w:val="00143F11"/>
    <w:rsid w:val="0015500F"/>
    <w:rsid w:val="00165A53"/>
    <w:rsid w:val="00180880"/>
    <w:rsid w:val="00182B83"/>
    <w:rsid w:val="00183ACA"/>
    <w:rsid w:val="00184E10"/>
    <w:rsid w:val="0019585B"/>
    <w:rsid w:val="001A1B58"/>
    <w:rsid w:val="001A6337"/>
    <w:rsid w:val="001B3F50"/>
    <w:rsid w:val="001B454A"/>
    <w:rsid w:val="001B7E25"/>
    <w:rsid w:val="001C0D6B"/>
    <w:rsid w:val="001C1789"/>
    <w:rsid w:val="001D22E2"/>
    <w:rsid w:val="001E1F96"/>
    <w:rsid w:val="001E38E2"/>
    <w:rsid w:val="001E7A82"/>
    <w:rsid w:val="001F04DD"/>
    <w:rsid w:val="002062E0"/>
    <w:rsid w:val="002065BE"/>
    <w:rsid w:val="0021047B"/>
    <w:rsid w:val="00213C34"/>
    <w:rsid w:val="00222629"/>
    <w:rsid w:val="00257647"/>
    <w:rsid w:val="002717FB"/>
    <w:rsid w:val="00280D52"/>
    <w:rsid w:val="00283F41"/>
    <w:rsid w:val="00284FA6"/>
    <w:rsid w:val="00285560"/>
    <w:rsid w:val="00285C0D"/>
    <w:rsid w:val="00290924"/>
    <w:rsid w:val="0029592F"/>
    <w:rsid w:val="002A064F"/>
    <w:rsid w:val="002A0C98"/>
    <w:rsid w:val="002A29CF"/>
    <w:rsid w:val="002B17CE"/>
    <w:rsid w:val="002B298F"/>
    <w:rsid w:val="002B37AC"/>
    <w:rsid w:val="002C1895"/>
    <w:rsid w:val="002C7903"/>
    <w:rsid w:val="002D0908"/>
    <w:rsid w:val="002D7E2D"/>
    <w:rsid w:val="002F09D8"/>
    <w:rsid w:val="002F6B99"/>
    <w:rsid w:val="002F771F"/>
    <w:rsid w:val="00304799"/>
    <w:rsid w:val="00340216"/>
    <w:rsid w:val="00342964"/>
    <w:rsid w:val="00352142"/>
    <w:rsid w:val="00354556"/>
    <w:rsid w:val="00360F3D"/>
    <w:rsid w:val="00364269"/>
    <w:rsid w:val="00376DCD"/>
    <w:rsid w:val="00382BCD"/>
    <w:rsid w:val="003932A1"/>
    <w:rsid w:val="003A6FEB"/>
    <w:rsid w:val="003A7861"/>
    <w:rsid w:val="003B420D"/>
    <w:rsid w:val="003E348F"/>
    <w:rsid w:val="003E5835"/>
    <w:rsid w:val="003F1B18"/>
    <w:rsid w:val="004076E9"/>
    <w:rsid w:val="0041402E"/>
    <w:rsid w:val="00414D05"/>
    <w:rsid w:val="00416098"/>
    <w:rsid w:val="00416270"/>
    <w:rsid w:val="004248A0"/>
    <w:rsid w:val="00433509"/>
    <w:rsid w:val="00440D21"/>
    <w:rsid w:val="00445BB8"/>
    <w:rsid w:val="0044742E"/>
    <w:rsid w:val="00454705"/>
    <w:rsid w:val="00465DB3"/>
    <w:rsid w:val="00480A8A"/>
    <w:rsid w:val="004867BC"/>
    <w:rsid w:val="0049126F"/>
    <w:rsid w:val="004B2234"/>
    <w:rsid w:val="004B5526"/>
    <w:rsid w:val="004B5A8E"/>
    <w:rsid w:val="004B6272"/>
    <w:rsid w:val="004B6415"/>
    <w:rsid w:val="004C0625"/>
    <w:rsid w:val="004C3F5D"/>
    <w:rsid w:val="004C60FF"/>
    <w:rsid w:val="004D43D5"/>
    <w:rsid w:val="004D6C91"/>
    <w:rsid w:val="004E699D"/>
    <w:rsid w:val="004F1C26"/>
    <w:rsid w:val="004F1E92"/>
    <w:rsid w:val="0050152B"/>
    <w:rsid w:val="005060F4"/>
    <w:rsid w:val="00516C43"/>
    <w:rsid w:val="0052103B"/>
    <w:rsid w:val="00523480"/>
    <w:rsid w:val="00525CDB"/>
    <w:rsid w:val="00527267"/>
    <w:rsid w:val="00534A4B"/>
    <w:rsid w:val="0054655A"/>
    <w:rsid w:val="005473EF"/>
    <w:rsid w:val="0055136F"/>
    <w:rsid w:val="0055156D"/>
    <w:rsid w:val="00567521"/>
    <w:rsid w:val="00583AA1"/>
    <w:rsid w:val="0058527F"/>
    <w:rsid w:val="00585859"/>
    <w:rsid w:val="005913EC"/>
    <w:rsid w:val="005921A2"/>
    <w:rsid w:val="005967E6"/>
    <w:rsid w:val="005B024A"/>
    <w:rsid w:val="005B57D7"/>
    <w:rsid w:val="005B7F7F"/>
    <w:rsid w:val="005C1C85"/>
    <w:rsid w:val="005C5708"/>
    <w:rsid w:val="005D1825"/>
    <w:rsid w:val="005D26BD"/>
    <w:rsid w:val="005D2A74"/>
    <w:rsid w:val="005D7367"/>
    <w:rsid w:val="005E0577"/>
    <w:rsid w:val="005E07BD"/>
    <w:rsid w:val="005E7803"/>
    <w:rsid w:val="005F6F40"/>
    <w:rsid w:val="00632C1A"/>
    <w:rsid w:val="006454CF"/>
    <w:rsid w:val="0065198F"/>
    <w:rsid w:val="006521FF"/>
    <w:rsid w:val="00665F75"/>
    <w:rsid w:val="0066763B"/>
    <w:rsid w:val="00684B37"/>
    <w:rsid w:val="006A27FA"/>
    <w:rsid w:val="006C4228"/>
    <w:rsid w:val="006D45A1"/>
    <w:rsid w:val="006D7242"/>
    <w:rsid w:val="006E24F6"/>
    <w:rsid w:val="006E2847"/>
    <w:rsid w:val="006E7126"/>
    <w:rsid w:val="006F281C"/>
    <w:rsid w:val="007026D1"/>
    <w:rsid w:val="00711AB6"/>
    <w:rsid w:val="00716DD5"/>
    <w:rsid w:val="00720E5C"/>
    <w:rsid w:val="00742EA1"/>
    <w:rsid w:val="00744772"/>
    <w:rsid w:val="00744C9A"/>
    <w:rsid w:val="007506E6"/>
    <w:rsid w:val="00761107"/>
    <w:rsid w:val="007626C5"/>
    <w:rsid w:val="00763FC1"/>
    <w:rsid w:val="007648E0"/>
    <w:rsid w:val="00765666"/>
    <w:rsid w:val="00772791"/>
    <w:rsid w:val="0078728B"/>
    <w:rsid w:val="00790130"/>
    <w:rsid w:val="00796513"/>
    <w:rsid w:val="007A060E"/>
    <w:rsid w:val="007A3E0C"/>
    <w:rsid w:val="007A407E"/>
    <w:rsid w:val="007B1945"/>
    <w:rsid w:val="007D3976"/>
    <w:rsid w:val="007D6927"/>
    <w:rsid w:val="007E0249"/>
    <w:rsid w:val="007F3A7C"/>
    <w:rsid w:val="007F3E51"/>
    <w:rsid w:val="00802ED4"/>
    <w:rsid w:val="00805892"/>
    <w:rsid w:val="0081072B"/>
    <w:rsid w:val="008248D3"/>
    <w:rsid w:val="00834FC0"/>
    <w:rsid w:val="008471C9"/>
    <w:rsid w:val="00855B99"/>
    <w:rsid w:val="00862DDF"/>
    <w:rsid w:val="00870FFE"/>
    <w:rsid w:val="00872C95"/>
    <w:rsid w:val="00872F5F"/>
    <w:rsid w:val="0087591D"/>
    <w:rsid w:val="0088020C"/>
    <w:rsid w:val="00884570"/>
    <w:rsid w:val="00885CEC"/>
    <w:rsid w:val="00891EEA"/>
    <w:rsid w:val="008976BA"/>
    <w:rsid w:val="008A5560"/>
    <w:rsid w:val="008C44B0"/>
    <w:rsid w:val="008D1A8E"/>
    <w:rsid w:val="008E0D82"/>
    <w:rsid w:val="008E0FC7"/>
    <w:rsid w:val="008F75E7"/>
    <w:rsid w:val="009075A9"/>
    <w:rsid w:val="0091405A"/>
    <w:rsid w:val="009212B4"/>
    <w:rsid w:val="009274B5"/>
    <w:rsid w:val="00936286"/>
    <w:rsid w:val="0095198B"/>
    <w:rsid w:val="00970211"/>
    <w:rsid w:val="009760D0"/>
    <w:rsid w:val="00977270"/>
    <w:rsid w:val="009773FE"/>
    <w:rsid w:val="0099236A"/>
    <w:rsid w:val="009A6E64"/>
    <w:rsid w:val="009C1E3E"/>
    <w:rsid w:val="009C2FF2"/>
    <w:rsid w:val="009C6EFB"/>
    <w:rsid w:val="009C7804"/>
    <w:rsid w:val="009D429E"/>
    <w:rsid w:val="009E1FB1"/>
    <w:rsid w:val="009E52C9"/>
    <w:rsid w:val="009F6E01"/>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C5BA8"/>
    <w:rsid w:val="00AE290A"/>
    <w:rsid w:val="00AE3EDC"/>
    <w:rsid w:val="00AF1983"/>
    <w:rsid w:val="00AF76A2"/>
    <w:rsid w:val="00B1324F"/>
    <w:rsid w:val="00B13741"/>
    <w:rsid w:val="00B15817"/>
    <w:rsid w:val="00B1680D"/>
    <w:rsid w:val="00B2286E"/>
    <w:rsid w:val="00B22993"/>
    <w:rsid w:val="00B261B2"/>
    <w:rsid w:val="00B34064"/>
    <w:rsid w:val="00B50770"/>
    <w:rsid w:val="00B6345C"/>
    <w:rsid w:val="00B66196"/>
    <w:rsid w:val="00B73242"/>
    <w:rsid w:val="00B760B6"/>
    <w:rsid w:val="00B77530"/>
    <w:rsid w:val="00B86895"/>
    <w:rsid w:val="00B91F5A"/>
    <w:rsid w:val="00B929CA"/>
    <w:rsid w:val="00BA02EC"/>
    <w:rsid w:val="00BA1533"/>
    <w:rsid w:val="00BA1564"/>
    <w:rsid w:val="00BA7590"/>
    <w:rsid w:val="00BB730F"/>
    <w:rsid w:val="00BC04E1"/>
    <w:rsid w:val="00BC3DAE"/>
    <w:rsid w:val="00BC6A51"/>
    <w:rsid w:val="00BD2864"/>
    <w:rsid w:val="00BD37FF"/>
    <w:rsid w:val="00BD62C0"/>
    <w:rsid w:val="00BE368B"/>
    <w:rsid w:val="00BF0354"/>
    <w:rsid w:val="00BF2B89"/>
    <w:rsid w:val="00BF7EB9"/>
    <w:rsid w:val="00C10F24"/>
    <w:rsid w:val="00C24E59"/>
    <w:rsid w:val="00C30D7D"/>
    <w:rsid w:val="00C407A8"/>
    <w:rsid w:val="00C43D74"/>
    <w:rsid w:val="00C470A2"/>
    <w:rsid w:val="00C61048"/>
    <w:rsid w:val="00C8522D"/>
    <w:rsid w:val="00C91AC1"/>
    <w:rsid w:val="00C929A0"/>
    <w:rsid w:val="00C940C7"/>
    <w:rsid w:val="00C9577E"/>
    <w:rsid w:val="00CA591A"/>
    <w:rsid w:val="00CA5FDE"/>
    <w:rsid w:val="00CA64ED"/>
    <w:rsid w:val="00CA6FFC"/>
    <w:rsid w:val="00CB24C7"/>
    <w:rsid w:val="00CB3640"/>
    <w:rsid w:val="00CC19EF"/>
    <w:rsid w:val="00CD1A9A"/>
    <w:rsid w:val="00CD4117"/>
    <w:rsid w:val="00CE73C2"/>
    <w:rsid w:val="00D13823"/>
    <w:rsid w:val="00D13BD1"/>
    <w:rsid w:val="00D3468F"/>
    <w:rsid w:val="00D45365"/>
    <w:rsid w:val="00D56BC4"/>
    <w:rsid w:val="00D61222"/>
    <w:rsid w:val="00D65E04"/>
    <w:rsid w:val="00DA6374"/>
    <w:rsid w:val="00DB3534"/>
    <w:rsid w:val="00DB3B77"/>
    <w:rsid w:val="00DC5CF9"/>
    <w:rsid w:val="00DD3447"/>
    <w:rsid w:val="00DD5810"/>
    <w:rsid w:val="00DD6816"/>
    <w:rsid w:val="00DE10AB"/>
    <w:rsid w:val="00DE2B44"/>
    <w:rsid w:val="00DF6B90"/>
    <w:rsid w:val="00E016C0"/>
    <w:rsid w:val="00E211D2"/>
    <w:rsid w:val="00E342CA"/>
    <w:rsid w:val="00E368C3"/>
    <w:rsid w:val="00E50734"/>
    <w:rsid w:val="00E54CF5"/>
    <w:rsid w:val="00E55C6E"/>
    <w:rsid w:val="00E57522"/>
    <w:rsid w:val="00E57793"/>
    <w:rsid w:val="00E61BCD"/>
    <w:rsid w:val="00E65739"/>
    <w:rsid w:val="00E76D20"/>
    <w:rsid w:val="00E77518"/>
    <w:rsid w:val="00EA0865"/>
    <w:rsid w:val="00EA2ACF"/>
    <w:rsid w:val="00EA74B3"/>
    <w:rsid w:val="00EC00F0"/>
    <w:rsid w:val="00EE217B"/>
    <w:rsid w:val="00EF2558"/>
    <w:rsid w:val="00F01DD2"/>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7375"/>
    <w:rsid w:val="00F920AB"/>
    <w:rsid w:val="00FA1E5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8448">
      <w:bodyDiv w:val="1"/>
      <w:marLeft w:val="0"/>
      <w:marRight w:val="0"/>
      <w:marTop w:val="0"/>
      <w:marBottom w:val="0"/>
      <w:divBdr>
        <w:top w:val="none" w:sz="0" w:space="0" w:color="auto"/>
        <w:left w:val="none" w:sz="0" w:space="0" w:color="auto"/>
        <w:bottom w:val="none" w:sz="0" w:space="0" w:color="auto"/>
        <w:right w:val="none" w:sz="0" w:space="0" w:color="auto"/>
      </w:divBdr>
    </w:div>
    <w:div w:id="193857292">
      <w:bodyDiv w:val="1"/>
      <w:marLeft w:val="0"/>
      <w:marRight w:val="0"/>
      <w:marTop w:val="0"/>
      <w:marBottom w:val="0"/>
      <w:divBdr>
        <w:top w:val="none" w:sz="0" w:space="0" w:color="auto"/>
        <w:left w:val="none" w:sz="0" w:space="0" w:color="auto"/>
        <w:bottom w:val="none" w:sz="0" w:space="0" w:color="auto"/>
        <w:right w:val="none" w:sz="0" w:space="0" w:color="auto"/>
      </w:divBdr>
    </w:div>
    <w:div w:id="277689806">
      <w:bodyDiv w:val="1"/>
      <w:marLeft w:val="0"/>
      <w:marRight w:val="0"/>
      <w:marTop w:val="0"/>
      <w:marBottom w:val="0"/>
      <w:divBdr>
        <w:top w:val="none" w:sz="0" w:space="0" w:color="auto"/>
        <w:left w:val="none" w:sz="0" w:space="0" w:color="auto"/>
        <w:bottom w:val="none" w:sz="0" w:space="0" w:color="auto"/>
        <w:right w:val="none" w:sz="0" w:space="0" w:color="auto"/>
      </w:divBdr>
    </w:div>
    <w:div w:id="310525376">
      <w:bodyDiv w:val="1"/>
      <w:marLeft w:val="0"/>
      <w:marRight w:val="0"/>
      <w:marTop w:val="0"/>
      <w:marBottom w:val="0"/>
      <w:divBdr>
        <w:top w:val="none" w:sz="0" w:space="0" w:color="auto"/>
        <w:left w:val="none" w:sz="0" w:space="0" w:color="auto"/>
        <w:bottom w:val="none" w:sz="0" w:space="0" w:color="auto"/>
        <w:right w:val="none" w:sz="0" w:space="0" w:color="auto"/>
      </w:divBdr>
    </w:div>
    <w:div w:id="561986683">
      <w:bodyDiv w:val="1"/>
      <w:marLeft w:val="0"/>
      <w:marRight w:val="0"/>
      <w:marTop w:val="0"/>
      <w:marBottom w:val="0"/>
      <w:divBdr>
        <w:top w:val="none" w:sz="0" w:space="0" w:color="auto"/>
        <w:left w:val="none" w:sz="0" w:space="0" w:color="auto"/>
        <w:bottom w:val="none" w:sz="0" w:space="0" w:color="auto"/>
        <w:right w:val="none" w:sz="0" w:space="0" w:color="auto"/>
      </w:divBdr>
    </w:div>
    <w:div w:id="626280626">
      <w:bodyDiv w:val="1"/>
      <w:marLeft w:val="0"/>
      <w:marRight w:val="0"/>
      <w:marTop w:val="0"/>
      <w:marBottom w:val="0"/>
      <w:divBdr>
        <w:top w:val="none" w:sz="0" w:space="0" w:color="auto"/>
        <w:left w:val="none" w:sz="0" w:space="0" w:color="auto"/>
        <w:bottom w:val="none" w:sz="0" w:space="0" w:color="auto"/>
        <w:right w:val="none" w:sz="0" w:space="0" w:color="auto"/>
      </w:divBdr>
    </w:div>
    <w:div w:id="635572108">
      <w:bodyDiv w:val="1"/>
      <w:marLeft w:val="0"/>
      <w:marRight w:val="0"/>
      <w:marTop w:val="0"/>
      <w:marBottom w:val="0"/>
      <w:divBdr>
        <w:top w:val="none" w:sz="0" w:space="0" w:color="auto"/>
        <w:left w:val="none" w:sz="0" w:space="0" w:color="auto"/>
        <w:bottom w:val="none" w:sz="0" w:space="0" w:color="auto"/>
        <w:right w:val="none" w:sz="0" w:space="0" w:color="auto"/>
      </w:divBdr>
    </w:div>
    <w:div w:id="647563397">
      <w:bodyDiv w:val="1"/>
      <w:marLeft w:val="0"/>
      <w:marRight w:val="0"/>
      <w:marTop w:val="0"/>
      <w:marBottom w:val="0"/>
      <w:divBdr>
        <w:top w:val="none" w:sz="0" w:space="0" w:color="auto"/>
        <w:left w:val="none" w:sz="0" w:space="0" w:color="auto"/>
        <w:bottom w:val="none" w:sz="0" w:space="0" w:color="auto"/>
        <w:right w:val="none" w:sz="0" w:space="0" w:color="auto"/>
      </w:divBdr>
    </w:div>
    <w:div w:id="720908529">
      <w:bodyDiv w:val="1"/>
      <w:marLeft w:val="0"/>
      <w:marRight w:val="0"/>
      <w:marTop w:val="0"/>
      <w:marBottom w:val="0"/>
      <w:divBdr>
        <w:top w:val="none" w:sz="0" w:space="0" w:color="auto"/>
        <w:left w:val="none" w:sz="0" w:space="0" w:color="auto"/>
        <w:bottom w:val="none" w:sz="0" w:space="0" w:color="auto"/>
        <w:right w:val="none" w:sz="0" w:space="0" w:color="auto"/>
      </w:divBdr>
    </w:div>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251618758">
      <w:bodyDiv w:val="1"/>
      <w:marLeft w:val="0"/>
      <w:marRight w:val="0"/>
      <w:marTop w:val="0"/>
      <w:marBottom w:val="0"/>
      <w:divBdr>
        <w:top w:val="none" w:sz="0" w:space="0" w:color="auto"/>
        <w:left w:val="none" w:sz="0" w:space="0" w:color="auto"/>
        <w:bottom w:val="none" w:sz="0" w:space="0" w:color="auto"/>
        <w:right w:val="none" w:sz="0" w:space="0" w:color="auto"/>
      </w:divBdr>
      <w:divsChild>
        <w:div w:id="1144852883">
          <w:marLeft w:val="1008"/>
          <w:marRight w:val="0"/>
          <w:marTop w:val="0"/>
          <w:marBottom w:val="0"/>
          <w:divBdr>
            <w:top w:val="none" w:sz="0" w:space="0" w:color="auto"/>
            <w:left w:val="none" w:sz="0" w:space="0" w:color="auto"/>
            <w:bottom w:val="none" w:sz="0" w:space="0" w:color="auto"/>
            <w:right w:val="none" w:sz="0" w:space="0" w:color="auto"/>
          </w:divBdr>
        </w:div>
        <w:div w:id="1360468365">
          <w:marLeft w:val="1008"/>
          <w:marRight w:val="0"/>
          <w:marTop w:val="0"/>
          <w:marBottom w:val="0"/>
          <w:divBdr>
            <w:top w:val="none" w:sz="0" w:space="0" w:color="auto"/>
            <w:left w:val="none" w:sz="0" w:space="0" w:color="auto"/>
            <w:bottom w:val="none" w:sz="0" w:space="0" w:color="auto"/>
            <w:right w:val="none" w:sz="0" w:space="0" w:color="auto"/>
          </w:divBdr>
        </w:div>
      </w:divsChild>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428379387">
      <w:bodyDiv w:val="1"/>
      <w:marLeft w:val="0"/>
      <w:marRight w:val="0"/>
      <w:marTop w:val="0"/>
      <w:marBottom w:val="0"/>
      <w:divBdr>
        <w:top w:val="none" w:sz="0" w:space="0" w:color="auto"/>
        <w:left w:val="none" w:sz="0" w:space="0" w:color="auto"/>
        <w:bottom w:val="none" w:sz="0" w:space="0" w:color="auto"/>
        <w:right w:val="none" w:sz="0" w:space="0" w:color="auto"/>
      </w:divBdr>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51982421">
      <w:bodyDiv w:val="1"/>
      <w:marLeft w:val="0"/>
      <w:marRight w:val="0"/>
      <w:marTop w:val="0"/>
      <w:marBottom w:val="0"/>
      <w:divBdr>
        <w:top w:val="none" w:sz="0" w:space="0" w:color="auto"/>
        <w:left w:val="none" w:sz="0" w:space="0" w:color="auto"/>
        <w:bottom w:val="none" w:sz="0" w:space="0" w:color="auto"/>
        <w:right w:val="none" w:sz="0" w:space="0" w:color="auto"/>
      </w:divBdr>
    </w:div>
    <w:div w:id="1667972912">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35396289">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775398459">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884753020">
      <w:bodyDiv w:val="1"/>
      <w:marLeft w:val="0"/>
      <w:marRight w:val="0"/>
      <w:marTop w:val="0"/>
      <w:marBottom w:val="0"/>
      <w:divBdr>
        <w:top w:val="none" w:sz="0" w:space="0" w:color="auto"/>
        <w:left w:val="none" w:sz="0" w:space="0" w:color="auto"/>
        <w:bottom w:val="none" w:sz="0" w:space="0" w:color="auto"/>
        <w:right w:val="none" w:sz="0" w:space="0" w:color="auto"/>
      </w:divBdr>
    </w:div>
    <w:div w:id="1899515461">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119214">
      <w:bodyDiv w:val="1"/>
      <w:marLeft w:val="0"/>
      <w:marRight w:val="0"/>
      <w:marTop w:val="0"/>
      <w:marBottom w:val="0"/>
      <w:divBdr>
        <w:top w:val="none" w:sz="0" w:space="0" w:color="auto"/>
        <w:left w:val="none" w:sz="0" w:space="0" w:color="auto"/>
        <w:bottom w:val="none" w:sz="0" w:space="0" w:color="auto"/>
        <w:right w:val="none" w:sz="0" w:space="0" w:color="auto"/>
      </w:divBdr>
    </w:div>
    <w:div w:id="1959488113">
      <w:bodyDiv w:val="1"/>
      <w:marLeft w:val="0"/>
      <w:marRight w:val="0"/>
      <w:marTop w:val="0"/>
      <w:marBottom w:val="0"/>
      <w:divBdr>
        <w:top w:val="none" w:sz="0" w:space="0" w:color="auto"/>
        <w:left w:val="none" w:sz="0" w:space="0" w:color="auto"/>
        <w:bottom w:val="none" w:sz="0" w:space="0" w:color="auto"/>
        <w:right w:val="none" w:sz="0" w:space="0" w:color="auto"/>
      </w:divBdr>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39088F7E-944A-4904-9986-114804BD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Template>
  <TotalTime>0</TotalTime>
  <Pages>1</Pages>
  <Words>191</Words>
  <Characters>1290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Zoller, Kevin - AUDfIT</cp:lastModifiedBy>
  <cp:revision>6</cp:revision>
  <cp:lastPrinted>2025-07-16T11:55:00Z</cp:lastPrinted>
  <dcterms:created xsi:type="dcterms:W3CDTF">2025-07-16T11:55:00Z</dcterms:created>
  <dcterms:modified xsi:type="dcterms:W3CDTF">2025-10-09T12:27:00Z</dcterms:modified>
</cp:coreProperties>
</file>