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E778A2">
              <w:rPr>
                <w:rFonts w:ascii="Century Gothic" w:hAnsi="Century Gothic"/>
                <w:color w:val="00B0F0"/>
                <w:sz w:val="28"/>
              </w:rPr>
              <w:t>7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Forderungen aus L</w:t>
            </w:r>
            <w:r w:rsidR="004D4107">
              <w:rPr>
                <w:rFonts w:ascii="Century Gothic" w:hAnsi="Century Gothic"/>
                <w:b w:val="0"/>
                <w:color w:val="00B0F0"/>
                <w:sz w:val="28"/>
              </w:rPr>
              <w:t xml:space="preserve">ieferungen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u</w:t>
            </w:r>
            <w:r w:rsidR="004D4107">
              <w:rPr>
                <w:rFonts w:ascii="Century Gothic" w:hAnsi="Century Gothic"/>
                <w:b w:val="0"/>
                <w:color w:val="00B0F0"/>
                <w:sz w:val="28"/>
              </w:rPr>
              <w:t xml:space="preserve">nd </w:t>
            </w:r>
            <w:r w:rsidR="00E778A2">
              <w:rPr>
                <w:rFonts w:ascii="Century Gothic" w:hAnsi="Century Gothic"/>
                <w:b w:val="0"/>
                <w:color w:val="00B0F0"/>
                <w:sz w:val="28"/>
              </w:rPr>
              <w:t>L</w:t>
            </w:r>
            <w:r w:rsidR="004D4107">
              <w:rPr>
                <w:rFonts w:ascii="Century Gothic" w:hAnsi="Century Gothic"/>
                <w:b w:val="0"/>
                <w:color w:val="00B0F0"/>
                <w:sz w:val="28"/>
              </w:rPr>
              <w:t>eistungen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E778A2">
              <w:rPr>
                <w:szCs w:val="22"/>
              </w:rPr>
              <w:t>Welche Voraussetzungen müssen zur Saldierung von Forderungen und Verbindlichkeiten erfüllt sein?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E778A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Gleichartigkeit der Forderungen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6009D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E778A2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E778A2">
              <w:t>Gegenseitigkeit der Forderungen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6009D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E778A2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Fälligkeit der Hauptforderung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6009D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E778A2" w:rsidRPr="00E65739" w:rsidTr="000773A3">
        <w:tc>
          <w:tcPr>
            <w:tcW w:w="7767" w:type="dxa"/>
            <w:shd w:val="clear" w:color="auto" w:fill="auto"/>
            <w:vAlign w:val="center"/>
          </w:tcPr>
          <w:p w:rsidR="00E778A2" w:rsidRPr="00E778A2" w:rsidRDefault="00E778A2" w:rsidP="00E778A2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778A2">
              <w:t>Fälligkeit der Gegenforderung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6009DC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E65739" w:rsidTr="00C2478A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Frage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A81B35">
              <w:rPr>
                <w:szCs w:val="22"/>
              </w:rPr>
              <w:t>A verkauft an B am 11.12.01 Ware EXW in Höhe von TEUR 100. In der Rechnung ist als Zahlungsziel vereinbart: „2 % Skonto bei Zahlung innerhalb von 14 Tagen oder 30 Tage ohne Abzug“. Die Ware wird am 12.12.01 verpackt und ins Versandlager gestellt. B wird noch am selben Tag hierüber informiert. B beauftragt am 14.12.01 den Spediteur X die Ware bei A abzuholen. Die Abholung der Ware erfolgt am 31.12.01.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B hat A wiederum am 12.12.01 auf Lager befindliche Ware XYZ in Höhe von TEUR 100 verkauft. Ein Zahlungsziel wurde nicht vereinbart. A holt die Ware bei Bereitstellung am 15.12.01 ab.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Eine Zahlung bis zum 31.12.01 ist weder durch A noch durch B erfolgt.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Pr="00E778A2" w:rsidRDefault="00A81B35" w:rsidP="00C2478A">
            <w:pPr>
              <w:spacing w:before="0"/>
              <w:jc w:val="left"/>
              <w:rPr>
                <w:szCs w:val="22"/>
              </w:rPr>
            </w:pPr>
            <w:r w:rsidRPr="00A81B35">
              <w:rPr>
                <w:szCs w:val="22"/>
              </w:rPr>
              <w:t>Wer darf seine Forderungen mit seinen Verbindlichkeiten ab wann saldieren?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63" w:hanging="425"/>
              <w:jc w:val="left"/>
            </w:pPr>
            <w:r w:rsidRPr="00A81B35">
              <w:t>A mit B am 14.12.01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6009DC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</w:pPr>
            <w:r w:rsidRPr="00A81B35">
              <w:t>A mit B am 31.12.01</w:t>
            </w:r>
            <w:bookmarkStart w:id="1" w:name="_GoBack"/>
            <w:bookmarkEnd w:id="1"/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6009DC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A81B35">
              <w:t>B mit A am 14.12.01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6009DC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E778A2" w:rsidRDefault="00A81B35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A81B35">
              <w:t>B mit A am 31.12.01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6009DC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A81B35" w:rsidRDefault="00A81B35" w:rsidP="00E8473F">
      <w:pPr>
        <w:rPr>
          <w:szCs w:val="28"/>
        </w:rPr>
      </w:pPr>
    </w:p>
    <w:sectPr w:rsidR="00A81B35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4D4107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1524000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Praxisfrage</w:t>
    </w:r>
    <w:r w:rsidR="00EE1EF0">
      <w:rPr>
        <w:rFonts w:eastAsiaTheme="minorHAnsi" w:cstheme="minorBidi"/>
        <w:b/>
        <w:color w:val="00B0F0"/>
        <w:sz w:val="20"/>
        <w:lang w:eastAsia="en-US"/>
      </w:rPr>
      <w:t>n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6D18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3A45AAB"/>
    <w:multiLevelType w:val="hybridMultilevel"/>
    <w:tmpl w:val="2110A8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0" w15:restartNumberingAfterBreak="0">
    <w:nsid w:val="7DFB4BC2"/>
    <w:multiLevelType w:val="hybridMultilevel"/>
    <w:tmpl w:val="159A0C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5"/>
  </w:num>
  <w:num w:numId="12">
    <w:abstractNumId w:val="11"/>
  </w:num>
  <w:num w:numId="13">
    <w:abstractNumId w:val="13"/>
  </w:num>
  <w:num w:numId="14">
    <w:abstractNumId w:val="24"/>
  </w:num>
  <w:num w:numId="15">
    <w:abstractNumId w:val="17"/>
  </w:num>
  <w:num w:numId="16">
    <w:abstractNumId w:val="14"/>
  </w:num>
  <w:num w:numId="17">
    <w:abstractNumId w:val="19"/>
  </w:num>
  <w:num w:numId="18">
    <w:abstractNumId w:val="23"/>
  </w:num>
  <w:num w:numId="19">
    <w:abstractNumId w:val="12"/>
  </w:num>
  <w:num w:numId="20">
    <w:abstractNumId w:val="8"/>
  </w:num>
  <w:num w:numId="21">
    <w:abstractNumId w:val="21"/>
  </w:num>
  <w:num w:numId="22">
    <w:abstractNumId w:val="18"/>
  </w:num>
  <w:num w:numId="23">
    <w:abstractNumId w:val="27"/>
  </w:num>
  <w:num w:numId="24">
    <w:abstractNumId w:val="9"/>
  </w:num>
  <w:num w:numId="25">
    <w:abstractNumId w:val="28"/>
  </w:num>
  <w:num w:numId="26">
    <w:abstractNumId w:val="22"/>
  </w:num>
  <w:num w:numId="27">
    <w:abstractNumId w:val="31"/>
  </w:num>
  <w:num w:numId="28">
    <w:abstractNumId w:val="15"/>
  </w:num>
  <w:num w:numId="29">
    <w:abstractNumId w:val="20"/>
  </w:num>
  <w:num w:numId="30">
    <w:abstractNumId w:val="26"/>
  </w:num>
  <w:num w:numId="31">
    <w:abstractNumId w:val="30"/>
  </w:num>
  <w:num w:numId="3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3F58FE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107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009DC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1B35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9400D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778A2"/>
    <w:rsid w:val="00E8473F"/>
    <w:rsid w:val="00EA0865"/>
    <w:rsid w:val="00EA2ACF"/>
    <w:rsid w:val="00EA74B3"/>
    <w:rsid w:val="00EC00F0"/>
    <w:rsid w:val="00EE1EF0"/>
    <w:rsid w:val="00EE217B"/>
    <w:rsid w:val="00EE2E51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00774EC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1EDDAF9-8565-4EBE-AB87-8FD42B58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194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5</cp:revision>
  <cp:lastPrinted>2025-07-16T12:49:00Z</cp:lastPrinted>
  <dcterms:created xsi:type="dcterms:W3CDTF">2025-07-16T12:49:00Z</dcterms:created>
  <dcterms:modified xsi:type="dcterms:W3CDTF">2025-10-09T12:31:00Z</dcterms:modified>
</cp:coreProperties>
</file>