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0773A3" w:rsidRDefault="009274B5" w:rsidP="001A633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 xml:space="preserve">Lösungshinweise zu </w:t>
            </w:r>
            <w:r w:rsidR="00885CEC">
              <w:rPr>
                <w:rFonts w:ascii="Century Gothic" w:hAnsi="Century Gothic"/>
                <w:color w:val="00B0F0"/>
                <w:sz w:val="28"/>
              </w:rPr>
              <w:t>Praxisfragen</w:t>
            </w:r>
          </w:p>
          <w:p w:rsidR="00AF76A2" w:rsidRPr="007D6927" w:rsidRDefault="00885CEC" w:rsidP="001A633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>Themenbereich</w:t>
            </w:r>
            <w:r w:rsidR="00B50770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1A6337">
              <w:rPr>
                <w:rFonts w:ascii="Century Gothic" w:hAnsi="Century Gothic"/>
                <w:color w:val="00B0F0"/>
                <w:sz w:val="28"/>
              </w:rPr>
              <w:t>1</w:t>
            </w:r>
            <w:r w:rsidR="003A7861" w:rsidRPr="00280D52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Pr="000773A3">
              <w:rPr>
                <w:rFonts w:ascii="Century Gothic" w:hAnsi="Century Gothic"/>
                <w:b w:val="0"/>
                <w:color w:val="00B0F0"/>
                <w:sz w:val="28"/>
              </w:rPr>
              <w:t xml:space="preserve">Grundlagen der </w:t>
            </w:r>
            <w:r w:rsidR="00B86895">
              <w:rPr>
                <w:rFonts w:ascii="Century Gothic" w:hAnsi="Century Gothic"/>
                <w:b w:val="0"/>
                <w:color w:val="00B0F0"/>
                <w:sz w:val="28"/>
              </w:rPr>
              <w:t xml:space="preserve">Rechnungslegung </w:t>
            </w:r>
            <w:r w:rsidR="007A1289">
              <w:rPr>
                <w:rFonts w:ascii="Century Gothic" w:hAnsi="Century Gothic"/>
                <w:b w:val="0"/>
                <w:color w:val="00B0F0"/>
                <w:sz w:val="28"/>
              </w:rPr>
              <w:br/>
            </w:r>
            <w:bookmarkStart w:id="0" w:name="_GoBack"/>
            <w:bookmarkEnd w:id="0"/>
            <w:r w:rsidR="00B86895">
              <w:rPr>
                <w:rFonts w:ascii="Century Gothic" w:hAnsi="Century Gothic"/>
                <w:b w:val="0"/>
                <w:color w:val="00B0F0"/>
                <w:sz w:val="28"/>
              </w:rPr>
              <w:t>nach HGB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B34064" w:rsidRDefault="00B50770" w:rsidP="00AF76A2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sz w:val="28"/>
              </w:rPr>
            </w:pPr>
            <w:r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0</w:t>
            </w:r>
            <w:r w:rsidR="00885CEC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7</w:t>
            </w:r>
            <w:r w:rsidR="00AF76A2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/202</w:t>
            </w:r>
            <w:r w:rsidR="00885CEC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5</w:t>
            </w: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67"/>
        <w:gridCol w:w="624"/>
        <w:gridCol w:w="656"/>
      </w:tblGrid>
      <w:tr w:rsidR="000773A3" w:rsidRPr="00E65739" w:rsidTr="001374FD">
        <w:tc>
          <w:tcPr>
            <w:tcW w:w="7767" w:type="dxa"/>
            <w:tcBorders>
              <w:top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</w:tcPr>
          <w:p w:rsidR="00885CEC" w:rsidRPr="00E65739" w:rsidRDefault="00885CEC" w:rsidP="00885CEC">
            <w:pPr>
              <w:spacing w:before="0"/>
              <w:rPr>
                <w:b/>
                <w:sz w:val="24"/>
                <w:szCs w:val="28"/>
              </w:rPr>
            </w:pPr>
            <w:bookmarkStart w:id="1" w:name="_Hlk203041342"/>
            <w:r>
              <w:rPr>
                <w:b/>
                <w:sz w:val="24"/>
                <w:szCs w:val="28"/>
              </w:rPr>
              <w:t>Frage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</w:tcBorders>
            <w:shd w:val="clear" w:color="auto" w:fill="D9D9D9" w:themeFill="background1" w:themeFillShade="D9"/>
          </w:tcPr>
          <w:p w:rsidR="00885CEC" w:rsidRPr="000773A3" w:rsidRDefault="00885CEC" w:rsidP="00885CEC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Ja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85CEC" w:rsidRPr="000773A3" w:rsidRDefault="00885CEC" w:rsidP="00885CEC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Nein</w:t>
            </w:r>
          </w:p>
        </w:tc>
      </w:tr>
      <w:bookmarkEnd w:id="1"/>
      <w:tr w:rsidR="000773A3" w:rsidRPr="00E65739" w:rsidTr="000773A3">
        <w:trPr>
          <w:gridAfter w:val="2"/>
          <w:wAfter w:w="1280" w:type="dxa"/>
        </w:trPr>
        <w:tc>
          <w:tcPr>
            <w:tcW w:w="7767" w:type="dxa"/>
            <w:shd w:val="clear" w:color="auto" w:fill="auto"/>
            <w:vAlign w:val="center"/>
          </w:tcPr>
          <w:p w:rsidR="00885CEC" w:rsidRDefault="00B86895" w:rsidP="00885CEC">
            <w:pPr>
              <w:spacing w:before="0"/>
              <w:jc w:val="left"/>
              <w:rPr>
                <w:b/>
                <w:sz w:val="24"/>
                <w:szCs w:val="28"/>
              </w:rPr>
            </w:pPr>
            <w:r w:rsidRPr="00B86895">
              <w:rPr>
                <w:szCs w:val="22"/>
              </w:rPr>
              <w:t>Welche Posten werden bei der Ermittlung der Bilanzsumme von kleinen, mittelgroßen und großen Gesellschaften mit einbezogen?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Pr="001F3BFE" w:rsidRDefault="00B86895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B86895">
              <w:t>Eingeforderte Einlagen auf das gezeichnete Kapital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B86895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B86895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Pr="001F3BFE" w:rsidRDefault="00B86895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B86895">
              <w:t>Aktive latente Steuern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B86895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B86895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Default="00B86895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B86895">
              <w:t>Aktiver Unterschiedsbetrag aus der Vermögensverrechnung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9274B5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885CEC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B86895" w:rsidRPr="00E65739" w:rsidTr="000773A3">
        <w:tc>
          <w:tcPr>
            <w:tcW w:w="7767" w:type="dxa"/>
            <w:shd w:val="clear" w:color="auto" w:fill="auto"/>
            <w:vAlign w:val="center"/>
          </w:tcPr>
          <w:p w:rsidR="00B86895" w:rsidRPr="001F3BFE" w:rsidRDefault="00B86895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B86895">
              <w:t>Nicht durch Eigenkapital gedeckter Fehlbetrag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B86895" w:rsidRDefault="00B86895" w:rsidP="00885CEC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86895" w:rsidRDefault="00B86895" w:rsidP="00885CEC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</w:tr>
    </w:tbl>
    <w:p w:rsidR="002C1895" w:rsidRDefault="002C1895"/>
    <w:tbl>
      <w:tblPr>
        <w:tblStyle w:val="Tabellenraster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67"/>
        <w:gridCol w:w="624"/>
        <w:gridCol w:w="656"/>
      </w:tblGrid>
      <w:tr w:rsidR="000773A3" w:rsidRPr="000773A3" w:rsidTr="000773A3">
        <w:tc>
          <w:tcPr>
            <w:tcW w:w="7767" w:type="dxa"/>
            <w:shd w:val="clear" w:color="auto" w:fill="F2F2F2" w:themeFill="background1" w:themeFillShade="F2"/>
          </w:tcPr>
          <w:p w:rsidR="000773A3" w:rsidRPr="00E65739" w:rsidRDefault="000773A3" w:rsidP="00855C54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Lösungshinweise zu Frage 1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:rsidR="000773A3" w:rsidRPr="000773A3" w:rsidRDefault="000773A3" w:rsidP="00855C54">
            <w:pPr>
              <w:spacing w:before="0"/>
              <w:jc w:val="center"/>
              <w:rPr>
                <w:sz w:val="20"/>
                <w:szCs w:val="28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0773A3" w:rsidRPr="000773A3" w:rsidRDefault="000773A3" w:rsidP="00855C54">
            <w:pPr>
              <w:spacing w:before="0"/>
              <w:jc w:val="center"/>
              <w:rPr>
                <w:sz w:val="20"/>
                <w:szCs w:val="28"/>
              </w:rPr>
            </w:pPr>
          </w:p>
        </w:tc>
      </w:tr>
      <w:tr w:rsidR="00B86895" w:rsidRPr="00E65739" w:rsidTr="00033F20">
        <w:tc>
          <w:tcPr>
            <w:tcW w:w="7767" w:type="dxa"/>
            <w:shd w:val="clear" w:color="auto" w:fill="auto"/>
          </w:tcPr>
          <w:p w:rsidR="00B86895" w:rsidRPr="00134459" w:rsidRDefault="00B86895" w:rsidP="00B86895">
            <w:pPr>
              <w:spacing w:before="0"/>
            </w:pPr>
            <w:r w:rsidRPr="00134459">
              <w:t xml:space="preserve">§ 267 Abs. 4a HGB: Die Bilanzsumme setzt sich aus den Posten zusammen, die in den </w:t>
            </w:r>
            <w:r w:rsidRPr="00F14FD2">
              <w:rPr>
                <w:b/>
              </w:rPr>
              <w:t>Buchstaben A bis E des § 266 Abs. 2 HGB</w:t>
            </w:r>
            <w:r w:rsidRPr="00134459">
              <w:t xml:space="preserve"> aufgeführt sind.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B86895" w:rsidRDefault="00B86895" w:rsidP="00B86895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B86895" w:rsidRDefault="00B86895" w:rsidP="00B86895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B86895" w:rsidRPr="00E65739" w:rsidTr="00033F20">
        <w:tc>
          <w:tcPr>
            <w:tcW w:w="7767" w:type="dxa"/>
            <w:shd w:val="clear" w:color="auto" w:fill="auto"/>
          </w:tcPr>
          <w:p w:rsidR="00B86895" w:rsidRPr="00134459" w:rsidRDefault="00B86895" w:rsidP="00B86895">
            <w:pPr>
              <w:spacing w:before="0"/>
            </w:pPr>
            <w:r w:rsidRPr="00134459">
              <w:t xml:space="preserve">Ein auf der </w:t>
            </w:r>
            <w:r w:rsidRPr="00F14FD2">
              <w:rPr>
                <w:b/>
              </w:rPr>
              <w:t>Aktivseite ausgewiesener Fehlbetrag</w:t>
            </w:r>
            <w:r w:rsidRPr="00134459">
              <w:t xml:space="preserve"> (§ 268 Abs. 3 HGB) wird </w:t>
            </w:r>
            <w:r w:rsidRPr="00F14FD2">
              <w:rPr>
                <w:b/>
              </w:rPr>
              <w:t>nicht</w:t>
            </w:r>
            <w:r w:rsidRPr="00134459">
              <w:t xml:space="preserve"> in die Bilanzsumme eingezogen.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B86895" w:rsidRDefault="00B86895" w:rsidP="00B86895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B86895" w:rsidRDefault="00B86895" w:rsidP="00B86895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B86895" w:rsidRPr="00E65739" w:rsidTr="00033F20">
        <w:tc>
          <w:tcPr>
            <w:tcW w:w="7767" w:type="dxa"/>
            <w:shd w:val="clear" w:color="auto" w:fill="auto"/>
          </w:tcPr>
          <w:p w:rsidR="00B86895" w:rsidRPr="00134459" w:rsidRDefault="00B86895" w:rsidP="00B86895">
            <w:pPr>
              <w:spacing w:before="0"/>
            </w:pPr>
            <w:r w:rsidRPr="00F14FD2">
              <w:rPr>
                <w:b/>
              </w:rPr>
              <w:t>Ausstehende Einlagen</w:t>
            </w:r>
            <w:r w:rsidRPr="00134459">
              <w:t xml:space="preserve"> auf das gezeichnete Kapital sind, so lange sie noch nicht eingefordert sind, nach § 272 Abs. 1 HGB offen von dem Posten „Gezeichnetes Kapital“ abzusetzen.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B86895" w:rsidRDefault="00B86895" w:rsidP="00B86895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B86895" w:rsidRDefault="00B86895" w:rsidP="00B86895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B86895" w:rsidRPr="00E65739" w:rsidTr="00033F20">
        <w:tc>
          <w:tcPr>
            <w:tcW w:w="7767" w:type="dxa"/>
            <w:shd w:val="clear" w:color="auto" w:fill="auto"/>
          </w:tcPr>
          <w:p w:rsidR="00B86895" w:rsidRDefault="00B86895" w:rsidP="00B86895">
            <w:pPr>
              <w:spacing w:before="0"/>
            </w:pPr>
            <w:r w:rsidRPr="00134459">
              <w:t xml:space="preserve">Sobald die „Ausstehende Einlage“ eingefordert wurde, ist dieser Betrag unter den </w:t>
            </w:r>
            <w:r w:rsidRPr="00F14FD2">
              <w:rPr>
                <w:b/>
              </w:rPr>
              <w:t>Forderungen gesondert auszuweisen</w:t>
            </w:r>
            <w:r w:rsidRPr="00134459">
              <w:t xml:space="preserve"> und damit auch </w:t>
            </w:r>
            <w:r w:rsidRPr="00F14FD2">
              <w:rPr>
                <w:b/>
              </w:rPr>
              <w:t>Bestandteil der Bilanzsumme</w:t>
            </w:r>
            <w:r w:rsidRPr="00134459">
              <w:t>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B86895" w:rsidRDefault="00B86895" w:rsidP="00B86895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B86895" w:rsidRDefault="00B86895" w:rsidP="00B86895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</w:tbl>
    <w:p w:rsidR="009274B5" w:rsidRPr="00BC04E1" w:rsidRDefault="009274B5" w:rsidP="00B86895">
      <w:pPr>
        <w:rPr>
          <w:szCs w:val="28"/>
        </w:rPr>
      </w:pPr>
    </w:p>
    <w:sectPr w:rsidR="009274B5" w:rsidRPr="00BC04E1" w:rsidSect="00885CE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E51" w:rsidRDefault="007F3E51">
      <w:pPr>
        <w:spacing w:before="0"/>
      </w:pPr>
      <w:r>
        <w:separator/>
      </w:r>
    </w:p>
  </w:endnote>
  <w:endnote w:type="continuationSeparator" w:id="0">
    <w:p w:rsidR="007F3E51" w:rsidRDefault="007F3E5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E0" w:rsidRDefault="003C76FA" w:rsidP="002062E0">
    <w:pPr>
      <w:tabs>
        <w:tab w:val="center" w:pos="4536"/>
        <w:tab w:val="right" w:pos="9072"/>
      </w:tabs>
      <w:spacing w:before="0"/>
      <w:rPr>
        <w:rFonts w:eastAsiaTheme="minorHAnsi"/>
        <w:noProof/>
        <w:sz w:val="20"/>
      </w:rPr>
    </w:pPr>
    <w:r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4FA8BF73" wp14:editId="17C5753F">
          <wp:simplePos x="0" y="0"/>
          <wp:positionH relativeFrom="column">
            <wp:posOffset>1533525</wp:posOffset>
          </wp:positionH>
          <wp:positionV relativeFrom="page">
            <wp:posOffset>10020935</wp:posOffset>
          </wp:positionV>
          <wp:extent cx="2419350" cy="3429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62E0" w:rsidRPr="006C672A">
      <w:rPr>
        <w:sz w:val="20"/>
      </w:rPr>
      <w:t xml:space="preserve">Seite: </w:t>
    </w:r>
    <w:r w:rsidR="002062E0" w:rsidRPr="006C672A">
      <w:rPr>
        <w:rFonts w:eastAsiaTheme="minorHAnsi" w:cstheme="minorBidi"/>
        <w:sz w:val="20"/>
        <w:lang w:eastAsia="en-US"/>
      </w:rPr>
      <w:fldChar w:fldCharType="begin"/>
    </w:r>
    <w:r w:rsidR="002062E0" w:rsidRPr="006C672A">
      <w:rPr>
        <w:rFonts w:eastAsiaTheme="minorHAnsi" w:cstheme="minorBidi"/>
        <w:sz w:val="20"/>
        <w:lang w:eastAsia="en-US"/>
      </w:rPr>
      <w:instrText>PAGE   \* MERGEFORMAT</w:instrText>
    </w:r>
    <w:r w:rsidR="002062E0" w:rsidRPr="006C672A">
      <w:rPr>
        <w:rFonts w:eastAsiaTheme="minorHAnsi" w:cstheme="minorBidi"/>
        <w:sz w:val="20"/>
        <w:lang w:eastAsia="en-US"/>
      </w:rPr>
      <w:fldChar w:fldCharType="separate"/>
    </w:r>
    <w:r w:rsidR="002062E0">
      <w:rPr>
        <w:rFonts w:eastAsiaTheme="minorHAnsi"/>
        <w:sz w:val="20"/>
        <w:lang w:eastAsia="en-US"/>
      </w:rPr>
      <w:t>1</w:t>
    </w:r>
    <w:r w:rsidR="002062E0" w:rsidRPr="006C672A">
      <w:rPr>
        <w:rFonts w:eastAsiaTheme="minorHAnsi" w:cstheme="minorBidi"/>
        <w:sz w:val="20"/>
        <w:lang w:eastAsia="en-US"/>
      </w:rPr>
      <w:fldChar w:fldCharType="end"/>
    </w:r>
    <w:r w:rsidR="002062E0"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="002062E0"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="002062E0"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2062E0">
          <w:rPr>
            <w:rFonts w:eastAsiaTheme="minorHAnsi"/>
            <w:sz w:val="20"/>
            <w:lang w:eastAsia="en-US"/>
          </w:rPr>
          <w:t>1</w: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="002062E0">
      <w:rPr>
        <w:rFonts w:eastAsiaTheme="minorHAnsi"/>
        <w:noProof/>
        <w:sz w:val="20"/>
      </w:rPr>
      <w:t xml:space="preserve"> </w:t>
    </w:r>
  </w:p>
  <w:p w:rsidR="007F3E51" w:rsidRPr="002062E0" w:rsidRDefault="002062E0" w:rsidP="002062E0">
    <w:pPr>
      <w:tabs>
        <w:tab w:val="center" w:pos="4536"/>
        <w:tab w:val="right" w:pos="9072"/>
      </w:tabs>
      <w:spacing w:before="0"/>
      <w:rPr>
        <w:rFonts w:eastAsiaTheme="minorHAnsi"/>
        <w:sz w:val="20"/>
        <w:lang w:eastAsia="en-US"/>
      </w:rPr>
    </w:pPr>
    <w:r w:rsidRPr="00A429AD">
      <w:rPr>
        <w:rFonts w:eastAsiaTheme="minorHAnsi"/>
        <w:b/>
        <w:noProof/>
        <w:color w:val="00B0F0"/>
        <w:sz w:val="20"/>
      </w:rPr>
      <w:t>JA</w:t>
    </w:r>
    <w:r w:rsidR="00C5474E">
      <w:rPr>
        <w:rFonts w:eastAsiaTheme="minorHAnsi"/>
        <w:b/>
        <w:noProof/>
        <w:color w:val="00B0F0"/>
        <w:sz w:val="20"/>
      </w:rPr>
      <w:t>E</w:t>
    </w:r>
    <w:r w:rsidRPr="00A429AD">
      <w:rPr>
        <w:rFonts w:eastAsiaTheme="minorHAnsi"/>
        <w:b/>
        <w:noProof/>
        <w:color w:val="00B0F0"/>
        <w:sz w:val="20"/>
      </w:rPr>
      <w:t xml:space="preserve"> 1</w:t>
    </w:r>
    <w:r>
      <w:rPr>
        <w:rFonts w:eastAsiaTheme="minorHAnsi"/>
        <w:noProof/>
        <w:sz w:val="20"/>
      </w:rPr>
      <w:tab/>
    </w:r>
    <w:r>
      <w:rPr>
        <w:sz w:val="20"/>
      </w:rPr>
      <w:tab/>
    </w:r>
    <w:r w:rsidR="00FA2967">
      <w:rPr>
        <w:rFonts w:eastAsiaTheme="minorHAnsi" w:cstheme="minorBidi"/>
        <w:b/>
        <w:color w:val="00B0F0"/>
        <w:sz w:val="20"/>
        <w:lang w:eastAsia="en-US"/>
      </w:rPr>
      <w:t>Lösungen PF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E211D2" w:rsidRDefault="007F3E51" w:rsidP="000503CF">
    <w:pPr>
      <w:tabs>
        <w:tab w:val="center" w:pos="4536"/>
        <w:tab w:val="right" w:pos="9072"/>
        <w:tab w:val="left" w:pos="9781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noProof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1877616359"/>
        <w:docPartObj>
          <w:docPartGallery w:val="Page Numbers (Top of Page)"/>
          <w:docPartUnique/>
        </w:docPartObj>
      </w:sdtPr>
      <w:sdtEndPr/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noProof/>
            <w:sz w:val="20"/>
            <w:lang w:eastAsia="en-US"/>
          </w:rPr>
          <w:t>2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>-</w:t>
    </w:r>
    <w:r w:rsidR="00885CEC">
      <w:rPr>
        <w:rFonts w:eastAsiaTheme="minorHAnsi" w:cstheme="minorBidi"/>
        <w:b/>
        <w:color w:val="00B0F0"/>
        <w:sz w:val="20"/>
        <w:lang w:eastAsia="en-US"/>
      </w:rPr>
      <w:t xml:space="preserve">Praxisfragen </w:t>
    </w:r>
    <w:r w:rsidR="00885CEC" w:rsidRPr="00885CEC">
      <w:rPr>
        <w:rFonts w:eastAsiaTheme="minorHAnsi" w:cstheme="minorBidi"/>
        <w:b/>
        <w:color w:val="00B0F0"/>
        <w:sz w:val="20"/>
        <w:highlight w:val="yellow"/>
        <w:lang w:eastAsia="en-US"/>
      </w:rPr>
      <w:t>X/X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E51" w:rsidRDefault="007F3E51" w:rsidP="00EE217B">
      <w:pPr>
        <w:pStyle w:val="Fuzeile"/>
      </w:pPr>
    </w:p>
    <w:p w:rsidR="007F3E51" w:rsidRPr="00EE217B" w:rsidRDefault="007F3E51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7F3E51" w:rsidRDefault="007F3E51" w:rsidP="00711AB6">
      <w:pPr>
        <w:spacing w:before="0"/>
        <w:jc w:val="center"/>
      </w:pPr>
    </w:p>
    <w:p w:rsidR="007F3E51" w:rsidRPr="00711AB6" w:rsidRDefault="007F3E51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665F75" w:rsidRDefault="007F3E51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354556" w:rsidRDefault="007F3E51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9429D3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6F240297"/>
    <w:multiLevelType w:val="hybridMultilevel"/>
    <w:tmpl w:val="F67A5B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8E2C3A"/>
    <w:multiLevelType w:val="hybridMultilevel"/>
    <w:tmpl w:val="D8469316"/>
    <w:lvl w:ilvl="0" w:tplc="0D140A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4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21"/>
  </w:num>
  <w:num w:numId="12">
    <w:abstractNumId w:val="11"/>
  </w:num>
  <w:num w:numId="13">
    <w:abstractNumId w:val="13"/>
  </w:num>
  <w:num w:numId="14">
    <w:abstractNumId w:val="20"/>
  </w:num>
  <w:num w:numId="15">
    <w:abstractNumId w:val="15"/>
  </w:num>
  <w:num w:numId="16">
    <w:abstractNumId w:val="14"/>
  </w:num>
  <w:num w:numId="17">
    <w:abstractNumId w:val="17"/>
  </w:num>
  <w:num w:numId="18">
    <w:abstractNumId w:val="19"/>
  </w:num>
  <w:num w:numId="19">
    <w:abstractNumId w:val="12"/>
  </w:num>
  <w:num w:numId="20">
    <w:abstractNumId w:val="8"/>
  </w:num>
  <w:num w:numId="21">
    <w:abstractNumId w:val="18"/>
  </w:num>
  <w:num w:numId="22">
    <w:abstractNumId w:val="16"/>
  </w:num>
  <w:num w:numId="23">
    <w:abstractNumId w:val="22"/>
  </w:num>
  <w:num w:numId="24">
    <w:abstractNumId w:val="9"/>
  </w:num>
  <w:num w:numId="25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773A3"/>
    <w:rsid w:val="00080B9A"/>
    <w:rsid w:val="00086B8A"/>
    <w:rsid w:val="00090E49"/>
    <w:rsid w:val="0009344D"/>
    <w:rsid w:val="00097B2B"/>
    <w:rsid w:val="000B1337"/>
    <w:rsid w:val="000E26F7"/>
    <w:rsid w:val="000E57B4"/>
    <w:rsid w:val="00106BBE"/>
    <w:rsid w:val="00111AC6"/>
    <w:rsid w:val="001205E2"/>
    <w:rsid w:val="001374FD"/>
    <w:rsid w:val="00143F11"/>
    <w:rsid w:val="0015500F"/>
    <w:rsid w:val="00165A53"/>
    <w:rsid w:val="00180880"/>
    <w:rsid w:val="00182B83"/>
    <w:rsid w:val="00183ACA"/>
    <w:rsid w:val="00184E10"/>
    <w:rsid w:val="0019585B"/>
    <w:rsid w:val="001A1B58"/>
    <w:rsid w:val="001A6337"/>
    <w:rsid w:val="001B3F50"/>
    <w:rsid w:val="001B454A"/>
    <w:rsid w:val="001B7E25"/>
    <w:rsid w:val="001C0D6B"/>
    <w:rsid w:val="001C1789"/>
    <w:rsid w:val="001D22E2"/>
    <w:rsid w:val="001E1F96"/>
    <w:rsid w:val="001E38E2"/>
    <w:rsid w:val="001E7A82"/>
    <w:rsid w:val="001F04DD"/>
    <w:rsid w:val="002062E0"/>
    <w:rsid w:val="002065BE"/>
    <w:rsid w:val="0021047B"/>
    <w:rsid w:val="00213C34"/>
    <w:rsid w:val="00222629"/>
    <w:rsid w:val="00257647"/>
    <w:rsid w:val="002717FB"/>
    <w:rsid w:val="00280D52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C1895"/>
    <w:rsid w:val="002C7903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A7861"/>
    <w:rsid w:val="003B420D"/>
    <w:rsid w:val="003C76FA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062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655A"/>
    <w:rsid w:val="005473EF"/>
    <w:rsid w:val="0055136F"/>
    <w:rsid w:val="0055156D"/>
    <w:rsid w:val="00567521"/>
    <w:rsid w:val="00583AA1"/>
    <w:rsid w:val="0058527F"/>
    <w:rsid w:val="00585859"/>
    <w:rsid w:val="005913EC"/>
    <w:rsid w:val="005921A2"/>
    <w:rsid w:val="005967E6"/>
    <w:rsid w:val="005B024A"/>
    <w:rsid w:val="005B57D7"/>
    <w:rsid w:val="005B7F7F"/>
    <w:rsid w:val="005C1C85"/>
    <w:rsid w:val="005C5708"/>
    <w:rsid w:val="005D1825"/>
    <w:rsid w:val="005D26BD"/>
    <w:rsid w:val="005D2A74"/>
    <w:rsid w:val="005D7367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A27FA"/>
    <w:rsid w:val="006C4228"/>
    <w:rsid w:val="006D45A1"/>
    <w:rsid w:val="006D7242"/>
    <w:rsid w:val="006E24F6"/>
    <w:rsid w:val="006E2847"/>
    <w:rsid w:val="006E7126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61107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1289"/>
    <w:rsid w:val="007A3E0C"/>
    <w:rsid w:val="007A407E"/>
    <w:rsid w:val="007B1945"/>
    <w:rsid w:val="007D3976"/>
    <w:rsid w:val="007D6927"/>
    <w:rsid w:val="007E0249"/>
    <w:rsid w:val="007F3A7C"/>
    <w:rsid w:val="007F3E51"/>
    <w:rsid w:val="00802ED4"/>
    <w:rsid w:val="00805892"/>
    <w:rsid w:val="0081072B"/>
    <w:rsid w:val="008248D3"/>
    <w:rsid w:val="00834FC0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85CEC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274B5"/>
    <w:rsid w:val="0095198B"/>
    <w:rsid w:val="00970211"/>
    <w:rsid w:val="009760D0"/>
    <w:rsid w:val="00977270"/>
    <w:rsid w:val="009773FE"/>
    <w:rsid w:val="0099236A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E3EDC"/>
    <w:rsid w:val="00AF1983"/>
    <w:rsid w:val="00AF76A2"/>
    <w:rsid w:val="00B1324F"/>
    <w:rsid w:val="00B13741"/>
    <w:rsid w:val="00B15817"/>
    <w:rsid w:val="00B1680D"/>
    <w:rsid w:val="00B2286E"/>
    <w:rsid w:val="00B22993"/>
    <w:rsid w:val="00B261B2"/>
    <w:rsid w:val="00B34064"/>
    <w:rsid w:val="00B50770"/>
    <w:rsid w:val="00B6345C"/>
    <w:rsid w:val="00B66196"/>
    <w:rsid w:val="00B73242"/>
    <w:rsid w:val="00B760B6"/>
    <w:rsid w:val="00B77530"/>
    <w:rsid w:val="00B86895"/>
    <w:rsid w:val="00B91F5A"/>
    <w:rsid w:val="00BA02EC"/>
    <w:rsid w:val="00BA1533"/>
    <w:rsid w:val="00BA1564"/>
    <w:rsid w:val="00BA7590"/>
    <w:rsid w:val="00BB730F"/>
    <w:rsid w:val="00BC04E1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5474E"/>
    <w:rsid w:val="00C61048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3468F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6D20"/>
    <w:rsid w:val="00E77518"/>
    <w:rsid w:val="00EA0865"/>
    <w:rsid w:val="00EA2ACF"/>
    <w:rsid w:val="00EA74B3"/>
    <w:rsid w:val="00EC00F0"/>
    <w:rsid w:val="00EE217B"/>
    <w:rsid w:val="00EF2558"/>
    <w:rsid w:val="00F01DD2"/>
    <w:rsid w:val="00F029CC"/>
    <w:rsid w:val="00F02A61"/>
    <w:rsid w:val="00F14FD2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A2967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46E9AD9C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0512B210-315E-4429-A5E4-2A46D30D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23</cp:revision>
  <cp:lastPrinted>2025-10-09T12:16:00Z</cp:lastPrinted>
  <dcterms:created xsi:type="dcterms:W3CDTF">2023-09-18T11:19:00Z</dcterms:created>
  <dcterms:modified xsi:type="dcterms:W3CDTF">2025-10-10T10:20:00Z</dcterms:modified>
</cp:coreProperties>
</file>