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Borders>
          <w:top w:val="none" w:sz="0" w:space="0" w:color="auto"/>
          <w:left w:val="none" w:sz="0" w:space="0" w:color="auto"/>
          <w:bottom w:val="none" w:sz="0" w:space="0" w:color="auto"/>
          <w:right w:val="none" w:sz="0" w:space="0" w:color="auto"/>
        </w:tblBorders>
        <w:shd w:val="clear" w:color="auto" w:fill="CCECFF"/>
        <w:tblLook w:val="04A0" w:firstRow="1" w:lastRow="0" w:firstColumn="1" w:lastColumn="0" w:noHBand="0" w:noVBand="1"/>
      </w:tblPr>
      <w:tblGrid>
        <w:gridCol w:w="8648"/>
        <w:gridCol w:w="424"/>
      </w:tblGrid>
      <w:tr w:rsidR="00AF76A2" w:rsidRPr="000503CF" w:rsidTr="00CA64ED">
        <w:trPr>
          <w:cantSplit/>
          <w:trHeight w:val="830"/>
        </w:trPr>
        <w:tc>
          <w:tcPr>
            <w:tcW w:w="8648" w:type="dxa"/>
            <w:tcBorders>
              <w:right w:val="nil"/>
            </w:tcBorders>
            <w:shd w:val="clear" w:color="auto" w:fill="CCECFF"/>
            <w:tcMar>
              <w:top w:w="113" w:type="dxa"/>
              <w:bottom w:w="113" w:type="dxa"/>
            </w:tcMar>
            <w:vAlign w:val="center"/>
          </w:tcPr>
          <w:p w:rsidR="000773A3" w:rsidRDefault="009274B5" w:rsidP="001A6337">
            <w:pPr>
              <w:pStyle w:val="berschrift1"/>
              <w:numPr>
                <w:ilvl w:val="0"/>
                <w:numId w:val="0"/>
              </w:numPr>
              <w:rPr>
                <w:rFonts w:ascii="Century Gothic" w:hAnsi="Century Gothic"/>
                <w:color w:val="00B0F0"/>
                <w:sz w:val="28"/>
              </w:rPr>
            </w:pPr>
            <w:r>
              <w:rPr>
                <w:rFonts w:ascii="Century Gothic" w:hAnsi="Century Gothic"/>
                <w:color w:val="00B0F0"/>
                <w:sz w:val="28"/>
              </w:rPr>
              <w:t xml:space="preserve">Lösungshinweise zu </w:t>
            </w:r>
            <w:r w:rsidR="00885CEC">
              <w:rPr>
                <w:rFonts w:ascii="Century Gothic" w:hAnsi="Century Gothic"/>
                <w:color w:val="00B0F0"/>
                <w:sz w:val="28"/>
              </w:rPr>
              <w:t>Praxisfragen</w:t>
            </w:r>
          </w:p>
          <w:p w:rsidR="00AF76A2" w:rsidRPr="007D6927" w:rsidRDefault="00885CEC" w:rsidP="001A6337">
            <w:pPr>
              <w:pStyle w:val="berschrift1"/>
              <w:numPr>
                <w:ilvl w:val="0"/>
                <w:numId w:val="0"/>
              </w:numPr>
              <w:rPr>
                <w:rFonts w:ascii="Century Gothic" w:hAnsi="Century Gothic"/>
                <w:sz w:val="28"/>
              </w:rPr>
            </w:pPr>
            <w:r>
              <w:rPr>
                <w:rFonts w:ascii="Century Gothic" w:hAnsi="Century Gothic"/>
                <w:color w:val="00B0F0"/>
                <w:sz w:val="28"/>
              </w:rPr>
              <w:t>Themenbereich</w:t>
            </w:r>
            <w:r w:rsidR="00B50770" w:rsidRPr="00280D52">
              <w:rPr>
                <w:rFonts w:ascii="Century Gothic" w:hAnsi="Century Gothic"/>
                <w:color w:val="00B0F0"/>
                <w:sz w:val="28"/>
              </w:rPr>
              <w:t xml:space="preserve"> </w:t>
            </w:r>
            <w:r w:rsidR="00480A8A">
              <w:rPr>
                <w:rFonts w:ascii="Century Gothic" w:hAnsi="Century Gothic"/>
                <w:color w:val="00B0F0"/>
                <w:sz w:val="28"/>
              </w:rPr>
              <w:t>3</w:t>
            </w:r>
            <w:r w:rsidR="003A7861" w:rsidRPr="00280D52">
              <w:rPr>
                <w:rFonts w:ascii="Century Gothic" w:hAnsi="Century Gothic"/>
                <w:color w:val="00B0F0"/>
                <w:sz w:val="28"/>
              </w:rPr>
              <w:t>:</w:t>
            </w:r>
            <w:r w:rsidR="005E0577" w:rsidRPr="00280D52">
              <w:rPr>
                <w:rFonts w:ascii="Century Gothic" w:hAnsi="Century Gothic"/>
                <w:color w:val="00B0F0"/>
                <w:sz w:val="28"/>
              </w:rPr>
              <w:t xml:space="preserve"> </w:t>
            </w:r>
            <w:r w:rsidR="00480A8A">
              <w:rPr>
                <w:rFonts w:ascii="Century Gothic" w:hAnsi="Century Gothic"/>
                <w:b w:val="0"/>
                <w:color w:val="00B0F0"/>
                <w:sz w:val="28"/>
              </w:rPr>
              <w:t>Bilanzierung immaterielle Vermögensgegenstände und Sachanlagevermögen</w:t>
            </w:r>
          </w:p>
        </w:tc>
        <w:tc>
          <w:tcPr>
            <w:tcW w:w="424" w:type="dxa"/>
            <w:tcBorders>
              <w:top w:val="nil"/>
              <w:left w:val="nil"/>
              <w:bottom w:val="nil"/>
            </w:tcBorders>
            <w:shd w:val="clear" w:color="auto" w:fill="CCECFF"/>
            <w:textDirection w:val="btLr"/>
            <w:vAlign w:val="center"/>
          </w:tcPr>
          <w:p w:rsidR="00AF76A2" w:rsidRPr="00B34064" w:rsidRDefault="00B50770" w:rsidP="00AF76A2">
            <w:pPr>
              <w:pStyle w:val="berschrift1"/>
              <w:numPr>
                <w:ilvl w:val="0"/>
                <w:numId w:val="0"/>
              </w:numPr>
              <w:ind w:left="113" w:right="113"/>
              <w:jc w:val="center"/>
              <w:rPr>
                <w:rFonts w:ascii="Century Gothic" w:hAnsi="Century Gothic"/>
                <w:b w:val="0"/>
                <w:sz w:val="28"/>
              </w:rPr>
            </w:pPr>
            <w:r w:rsidRPr="00885CEC">
              <w:rPr>
                <w:rFonts w:ascii="Century Gothic" w:hAnsi="Century Gothic"/>
                <w:b w:val="0"/>
                <w:color w:val="00B0F0"/>
                <w:sz w:val="12"/>
                <w:shd w:val="clear" w:color="auto" w:fill="00B0F0"/>
              </w:rPr>
              <w:t>0</w:t>
            </w:r>
            <w:r w:rsidR="00885CEC" w:rsidRPr="00885CEC">
              <w:rPr>
                <w:rFonts w:ascii="Century Gothic" w:hAnsi="Century Gothic"/>
                <w:b w:val="0"/>
                <w:color w:val="00B0F0"/>
                <w:sz w:val="12"/>
                <w:shd w:val="clear" w:color="auto" w:fill="00B0F0"/>
              </w:rPr>
              <w:t>7</w:t>
            </w:r>
            <w:r w:rsidR="00AF76A2" w:rsidRPr="00885CEC">
              <w:rPr>
                <w:rFonts w:ascii="Century Gothic" w:hAnsi="Century Gothic"/>
                <w:b w:val="0"/>
                <w:color w:val="00B0F0"/>
                <w:sz w:val="12"/>
                <w:shd w:val="clear" w:color="auto" w:fill="00B0F0"/>
              </w:rPr>
              <w:t>/202</w:t>
            </w:r>
            <w:r w:rsidR="00885CEC" w:rsidRPr="00885CEC">
              <w:rPr>
                <w:rFonts w:ascii="Century Gothic" w:hAnsi="Century Gothic"/>
                <w:b w:val="0"/>
                <w:color w:val="00B0F0"/>
                <w:sz w:val="12"/>
                <w:shd w:val="clear" w:color="auto" w:fill="00B0F0"/>
              </w:rPr>
              <w:t>5</w:t>
            </w:r>
          </w:p>
        </w:tc>
      </w:tr>
    </w:tbl>
    <w:p w:rsidR="00F3121A" w:rsidRPr="00354556" w:rsidRDefault="00F3121A" w:rsidP="008A5560">
      <w:pPr>
        <w:spacing w:before="0"/>
        <w:rPr>
          <w:sz w:val="24"/>
          <w:szCs w:val="28"/>
        </w:rPr>
      </w:pPr>
    </w:p>
    <w:tbl>
      <w:tblPr>
        <w:tblStyle w:val="Tabellenraster"/>
        <w:tblW w:w="9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767"/>
        <w:gridCol w:w="624"/>
        <w:gridCol w:w="656"/>
      </w:tblGrid>
      <w:tr w:rsidR="000773A3" w:rsidRPr="00E65739" w:rsidTr="001374FD">
        <w:tc>
          <w:tcPr>
            <w:tcW w:w="7767" w:type="dxa"/>
            <w:tcBorders>
              <w:top w:val="single" w:sz="4" w:space="0" w:color="auto"/>
              <w:right w:val="single" w:sz="4" w:space="0" w:color="FFFFFF"/>
            </w:tcBorders>
            <w:shd w:val="clear" w:color="auto" w:fill="D9D9D9" w:themeFill="background1" w:themeFillShade="D9"/>
          </w:tcPr>
          <w:p w:rsidR="00885CEC" w:rsidRPr="00E65739" w:rsidRDefault="00885CEC" w:rsidP="00885CEC">
            <w:pPr>
              <w:spacing w:before="0"/>
              <w:rPr>
                <w:b/>
                <w:sz w:val="24"/>
                <w:szCs w:val="28"/>
              </w:rPr>
            </w:pPr>
            <w:bookmarkStart w:id="0" w:name="_Hlk203041342"/>
            <w:r>
              <w:rPr>
                <w:b/>
                <w:sz w:val="24"/>
                <w:szCs w:val="28"/>
              </w:rPr>
              <w:t>Frage 1</w:t>
            </w:r>
          </w:p>
        </w:tc>
        <w:tc>
          <w:tcPr>
            <w:tcW w:w="624" w:type="dxa"/>
            <w:tcBorders>
              <w:top w:val="single" w:sz="4" w:space="0" w:color="auto"/>
              <w:left w:val="single" w:sz="4" w:space="0" w:color="FFFFFF"/>
            </w:tcBorders>
            <w:shd w:val="clear" w:color="auto" w:fill="D9D9D9" w:themeFill="background1" w:themeFillShade="D9"/>
          </w:tcPr>
          <w:p w:rsidR="00885CEC" w:rsidRPr="000773A3" w:rsidRDefault="00885CEC" w:rsidP="00885CEC">
            <w:pPr>
              <w:spacing w:before="0"/>
              <w:jc w:val="center"/>
              <w:rPr>
                <w:sz w:val="20"/>
                <w:szCs w:val="28"/>
              </w:rPr>
            </w:pPr>
            <w:r w:rsidRPr="000773A3">
              <w:rPr>
                <w:sz w:val="20"/>
                <w:szCs w:val="28"/>
              </w:rPr>
              <w:t>Ja</w:t>
            </w:r>
          </w:p>
        </w:tc>
        <w:tc>
          <w:tcPr>
            <w:tcW w:w="656" w:type="dxa"/>
            <w:tcBorders>
              <w:top w:val="single" w:sz="4" w:space="0" w:color="auto"/>
            </w:tcBorders>
            <w:shd w:val="clear" w:color="auto" w:fill="D9D9D9" w:themeFill="background1" w:themeFillShade="D9"/>
          </w:tcPr>
          <w:p w:rsidR="00885CEC" w:rsidRPr="000773A3" w:rsidRDefault="00885CEC" w:rsidP="00885CEC">
            <w:pPr>
              <w:spacing w:before="0"/>
              <w:jc w:val="center"/>
              <w:rPr>
                <w:sz w:val="20"/>
                <w:szCs w:val="28"/>
              </w:rPr>
            </w:pPr>
            <w:r w:rsidRPr="000773A3">
              <w:rPr>
                <w:sz w:val="20"/>
                <w:szCs w:val="28"/>
              </w:rPr>
              <w:t>Nein</w:t>
            </w:r>
          </w:p>
        </w:tc>
      </w:tr>
      <w:tr w:rsidR="00480A8A" w:rsidRPr="00E65739" w:rsidTr="000773A3">
        <w:trPr>
          <w:gridAfter w:val="2"/>
          <w:wAfter w:w="1280" w:type="dxa"/>
        </w:trPr>
        <w:tc>
          <w:tcPr>
            <w:tcW w:w="7767" w:type="dxa"/>
            <w:shd w:val="clear" w:color="auto" w:fill="auto"/>
            <w:vAlign w:val="center"/>
          </w:tcPr>
          <w:p w:rsidR="00480A8A" w:rsidRPr="00B86895" w:rsidRDefault="00480A8A" w:rsidP="00480A8A">
            <w:pPr>
              <w:spacing w:before="0"/>
              <w:rPr>
                <w:szCs w:val="22"/>
              </w:rPr>
            </w:pPr>
            <w:r w:rsidRPr="00480A8A">
              <w:rPr>
                <w:szCs w:val="22"/>
              </w:rPr>
              <w:t>In 2018 wurde eine Individualsoftware (&gt; 5.000 € - Erweiterung über den ursprünglichen Zustand hinaus) hergestellt und aktiviert, die zwei Jahre später modifiziert wird. Die Bearbeitung der Modifikation wird von eigenen Angestellten gemeinsam mit Mitarbeitern eines Softwareunternehmens vorgenommen, wobei die eigenen Angestellten nur zuarbeiten.</w:t>
            </w:r>
          </w:p>
        </w:tc>
      </w:tr>
      <w:bookmarkEnd w:id="0"/>
      <w:tr w:rsidR="000773A3" w:rsidRPr="00E65739" w:rsidTr="000773A3">
        <w:trPr>
          <w:gridAfter w:val="2"/>
          <w:wAfter w:w="1280" w:type="dxa"/>
        </w:trPr>
        <w:tc>
          <w:tcPr>
            <w:tcW w:w="7767" w:type="dxa"/>
            <w:shd w:val="clear" w:color="auto" w:fill="auto"/>
            <w:vAlign w:val="center"/>
          </w:tcPr>
          <w:p w:rsidR="00885CEC" w:rsidRDefault="00480A8A" w:rsidP="00885CEC">
            <w:pPr>
              <w:spacing w:before="0"/>
              <w:jc w:val="left"/>
              <w:rPr>
                <w:b/>
                <w:sz w:val="24"/>
                <w:szCs w:val="28"/>
              </w:rPr>
            </w:pPr>
            <w:r w:rsidRPr="00480A8A">
              <w:rPr>
                <w:szCs w:val="22"/>
              </w:rPr>
              <w:t>Wie sind die Aufwendungen des Jahres zu bewerten?</w:t>
            </w:r>
          </w:p>
        </w:tc>
      </w:tr>
      <w:tr w:rsidR="000773A3" w:rsidRPr="00E65739" w:rsidTr="000773A3">
        <w:tc>
          <w:tcPr>
            <w:tcW w:w="7767" w:type="dxa"/>
            <w:shd w:val="clear" w:color="auto" w:fill="auto"/>
            <w:vAlign w:val="center"/>
          </w:tcPr>
          <w:p w:rsidR="00885CEC" w:rsidRPr="001F3BFE" w:rsidRDefault="00480A8A" w:rsidP="000773A3">
            <w:pPr>
              <w:pStyle w:val="Listenabsatz"/>
              <w:numPr>
                <w:ilvl w:val="0"/>
                <w:numId w:val="24"/>
              </w:numPr>
              <w:spacing w:before="0"/>
              <w:ind w:left="454" w:hanging="425"/>
              <w:jc w:val="left"/>
            </w:pPr>
            <w:r w:rsidRPr="00480A8A">
              <w:t>Es besteht ein Aktivierungsgebot, da die in 2018 hergestellte Individualsoftware aktiviert wurde.</w:t>
            </w:r>
          </w:p>
        </w:tc>
        <w:tc>
          <w:tcPr>
            <w:tcW w:w="624" w:type="dxa"/>
            <w:shd w:val="clear" w:color="auto" w:fill="auto"/>
            <w:vAlign w:val="center"/>
          </w:tcPr>
          <w:p w:rsidR="00885CEC" w:rsidRDefault="00480A8A" w:rsidP="00885CEC">
            <w:pPr>
              <w:spacing w:before="0"/>
              <w:jc w:val="center"/>
              <w:rPr>
                <w:b/>
                <w:sz w:val="24"/>
                <w:szCs w:val="28"/>
              </w:rPr>
            </w:pPr>
            <w:r>
              <w:rPr>
                <w:rFonts w:ascii="Wingdings" w:hAnsi="Wingdings" w:cs="Wingdings"/>
                <w:sz w:val="26"/>
                <w:szCs w:val="26"/>
              </w:rPr>
              <w:t></w:t>
            </w:r>
          </w:p>
        </w:tc>
        <w:tc>
          <w:tcPr>
            <w:tcW w:w="656" w:type="dxa"/>
            <w:shd w:val="clear" w:color="auto" w:fill="auto"/>
            <w:vAlign w:val="center"/>
          </w:tcPr>
          <w:p w:rsidR="00885CEC" w:rsidRDefault="00480A8A" w:rsidP="00885CEC">
            <w:pPr>
              <w:spacing w:before="0"/>
              <w:jc w:val="center"/>
              <w:rPr>
                <w:b/>
                <w:sz w:val="24"/>
                <w:szCs w:val="28"/>
              </w:rPr>
            </w:pPr>
            <w:r>
              <w:rPr>
                <w:rFonts w:ascii="Wingdings" w:hAnsi="Wingdings" w:cs="Wingdings"/>
                <w:sz w:val="26"/>
                <w:szCs w:val="26"/>
              </w:rPr>
              <w:t></w:t>
            </w:r>
          </w:p>
        </w:tc>
      </w:tr>
      <w:tr w:rsidR="000773A3" w:rsidRPr="00E65739" w:rsidTr="000773A3">
        <w:tc>
          <w:tcPr>
            <w:tcW w:w="7767" w:type="dxa"/>
            <w:shd w:val="clear" w:color="auto" w:fill="auto"/>
            <w:vAlign w:val="center"/>
          </w:tcPr>
          <w:p w:rsidR="00885CEC" w:rsidRPr="001F3BFE" w:rsidRDefault="00480A8A" w:rsidP="000773A3">
            <w:pPr>
              <w:pStyle w:val="Listenabsatz"/>
              <w:numPr>
                <w:ilvl w:val="0"/>
                <w:numId w:val="24"/>
              </w:numPr>
              <w:spacing w:before="0"/>
              <w:ind w:left="454" w:hanging="425"/>
              <w:jc w:val="left"/>
            </w:pPr>
            <w:r w:rsidRPr="00480A8A">
              <w:t>Es besteht ein Aktivierungswahlrecht, da sowohl eigene Angestellte und auch fremde Personen eingebunden sind.</w:t>
            </w:r>
          </w:p>
        </w:tc>
        <w:tc>
          <w:tcPr>
            <w:tcW w:w="624" w:type="dxa"/>
            <w:shd w:val="clear" w:color="auto" w:fill="auto"/>
            <w:vAlign w:val="center"/>
          </w:tcPr>
          <w:p w:rsidR="00885CEC" w:rsidRDefault="0091405A" w:rsidP="00885CEC">
            <w:pPr>
              <w:spacing w:before="0"/>
              <w:jc w:val="center"/>
              <w:rPr>
                <w:b/>
                <w:sz w:val="24"/>
                <w:szCs w:val="28"/>
              </w:rPr>
            </w:pPr>
            <w:r>
              <w:rPr>
                <w:rFonts w:ascii="Wingdings" w:hAnsi="Wingdings" w:cs="Wingdings"/>
                <w:sz w:val="26"/>
                <w:szCs w:val="26"/>
              </w:rPr>
              <w:t></w:t>
            </w:r>
          </w:p>
        </w:tc>
        <w:tc>
          <w:tcPr>
            <w:tcW w:w="656" w:type="dxa"/>
            <w:shd w:val="clear" w:color="auto" w:fill="auto"/>
            <w:vAlign w:val="center"/>
          </w:tcPr>
          <w:p w:rsidR="00885CEC" w:rsidRDefault="0091405A" w:rsidP="00885CEC">
            <w:pPr>
              <w:spacing w:before="0"/>
              <w:jc w:val="center"/>
              <w:rPr>
                <w:b/>
                <w:sz w:val="24"/>
                <w:szCs w:val="28"/>
              </w:rPr>
            </w:pPr>
            <w:r>
              <w:rPr>
                <w:rFonts w:ascii="Wingdings" w:hAnsi="Wingdings" w:cs="Wingdings"/>
                <w:sz w:val="26"/>
                <w:szCs w:val="26"/>
              </w:rPr>
              <w:t></w:t>
            </w:r>
          </w:p>
        </w:tc>
      </w:tr>
      <w:tr w:rsidR="000773A3" w:rsidRPr="00E65739" w:rsidTr="000773A3">
        <w:tc>
          <w:tcPr>
            <w:tcW w:w="7767" w:type="dxa"/>
            <w:shd w:val="clear" w:color="auto" w:fill="auto"/>
            <w:vAlign w:val="center"/>
          </w:tcPr>
          <w:p w:rsidR="00885CEC" w:rsidRDefault="00480A8A" w:rsidP="000773A3">
            <w:pPr>
              <w:pStyle w:val="Listenabsatz"/>
              <w:numPr>
                <w:ilvl w:val="0"/>
                <w:numId w:val="24"/>
              </w:numPr>
              <w:spacing w:before="0"/>
              <w:ind w:left="454" w:hanging="425"/>
              <w:jc w:val="left"/>
            </w:pPr>
            <w:r w:rsidRPr="00480A8A">
              <w:t>Es handelt sich um einen neuen Vermögensgegenstand.</w:t>
            </w:r>
          </w:p>
        </w:tc>
        <w:tc>
          <w:tcPr>
            <w:tcW w:w="624" w:type="dxa"/>
            <w:shd w:val="clear" w:color="auto" w:fill="auto"/>
            <w:vAlign w:val="center"/>
          </w:tcPr>
          <w:p w:rsidR="00885CEC" w:rsidRDefault="00480A8A" w:rsidP="00885CEC">
            <w:pPr>
              <w:spacing w:before="0"/>
              <w:jc w:val="center"/>
              <w:rPr>
                <w:b/>
                <w:sz w:val="24"/>
                <w:szCs w:val="28"/>
              </w:rPr>
            </w:pPr>
            <w:r>
              <w:rPr>
                <w:rFonts w:ascii="Wingdings" w:hAnsi="Wingdings" w:cs="Wingdings"/>
                <w:sz w:val="26"/>
                <w:szCs w:val="26"/>
              </w:rPr>
              <w:t></w:t>
            </w:r>
          </w:p>
        </w:tc>
        <w:tc>
          <w:tcPr>
            <w:tcW w:w="656" w:type="dxa"/>
            <w:shd w:val="clear" w:color="auto" w:fill="auto"/>
            <w:vAlign w:val="center"/>
          </w:tcPr>
          <w:p w:rsidR="00885CEC" w:rsidRDefault="00480A8A" w:rsidP="00885CEC">
            <w:pPr>
              <w:spacing w:before="0"/>
              <w:jc w:val="center"/>
              <w:rPr>
                <w:b/>
                <w:sz w:val="24"/>
                <w:szCs w:val="28"/>
              </w:rPr>
            </w:pPr>
            <w:r>
              <w:rPr>
                <w:rFonts w:ascii="Wingdings" w:hAnsi="Wingdings" w:cs="Wingdings"/>
                <w:sz w:val="26"/>
                <w:szCs w:val="26"/>
              </w:rPr>
              <w:t></w:t>
            </w:r>
          </w:p>
        </w:tc>
      </w:tr>
      <w:tr w:rsidR="00B86895" w:rsidRPr="00E65739" w:rsidTr="000773A3">
        <w:tc>
          <w:tcPr>
            <w:tcW w:w="7767" w:type="dxa"/>
            <w:shd w:val="clear" w:color="auto" w:fill="auto"/>
            <w:vAlign w:val="center"/>
          </w:tcPr>
          <w:p w:rsidR="00B86895" w:rsidRPr="001F3BFE" w:rsidRDefault="00480A8A" w:rsidP="000773A3">
            <w:pPr>
              <w:pStyle w:val="Listenabsatz"/>
              <w:numPr>
                <w:ilvl w:val="0"/>
                <w:numId w:val="24"/>
              </w:numPr>
              <w:spacing w:before="0"/>
              <w:ind w:left="454" w:hanging="425"/>
              <w:jc w:val="left"/>
            </w:pPr>
            <w:r w:rsidRPr="00480A8A">
              <w:t>Es besteht ein Aktivierungsverbot, für die Aufwendungen der eigenen Angestellten.</w:t>
            </w:r>
          </w:p>
        </w:tc>
        <w:tc>
          <w:tcPr>
            <w:tcW w:w="624" w:type="dxa"/>
            <w:shd w:val="clear" w:color="auto" w:fill="auto"/>
            <w:vAlign w:val="center"/>
          </w:tcPr>
          <w:p w:rsidR="00B86895" w:rsidRDefault="00B86895" w:rsidP="00885CEC">
            <w:pPr>
              <w:spacing w:before="0"/>
              <w:jc w:val="center"/>
              <w:rPr>
                <w:rFonts w:ascii="Wingdings" w:hAnsi="Wingdings" w:cs="Wingdings"/>
                <w:sz w:val="26"/>
                <w:szCs w:val="26"/>
              </w:rPr>
            </w:pPr>
            <w:r>
              <w:rPr>
                <w:rFonts w:ascii="Wingdings" w:hAnsi="Wingdings" w:cs="Wingdings"/>
                <w:sz w:val="26"/>
                <w:szCs w:val="26"/>
              </w:rPr>
              <w:t></w:t>
            </w:r>
          </w:p>
        </w:tc>
        <w:tc>
          <w:tcPr>
            <w:tcW w:w="656" w:type="dxa"/>
            <w:shd w:val="clear" w:color="auto" w:fill="auto"/>
            <w:vAlign w:val="center"/>
          </w:tcPr>
          <w:p w:rsidR="00B86895" w:rsidRDefault="00B86895" w:rsidP="00885CEC">
            <w:pPr>
              <w:spacing w:before="0"/>
              <w:jc w:val="center"/>
              <w:rPr>
                <w:rFonts w:ascii="Wingdings" w:hAnsi="Wingdings" w:cs="Wingdings"/>
                <w:sz w:val="26"/>
                <w:szCs w:val="26"/>
              </w:rPr>
            </w:pPr>
            <w:r>
              <w:rPr>
                <w:rFonts w:ascii="Wingdings" w:hAnsi="Wingdings" w:cs="Wingdings"/>
                <w:sz w:val="26"/>
                <w:szCs w:val="26"/>
              </w:rPr>
              <w:t></w:t>
            </w:r>
          </w:p>
        </w:tc>
      </w:tr>
    </w:tbl>
    <w:p w:rsidR="002C1895" w:rsidRDefault="002C1895"/>
    <w:tbl>
      <w:tblPr>
        <w:tblStyle w:val="Tabellenraster"/>
        <w:tblW w:w="9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767"/>
        <w:gridCol w:w="624"/>
        <w:gridCol w:w="656"/>
      </w:tblGrid>
      <w:tr w:rsidR="000773A3" w:rsidRPr="000773A3" w:rsidTr="000773A3">
        <w:tc>
          <w:tcPr>
            <w:tcW w:w="7767" w:type="dxa"/>
            <w:shd w:val="clear" w:color="auto" w:fill="F2F2F2" w:themeFill="background1" w:themeFillShade="F2"/>
          </w:tcPr>
          <w:p w:rsidR="000773A3" w:rsidRPr="00E65739" w:rsidRDefault="000773A3" w:rsidP="00855C54">
            <w:pPr>
              <w:spacing w:before="0"/>
              <w:rPr>
                <w:b/>
                <w:sz w:val="24"/>
                <w:szCs w:val="28"/>
              </w:rPr>
            </w:pPr>
            <w:r>
              <w:rPr>
                <w:b/>
                <w:sz w:val="24"/>
                <w:szCs w:val="28"/>
              </w:rPr>
              <w:t>Lösungshinweise zu Frage 1</w:t>
            </w:r>
          </w:p>
        </w:tc>
        <w:tc>
          <w:tcPr>
            <w:tcW w:w="624" w:type="dxa"/>
            <w:shd w:val="clear" w:color="auto" w:fill="F2F2F2" w:themeFill="background1" w:themeFillShade="F2"/>
          </w:tcPr>
          <w:p w:rsidR="000773A3" w:rsidRPr="000773A3" w:rsidRDefault="000773A3" w:rsidP="00855C54">
            <w:pPr>
              <w:spacing w:before="0"/>
              <w:jc w:val="center"/>
              <w:rPr>
                <w:sz w:val="20"/>
                <w:szCs w:val="28"/>
              </w:rPr>
            </w:pPr>
          </w:p>
        </w:tc>
        <w:tc>
          <w:tcPr>
            <w:tcW w:w="656" w:type="dxa"/>
            <w:shd w:val="clear" w:color="auto" w:fill="F2F2F2" w:themeFill="background1" w:themeFillShade="F2"/>
          </w:tcPr>
          <w:p w:rsidR="000773A3" w:rsidRPr="000773A3" w:rsidRDefault="000773A3" w:rsidP="00855C54">
            <w:pPr>
              <w:spacing w:before="0"/>
              <w:jc w:val="center"/>
              <w:rPr>
                <w:sz w:val="20"/>
                <w:szCs w:val="28"/>
              </w:rPr>
            </w:pPr>
          </w:p>
        </w:tc>
      </w:tr>
      <w:tr w:rsidR="0091405A" w:rsidRPr="00E65739" w:rsidTr="00033F20">
        <w:tc>
          <w:tcPr>
            <w:tcW w:w="7767" w:type="dxa"/>
            <w:shd w:val="clear" w:color="auto" w:fill="auto"/>
          </w:tcPr>
          <w:p w:rsidR="0091405A" w:rsidRPr="002B6CD6" w:rsidRDefault="0091405A" w:rsidP="0091405A">
            <w:pPr>
              <w:spacing w:before="0"/>
            </w:pPr>
            <w:r>
              <w:rPr>
                <w:b/>
              </w:rPr>
              <w:t>z</w:t>
            </w:r>
            <w:r w:rsidRPr="0091405A">
              <w:rPr>
                <w:b/>
              </w:rPr>
              <w:t>u a)</w:t>
            </w:r>
            <w:r w:rsidRPr="002B6CD6">
              <w:t xml:space="preserve"> </w:t>
            </w:r>
            <w:r w:rsidR="00480A8A" w:rsidRPr="00480A8A">
              <w:t>In 2018 wurde das Aktivierungswahlrecht ausgeübt. Die neuen Aufwendungen müssen einheitlich, also in Übereinstimmung mit 2018, bewertet werden.</w:t>
            </w:r>
          </w:p>
        </w:tc>
        <w:tc>
          <w:tcPr>
            <w:tcW w:w="624" w:type="dxa"/>
            <w:shd w:val="clear" w:color="auto" w:fill="auto"/>
            <w:vAlign w:val="center"/>
          </w:tcPr>
          <w:p w:rsidR="0091405A" w:rsidRDefault="0091405A" w:rsidP="0091405A">
            <w:pPr>
              <w:spacing w:before="0"/>
              <w:jc w:val="center"/>
              <w:rPr>
                <w:rFonts w:ascii="Wingdings" w:hAnsi="Wingdings" w:cs="Wingdings"/>
                <w:sz w:val="26"/>
                <w:szCs w:val="26"/>
              </w:rPr>
            </w:pPr>
          </w:p>
        </w:tc>
        <w:tc>
          <w:tcPr>
            <w:tcW w:w="656" w:type="dxa"/>
            <w:shd w:val="clear" w:color="auto" w:fill="auto"/>
            <w:vAlign w:val="center"/>
          </w:tcPr>
          <w:p w:rsidR="0091405A" w:rsidRDefault="0091405A" w:rsidP="0091405A">
            <w:pPr>
              <w:spacing w:before="0"/>
              <w:jc w:val="center"/>
              <w:rPr>
                <w:rFonts w:ascii="Wingdings" w:hAnsi="Wingdings" w:cs="Wingdings"/>
                <w:sz w:val="26"/>
                <w:szCs w:val="26"/>
              </w:rPr>
            </w:pPr>
          </w:p>
        </w:tc>
      </w:tr>
      <w:tr w:rsidR="0091405A" w:rsidRPr="00E65739" w:rsidTr="00033F20">
        <w:tc>
          <w:tcPr>
            <w:tcW w:w="7767" w:type="dxa"/>
            <w:shd w:val="clear" w:color="auto" w:fill="auto"/>
          </w:tcPr>
          <w:p w:rsidR="0091405A" w:rsidRPr="002B6CD6" w:rsidRDefault="0091405A" w:rsidP="0091405A">
            <w:pPr>
              <w:spacing w:before="0"/>
            </w:pPr>
            <w:r>
              <w:rPr>
                <w:b/>
              </w:rPr>
              <w:t>z</w:t>
            </w:r>
            <w:r w:rsidRPr="0091405A">
              <w:rPr>
                <w:b/>
              </w:rPr>
              <w:t>u b)</w:t>
            </w:r>
            <w:r w:rsidRPr="002B6CD6">
              <w:t xml:space="preserve"> </w:t>
            </w:r>
            <w:r w:rsidR="00480A8A" w:rsidRPr="00480A8A">
              <w:t>vgl. Antwort zu a), wer das Herstellungsrisiko trägt, ist irrelevant</w:t>
            </w:r>
          </w:p>
        </w:tc>
        <w:tc>
          <w:tcPr>
            <w:tcW w:w="624" w:type="dxa"/>
            <w:shd w:val="clear" w:color="auto" w:fill="auto"/>
            <w:vAlign w:val="center"/>
          </w:tcPr>
          <w:p w:rsidR="0091405A" w:rsidRDefault="0091405A" w:rsidP="0091405A">
            <w:pPr>
              <w:spacing w:before="0"/>
              <w:jc w:val="center"/>
              <w:rPr>
                <w:rFonts w:ascii="Wingdings" w:hAnsi="Wingdings" w:cs="Wingdings"/>
                <w:sz w:val="26"/>
                <w:szCs w:val="26"/>
              </w:rPr>
            </w:pPr>
          </w:p>
        </w:tc>
        <w:tc>
          <w:tcPr>
            <w:tcW w:w="656" w:type="dxa"/>
            <w:shd w:val="clear" w:color="auto" w:fill="auto"/>
            <w:vAlign w:val="center"/>
          </w:tcPr>
          <w:p w:rsidR="0091405A" w:rsidRDefault="0091405A" w:rsidP="0091405A">
            <w:pPr>
              <w:spacing w:before="0"/>
              <w:jc w:val="center"/>
              <w:rPr>
                <w:rFonts w:ascii="Wingdings" w:hAnsi="Wingdings" w:cs="Wingdings"/>
                <w:sz w:val="26"/>
                <w:szCs w:val="26"/>
              </w:rPr>
            </w:pPr>
          </w:p>
        </w:tc>
      </w:tr>
      <w:tr w:rsidR="0091405A" w:rsidRPr="00E65739" w:rsidTr="00033F20">
        <w:tc>
          <w:tcPr>
            <w:tcW w:w="7767" w:type="dxa"/>
            <w:shd w:val="clear" w:color="auto" w:fill="auto"/>
          </w:tcPr>
          <w:p w:rsidR="0091405A" w:rsidRPr="002B6CD6" w:rsidRDefault="0091405A" w:rsidP="0091405A">
            <w:pPr>
              <w:spacing w:before="0"/>
            </w:pPr>
            <w:r w:rsidRPr="0091405A">
              <w:rPr>
                <w:b/>
              </w:rPr>
              <w:t>zu c)</w:t>
            </w:r>
            <w:r w:rsidRPr="002B6CD6">
              <w:t xml:space="preserve"> </w:t>
            </w:r>
            <w:r w:rsidR="00480A8A" w:rsidRPr="00480A8A">
              <w:t>Es handelt sich um die Erweiterung eines bestehenden Vermögensgegenstandes, nicht um die Entstehung eines Neuen.</w:t>
            </w:r>
          </w:p>
        </w:tc>
        <w:tc>
          <w:tcPr>
            <w:tcW w:w="624" w:type="dxa"/>
            <w:shd w:val="clear" w:color="auto" w:fill="auto"/>
            <w:vAlign w:val="center"/>
          </w:tcPr>
          <w:p w:rsidR="0091405A" w:rsidRDefault="0091405A" w:rsidP="0091405A">
            <w:pPr>
              <w:spacing w:before="0"/>
              <w:jc w:val="center"/>
              <w:rPr>
                <w:rFonts w:ascii="Wingdings" w:hAnsi="Wingdings" w:cs="Wingdings"/>
                <w:sz w:val="26"/>
                <w:szCs w:val="26"/>
              </w:rPr>
            </w:pPr>
          </w:p>
        </w:tc>
        <w:tc>
          <w:tcPr>
            <w:tcW w:w="656" w:type="dxa"/>
            <w:shd w:val="clear" w:color="auto" w:fill="auto"/>
            <w:vAlign w:val="center"/>
          </w:tcPr>
          <w:p w:rsidR="0091405A" w:rsidRDefault="0091405A" w:rsidP="0091405A">
            <w:pPr>
              <w:spacing w:before="0"/>
              <w:jc w:val="center"/>
              <w:rPr>
                <w:rFonts w:ascii="Wingdings" w:hAnsi="Wingdings" w:cs="Wingdings"/>
                <w:sz w:val="26"/>
                <w:szCs w:val="26"/>
              </w:rPr>
            </w:pPr>
          </w:p>
        </w:tc>
      </w:tr>
      <w:tr w:rsidR="0091405A" w:rsidRPr="00E65739" w:rsidTr="00033F20">
        <w:tc>
          <w:tcPr>
            <w:tcW w:w="7767" w:type="dxa"/>
            <w:shd w:val="clear" w:color="auto" w:fill="auto"/>
          </w:tcPr>
          <w:p w:rsidR="0091405A" w:rsidRPr="002B6CD6" w:rsidRDefault="0091405A" w:rsidP="0091405A">
            <w:pPr>
              <w:spacing w:before="0"/>
            </w:pPr>
            <w:r w:rsidRPr="0091405A">
              <w:rPr>
                <w:b/>
              </w:rPr>
              <w:t>zu d)</w:t>
            </w:r>
            <w:r w:rsidRPr="002B6CD6">
              <w:t xml:space="preserve"> </w:t>
            </w:r>
            <w:r w:rsidR="00480A8A" w:rsidRPr="00480A8A">
              <w:t>Die eigenen Aufwendungen fallen nicht unter das Aktivierungsverbot von § 248 Abs. 2 Satz 2 HGB.</w:t>
            </w:r>
          </w:p>
        </w:tc>
        <w:tc>
          <w:tcPr>
            <w:tcW w:w="624" w:type="dxa"/>
            <w:shd w:val="clear" w:color="auto" w:fill="auto"/>
            <w:vAlign w:val="center"/>
          </w:tcPr>
          <w:p w:rsidR="0091405A" w:rsidRDefault="0091405A" w:rsidP="0091405A">
            <w:pPr>
              <w:spacing w:before="0"/>
              <w:jc w:val="center"/>
              <w:rPr>
                <w:rFonts w:ascii="Wingdings" w:hAnsi="Wingdings" w:cs="Wingdings"/>
                <w:sz w:val="26"/>
                <w:szCs w:val="26"/>
              </w:rPr>
            </w:pPr>
          </w:p>
        </w:tc>
        <w:tc>
          <w:tcPr>
            <w:tcW w:w="656" w:type="dxa"/>
            <w:shd w:val="clear" w:color="auto" w:fill="auto"/>
            <w:vAlign w:val="center"/>
          </w:tcPr>
          <w:p w:rsidR="0091405A" w:rsidRDefault="0091405A" w:rsidP="0091405A">
            <w:pPr>
              <w:spacing w:before="0"/>
              <w:jc w:val="center"/>
              <w:rPr>
                <w:rFonts w:ascii="Wingdings" w:hAnsi="Wingdings" w:cs="Wingdings"/>
                <w:sz w:val="26"/>
                <w:szCs w:val="26"/>
              </w:rPr>
            </w:pPr>
          </w:p>
        </w:tc>
      </w:tr>
      <w:tr w:rsidR="00480A8A" w:rsidRPr="00E65739" w:rsidTr="00033F20">
        <w:tc>
          <w:tcPr>
            <w:tcW w:w="7767" w:type="dxa"/>
            <w:shd w:val="clear" w:color="auto" w:fill="auto"/>
          </w:tcPr>
          <w:p w:rsidR="00480A8A" w:rsidRPr="004D1083" w:rsidRDefault="00480A8A" w:rsidP="00480A8A">
            <w:pPr>
              <w:spacing w:before="0"/>
            </w:pPr>
            <w:r w:rsidRPr="00480A8A">
              <w:rPr>
                <w:b/>
              </w:rPr>
              <w:t>Modifikationsaufwendungen</w:t>
            </w:r>
            <w:r w:rsidRPr="004D1083">
              <w:t xml:space="preserve"> (= Aufwendungen für eine Erweiterung über den ursprünglichen Zustand hinaus was zu einer wesentlichen Verbesserung führt)</w:t>
            </w:r>
          </w:p>
        </w:tc>
        <w:tc>
          <w:tcPr>
            <w:tcW w:w="624" w:type="dxa"/>
            <w:shd w:val="clear" w:color="auto" w:fill="auto"/>
            <w:vAlign w:val="center"/>
          </w:tcPr>
          <w:p w:rsidR="00480A8A" w:rsidRDefault="00480A8A" w:rsidP="00480A8A">
            <w:pPr>
              <w:spacing w:before="0"/>
              <w:jc w:val="center"/>
              <w:rPr>
                <w:rFonts w:ascii="Wingdings" w:hAnsi="Wingdings" w:cs="Wingdings"/>
                <w:sz w:val="26"/>
                <w:szCs w:val="26"/>
              </w:rPr>
            </w:pPr>
          </w:p>
        </w:tc>
        <w:tc>
          <w:tcPr>
            <w:tcW w:w="656" w:type="dxa"/>
            <w:shd w:val="clear" w:color="auto" w:fill="auto"/>
            <w:vAlign w:val="center"/>
          </w:tcPr>
          <w:p w:rsidR="00480A8A" w:rsidRDefault="00480A8A" w:rsidP="00480A8A">
            <w:pPr>
              <w:spacing w:before="0"/>
              <w:jc w:val="center"/>
              <w:rPr>
                <w:rFonts w:ascii="Wingdings" w:hAnsi="Wingdings" w:cs="Wingdings"/>
                <w:sz w:val="26"/>
                <w:szCs w:val="26"/>
              </w:rPr>
            </w:pPr>
          </w:p>
        </w:tc>
      </w:tr>
      <w:tr w:rsidR="00480A8A" w:rsidRPr="00E65739" w:rsidTr="00033F20">
        <w:tc>
          <w:tcPr>
            <w:tcW w:w="7767" w:type="dxa"/>
            <w:shd w:val="clear" w:color="auto" w:fill="auto"/>
          </w:tcPr>
          <w:p w:rsidR="00480A8A" w:rsidRDefault="00480A8A" w:rsidP="00480A8A">
            <w:pPr>
              <w:spacing w:before="0"/>
            </w:pPr>
            <w:r w:rsidRPr="004D1083">
              <w:t xml:space="preserve">Es gilt </w:t>
            </w:r>
            <w:r w:rsidRPr="00480A8A">
              <w:rPr>
                <w:b/>
              </w:rPr>
              <w:t>Ansatzstetigkeit: die bilanzielle Behandlung der Aufwendungen</w:t>
            </w:r>
            <w:r w:rsidRPr="004D1083">
              <w:t xml:space="preserve"> für den Erwerb </w:t>
            </w:r>
            <w:r w:rsidRPr="00480A8A">
              <w:rPr>
                <w:b/>
              </w:rPr>
              <w:t>der ursprünglichen Software ist entscheidend</w:t>
            </w:r>
            <w:r w:rsidRPr="004D1083">
              <w:t xml:space="preserve"> (Irrelevant ist nach Tz. 16 des IDW RS HFA 11 n. F., wer das Herstellungsrisiko trägt</w:t>
            </w:r>
            <w:r w:rsidR="00F05052">
              <w:t>)</w:t>
            </w:r>
            <w:r w:rsidRPr="004D1083">
              <w:t>.</w:t>
            </w:r>
          </w:p>
        </w:tc>
        <w:tc>
          <w:tcPr>
            <w:tcW w:w="624" w:type="dxa"/>
            <w:shd w:val="clear" w:color="auto" w:fill="auto"/>
            <w:vAlign w:val="center"/>
          </w:tcPr>
          <w:p w:rsidR="00480A8A" w:rsidRDefault="00480A8A" w:rsidP="00480A8A">
            <w:pPr>
              <w:spacing w:before="0"/>
              <w:jc w:val="center"/>
              <w:rPr>
                <w:rFonts w:ascii="Wingdings" w:hAnsi="Wingdings" w:cs="Wingdings"/>
                <w:sz w:val="26"/>
                <w:szCs w:val="26"/>
              </w:rPr>
            </w:pPr>
          </w:p>
        </w:tc>
        <w:tc>
          <w:tcPr>
            <w:tcW w:w="656" w:type="dxa"/>
            <w:shd w:val="clear" w:color="auto" w:fill="auto"/>
            <w:vAlign w:val="center"/>
          </w:tcPr>
          <w:p w:rsidR="00480A8A" w:rsidRDefault="00480A8A" w:rsidP="00480A8A">
            <w:pPr>
              <w:spacing w:before="0"/>
              <w:jc w:val="center"/>
              <w:rPr>
                <w:rFonts w:ascii="Wingdings" w:hAnsi="Wingdings" w:cs="Wingdings"/>
                <w:sz w:val="26"/>
                <w:szCs w:val="26"/>
              </w:rPr>
            </w:pPr>
          </w:p>
        </w:tc>
      </w:tr>
    </w:tbl>
    <w:p w:rsidR="009274B5" w:rsidRDefault="00F4319F" w:rsidP="00B86895">
      <w:pPr>
        <w:rPr>
          <w:szCs w:val="28"/>
        </w:rPr>
      </w:pPr>
      <w:r>
        <w:rPr>
          <w:szCs w:val="28"/>
        </w:rPr>
        <w:object w:dxaOrig="9802" w:dyaOrig="55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45pt;height:233.3pt" o:ole="">
            <v:imagedata r:id="rId9" o:title="" croptop="4962f" cropbottom="3494f" cropleft="1797f" cropright="1804f"/>
          </v:shape>
          <o:OLEObject Type="Embed" ProgID="PowerPoint.Slide.12" ShapeID="_x0000_i1025" DrawAspect="Content" ObjectID="_1821598455" r:id="rId10"/>
        </w:object>
      </w:r>
      <w:r>
        <w:rPr>
          <w:szCs w:val="28"/>
        </w:rPr>
        <w:br/>
      </w:r>
    </w:p>
    <w:p w:rsidR="00B929CA" w:rsidRDefault="00B929CA" w:rsidP="00B86895">
      <w:pPr>
        <w:rPr>
          <w:szCs w:val="28"/>
        </w:rPr>
      </w:pPr>
    </w:p>
    <w:tbl>
      <w:tblPr>
        <w:tblStyle w:val="Tabellenraster"/>
        <w:tblW w:w="9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767"/>
        <w:gridCol w:w="624"/>
        <w:gridCol w:w="656"/>
      </w:tblGrid>
      <w:tr w:rsidR="00B929CA" w:rsidRPr="00E65739" w:rsidTr="00C2478A">
        <w:tc>
          <w:tcPr>
            <w:tcW w:w="7767" w:type="dxa"/>
            <w:tcBorders>
              <w:top w:val="single" w:sz="4" w:space="0" w:color="auto"/>
              <w:right w:val="single" w:sz="4" w:space="0" w:color="FFFFFF"/>
            </w:tcBorders>
            <w:shd w:val="clear" w:color="auto" w:fill="D9D9D9" w:themeFill="background1" w:themeFillShade="D9"/>
          </w:tcPr>
          <w:p w:rsidR="00B929CA" w:rsidRPr="00E65739" w:rsidRDefault="00B929CA" w:rsidP="00C2478A">
            <w:pPr>
              <w:spacing w:before="0"/>
              <w:rPr>
                <w:b/>
                <w:sz w:val="24"/>
                <w:szCs w:val="28"/>
              </w:rPr>
            </w:pPr>
            <w:r>
              <w:rPr>
                <w:b/>
                <w:sz w:val="24"/>
                <w:szCs w:val="28"/>
              </w:rPr>
              <w:t>Frage 2</w:t>
            </w:r>
          </w:p>
        </w:tc>
        <w:tc>
          <w:tcPr>
            <w:tcW w:w="624" w:type="dxa"/>
            <w:tcBorders>
              <w:top w:val="single" w:sz="4" w:space="0" w:color="auto"/>
              <w:left w:val="single" w:sz="4" w:space="0" w:color="FFFFFF"/>
            </w:tcBorders>
            <w:shd w:val="clear" w:color="auto" w:fill="D9D9D9" w:themeFill="background1" w:themeFillShade="D9"/>
          </w:tcPr>
          <w:p w:rsidR="00B929CA" w:rsidRPr="000773A3" w:rsidRDefault="00B929CA" w:rsidP="00C2478A">
            <w:pPr>
              <w:spacing w:before="0"/>
              <w:jc w:val="center"/>
              <w:rPr>
                <w:sz w:val="20"/>
                <w:szCs w:val="28"/>
              </w:rPr>
            </w:pPr>
            <w:r w:rsidRPr="000773A3">
              <w:rPr>
                <w:sz w:val="20"/>
                <w:szCs w:val="28"/>
              </w:rPr>
              <w:t>Ja</w:t>
            </w:r>
          </w:p>
        </w:tc>
        <w:tc>
          <w:tcPr>
            <w:tcW w:w="656" w:type="dxa"/>
            <w:tcBorders>
              <w:top w:val="single" w:sz="4" w:space="0" w:color="auto"/>
            </w:tcBorders>
            <w:shd w:val="clear" w:color="auto" w:fill="D9D9D9" w:themeFill="background1" w:themeFillShade="D9"/>
          </w:tcPr>
          <w:p w:rsidR="00B929CA" w:rsidRPr="000773A3" w:rsidRDefault="00B929CA" w:rsidP="00C2478A">
            <w:pPr>
              <w:spacing w:before="0"/>
              <w:jc w:val="center"/>
              <w:rPr>
                <w:sz w:val="20"/>
                <w:szCs w:val="28"/>
              </w:rPr>
            </w:pPr>
            <w:r w:rsidRPr="000773A3">
              <w:rPr>
                <w:sz w:val="20"/>
                <w:szCs w:val="28"/>
              </w:rPr>
              <w:t>Nein</w:t>
            </w:r>
          </w:p>
        </w:tc>
      </w:tr>
      <w:tr w:rsidR="00B929CA" w:rsidRPr="00E65739" w:rsidTr="00C2478A">
        <w:trPr>
          <w:gridAfter w:val="2"/>
          <w:wAfter w:w="1280" w:type="dxa"/>
        </w:trPr>
        <w:tc>
          <w:tcPr>
            <w:tcW w:w="7767" w:type="dxa"/>
            <w:shd w:val="clear" w:color="auto" w:fill="auto"/>
            <w:vAlign w:val="center"/>
          </w:tcPr>
          <w:p w:rsidR="00B929CA" w:rsidRDefault="00B929CA" w:rsidP="00C2478A">
            <w:pPr>
              <w:spacing w:before="0"/>
              <w:jc w:val="left"/>
              <w:rPr>
                <w:b/>
                <w:sz w:val="24"/>
                <w:szCs w:val="28"/>
              </w:rPr>
            </w:pPr>
            <w:r w:rsidRPr="00480A8A">
              <w:rPr>
                <w:szCs w:val="22"/>
              </w:rPr>
              <w:t>Wie sind die Aufwendungen des Jahres zu bewerten?</w:t>
            </w:r>
          </w:p>
        </w:tc>
      </w:tr>
      <w:tr w:rsidR="00B929CA" w:rsidRPr="00E65739" w:rsidTr="00C2478A">
        <w:tc>
          <w:tcPr>
            <w:tcW w:w="7767" w:type="dxa"/>
            <w:shd w:val="clear" w:color="auto" w:fill="auto"/>
            <w:vAlign w:val="center"/>
          </w:tcPr>
          <w:p w:rsidR="00B929CA" w:rsidRPr="001F3BFE" w:rsidRDefault="00B929CA" w:rsidP="00B929CA">
            <w:pPr>
              <w:pStyle w:val="Listenabsatz"/>
              <w:numPr>
                <w:ilvl w:val="0"/>
                <w:numId w:val="26"/>
              </w:numPr>
              <w:spacing w:before="0"/>
              <w:ind w:left="463" w:hanging="425"/>
              <w:jc w:val="left"/>
            </w:pPr>
            <w:r w:rsidRPr="00B929CA">
              <w:t>Der Anlagespiegel wird bei mittelgroßen Kapitalgesellschaften freiwillig aufgestellt.</w:t>
            </w:r>
          </w:p>
        </w:tc>
        <w:tc>
          <w:tcPr>
            <w:tcW w:w="624" w:type="dxa"/>
            <w:shd w:val="clear" w:color="auto" w:fill="auto"/>
            <w:vAlign w:val="center"/>
          </w:tcPr>
          <w:p w:rsidR="00B929CA" w:rsidRDefault="00B929CA" w:rsidP="00C2478A">
            <w:pPr>
              <w:spacing w:before="0"/>
              <w:jc w:val="center"/>
              <w:rPr>
                <w:b/>
                <w:sz w:val="24"/>
                <w:szCs w:val="28"/>
              </w:rPr>
            </w:pPr>
            <w:r>
              <w:rPr>
                <w:rFonts w:ascii="Wingdings" w:hAnsi="Wingdings" w:cs="Wingdings"/>
                <w:sz w:val="26"/>
                <w:szCs w:val="26"/>
              </w:rPr>
              <w:t></w:t>
            </w:r>
          </w:p>
        </w:tc>
        <w:tc>
          <w:tcPr>
            <w:tcW w:w="656" w:type="dxa"/>
            <w:shd w:val="clear" w:color="auto" w:fill="auto"/>
            <w:vAlign w:val="center"/>
          </w:tcPr>
          <w:p w:rsidR="00B929CA" w:rsidRDefault="00B929CA" w:rsidP="00C2478A">
            <w:pPr>
              <w:spacing w:before="0"/>
              <w:jc w:val="center"/>
              <w:rPr>
                <w:b/>
                <w:sz w:val="24"/>
                <w:szCs w:val="28"/>
              </w:rPr>
            </w:pPr>
            <w:r>
              <w:rPr>
                <w:rFonts w:ascii="Wingdings" w:hAnsi="Wingdings" w:cs="Wingdings"/>
                <w:sz w:val="26"/>
                <w:szCs w:val="26"/>
              </w:rPr>
              <w:t></w:t>
            </w:r>
          </w:p>
        </w:tc>
      </w:tr>
      <w:tr w:rsidR="00B929CA" w:rsidRPr="00E65739" w:rsidTr="00C2478A">
        <w:tc>
          <w:tcPr>
            <w:tcW w:w="7767" w:type="dxa"/>
            <w:shd w:val="clear" w:color="auto" w:fill="auto"/>
            <w:vAlign w:val="center"/>
          </w:tcPr>
          <w:p w:rsidR="00B929CA" w:rsidRPr="001F3BFE" w:rsidRDefault="00B929CA" w:rsidP="00B929CA">
            <w:pPr>
              <w:pStyle w:val="Listenabsatz"/>
              <w:numPr>
                <w:ilvl w:val="0"/>
                <w:numId w:val="26"/>
              </w:numPr>
              <w:spacing w:before="0"/>
              <w:ind w:left="454" w:hanging="425"/>
              <w:jc w:val="left"/>
            </w:pPr>
            <w:r w:rsidRPr="00B929CA">
              <w:t>Zu jedem Posten des AV sind die in die Herstellungskosten einbezogenen FK-Zinsen, die im aktuellen Geschäftsjahr aktiviert wurden, anzugeben.</w:t>
            </w:r>
          </w:p>
        </w:tc>
        <w:tc>
          <w:tcPr>
            <w:tcW w:w="624" w:type="dxa"/>
            <w:shd w:val="clear" w:color="auto" w:fill="auto"/>
            <w:vAlign w:val="center"/>
          </w:tcPr>
          <w:p w:rsidR="00B929CA" w:rsidRDefault="00B929CA" w:rsidP="00C2478A">
            <w:pPr>
              <w:spacing w:before="0"/>
              <w:jc w:val="center"/>
              <w:rPr>
                <w:b/>
                <w:sz w:val="24"/>
                <w:szCs w:val="28"/>
              </w:rPr>
            </w:pPr>
            <w:r>
              <w:rPr>
                <w:rFonts w:ascii="Wingdings" w:hAnsi="Wingdings" w:cs="Wingdings"/>
                <w:sz w:val="26"/>
                <w:szCs w:val="26"/>
              </w:rPr>
              <w:t></w:t>
            </w:r>
          </w:p>
        </w:tc>
        <w:tc>
          <w:tcPr>
            <w:tcW w:w="656" w:type="dxa"/>
            <w:shd w:val="clear" w:color="auto" w:fill="auto"/>
            <w:vAlign w:val="center"/>
          </w:tcPr>
          <w:p w:rsidR="00B929CA" w:rsidRDefault="00B929CA" w:rsidP="00C2478A">
            <w:pPr>
              <w:spacing w:before="0"/>
              <w:jc w:val="center"/>
              <w:rPr>
                <w:b/>
                <w:sz w:val="24"/>
                <w:szCs w:val="28"/>
              </w:rPr>
            </w:pPr>
            <w:r>
              <w:rPr>
                <w:rFonts w:ascii="Wingdings" w:hAnsi="Wingdings" w:cs="Wingdings"/>
                <w:sz w:val="26"/>
                <w:szCs w:val="26"/>
              </w:rPr>
              <w:t></w:t>
            </w:r>
          </w:p>
        </w:tc>
      </w:tr>
      <w:tr w:rsidR="00B929CA" w:rsidRPr="00E65739" w:rsidTr="00C2478A">
        <w:tc>
          <w:tcPr>
            <w:tcW w:w="7767" w:type="dxa"/>
            <w:shd w:val="clear" w:color="auto" w:fill="auto"/>
            <w:vAlign w:val="center"/>
          </w:tcPr>
          <w:p w:rsidR="00B929CA" w:rsidRDefault="00B929CA" w:rsidP="00B929CA">
            <w:pPr>
              <w:pStyle w:val="Listenabsatz"/>
              <w:numPr>
                <w:ilvl w:val="0"/>
                <w:numId w:val="26"/>
              </w:numPr>
              <w:spacing w:before="0"/>
              <w:ind w:left="454" w:hanging="425"/>
              <w:jc w:val="left"/>
            </w:pPr>
            <w:r w:rsidRPr="00B929CA">
              <w:t>Der Anlagespiegel kann Teil des Anhangs sein (Wahlrecht).</w:t>
            </w:r>
          </w:p>
        </w:tc>
        <w:tc>
          <w:tcPr>
            <w:tcW w:w="624" w:type="dxa"/>
            <w:shd w:val="clear" w:color="auto" w:fill="auto"/>
            <w:vAlign w:val="center"/>
          </w:tcPr>
          <w:p w:rsidR="00B929CA" w:rsidRDefault="00B929CA" w:rsidP="00C2478A">
            <w:pPr>
              <w:spacing w:before="0"/>
              <w:jc w:val="center"/>
              <w:rPr>
                <w:b/>
                <w:sz w:val="24"/>
                <w:szCs w:val="28"/>
              </w:rPr>
            </w:pPr>
            <w:r>
              <w:rPr>
                <w:rFonts w:ascii="Wingdings" w:hAnsi="Wingdings" w:cs="Wingdings"/>
                <w:sz w:val="26"/>
                <w:szCs w:val="26"/>
              </w:rPr>
              <w:t></w:t>
            </w:r>
          </w:p>
        </w:tc>
        <w:tc>
          <w:tcPr>
            <w:tcW w:w="656" w:type="dxa"/>
            <w:shd w:val="clear" w:color="auto" w:fill="auto"/>
            <w:vAlign w:val="center"/>
          </w:tcPr>
          <w:p w:rsidR="00B929CA" w:rsidRDefault="00B929CA" w:rsidP="00C2478A">
            <w:pPr>
              <w:spacing w:before="0"/>
              <w:jc w:val="center"/>
              <w:rPr>
                <w:b/>
                <w:sz w:val="24"/>
                <w:szCs w:val="28"/>
              </w:rPr>
            </w:pPr>
            <w:r>
              <w:rPr>
                <w:rFonts w:ascii="Wingdings" w:hAnsi="Wingdings" w:cs="Wingdings"/>
                <w:sz w:val="26"/>
                <w:szCs w:val="26"/>
              </w:rPr>
              <w:t></w:t>
            </w:r>
          </w:p>
        </w:tc>
      </w:tr>
      <w:tr w:rsidR="00B929CA" w:rsidRPr="00E65739" w:rsidTr="00C2478A">
        <w:tc>
          <w:tcPr>
            <w:tcW w:w="7767" w:type="dxa"/>
            <w:shd w:val="clear" w:color="auto" w:fill="auto"/>
            <w:vAlign w:val="center"/>
          </w:tcPr>
          <w:p w:rsidR="00B929CA" w:rsidRDefault="00B929CA" w:rsidP="00B929CA">
            <w:pPr>
              <w:pStyle w:val="Listenabsatz"/>
              <w:numPr>
                <w:ilvl w:val="0"/>
                <w:numId w:val="26"/>
              </w:numPr>
              <w:spacing w:before="0"/>
              <w:ind w:left="454" w:hanging="425"/>
              <w:jc w:val="left"/>
            </w:pPr>
            <w:r w:rsidRPr="00B929CA">
              <w:t>Bei den Abschreibungen sind anzugeben,</w:t>
            </w:r>
          </w:p>
          <w:p w:rsidR="00B929CA" w:rsidRDefault="00B929CA" w:rsidP="00B929CA">
            <w:pPr>
              <w:pStyle w:val="Listenabsatz"/>
              <w:numPr>
                <w:ilvl w:val="0"/>
                <w:numId w:val="27"/>
              </w:numPr>
              <w:spacing w:before="0"/>
              <w:ind w:left="747" w:hanging="284"/>
              <w:jc w:val="left"/>
            </w:pPr>
            <w:r>
              <w:t>die Abschreibungen zu Beginn und zum Ende des Geschäftsjahres,</w:t>
            </w:r>
          </w:p>
          <w:p w:rsidR="00B929CA" w:rsidRDefault="00B929CA" w:rsidP="00B929CA">
            <w:pPr>
              <w:pStyle w:val="Listenabsatz"/>
              <w:numPr>
                <w:ilvl w:val="0"/>
                <w:numId w:val="27"/>
              </w:numPr>
              <w:spacing w:before="0"/>
              <w:ind w:left="747" w:hanging="284"/>
              <w:jc w:val="left"/>
            </w:pPr>
            <w:r>
              <w:t>die Abschreibungen des Geschäftsjahres sowie</w:t>
            </w:r>
          </w:p>
          <w:p w:rsidR="00B929CA" w:rsidRPr="001F3BFE" w:rsidRDefault="00B929CA" w:rsidP="00B929CA">
            <w:pPr>
              <w:pStyle w:val="Listenabsatz"/>
              <w:numPr>
                <w:ilvl w:val="0"/>
                <w:numId w:val="27"/>
              </w:numPr>
              <w:spacing w:before="0"/>
              <w:ind w:left="747" w:hanging="284"/>
              <w:jc w:val="left"/>
            </w:pPr>
            <w:r>
              <w:t>die Änderungen der Abschreibungen durch Zu-, Abgänge und Umbuchungen.</w:t>
            </w:r>
          </w:p>
        </w:tc>
        <w:tc>
          <w:tcPr>
            <w:tcW w:w="624" w:type="dxa"/>
            <w:shd w:val="clear" w:color="auto" w:fill="auto"/>
            <w:vAlign w:val="center"/>
          </w:tcPr>
          <w:p w:rsidR="00B929CA" w:rsidRDefault="00B929CA" w:rsidP="00C2478A">
            <w:pPr>
              <w:spacing w:before="0"/>
              <w:jc w:val="center"/>
              <w:rPr>
                <w:rFonts w:ascii="Wingdings" w:hAnsi="Wingdings" w:cs="Wingdings"/>
                <w:sz w:val="26"/>
                <w:szCs w:val="26"/>
              </w:rPr>
            </w:pPr>
            <w:r>
              <w:rPr>
                <w:rFonts w:ascii="Wingdings" w:hAnsi="Wingdings" w:cs="Wingdings"/>
                <w:sz w:val="26"/>
                <w:szCs w:val="26"/>
              </w:rPr>
              <w:t></w:t>
            </w:r>
          </w:p>
        </w:tc>
        <w:tc>
          <w:tcPr>
            <w:tcW w:w="656" w:type="dxa"/>
            <w:shd w:val="clear" w:color="auto" w:fill="auto"/>
            <w:vAlign w:val="center"/>
          </w:tcPr>
          <w:p w:rsidR="00B929CA" w:rsidRDefault="00B929CA" w:rsidP="00C2478A">
            <w:pPr>
              <w:spacing w:before="0"/>
              <w:jc w:val="center"/>
              <w:rPr>
                <w:rFonts w:ascii="Wingdings" w:hAnsi="Wingdings" w:cs="Wingdings"/>
                <w:sz w:val="26"/>
                <w:szCs w:val="26"/>
              </w:rPr>
            </w:pPr>
            <w:r>
              <w:rPr>
                <w:rFonts w:ascii="Wingdings" w:hAnsi="Wingdings" w:cs="Wingdings"/>
                <w:sz w:val="26"/>
                <w:szCs w:val="26"/>
              </w:rPr>
              <w:t></w:t>
            </w:r>
          </w:p>
        </w:tc>
      </w:tr>
    </w:tbl>
    <w:p w:rsidR="00B929CA" w:rsidRDefault="00B929CA" w:rsidP="00B86895">
      <w:pPr>
        <w:rPr>
          <w:szCs w:val="28"/>
        </w:rPr>
      </w:pPr>
    </w:p>
    <w:tbl>
      <w:tblPr>
        <w:tblStyle w:val="Tabellenraster"/>
        <w:tblW w:w="9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767"/>
        <w:gridCol w:w="624"/>
        <w:gridCol w:w="656"/>
      </w:tblGrid>
      <w:tr w:rsidR="00B929CA" w:rsidRPr="000773A3" w:rsidTr="00C2478A">
        <w:tc>
          <w:tcPr>
            <w:tcW w:w="7767" w:type="dxa"/>
            <w:shd w:val="clear" w:color="auto" w:fill="F2F2F2" w:themeFill="background1" w:themeFillShade="F2"/>
          </w:tcPr>
          <w:p w:rsidR="00B929CA" w:rsidRPr="00E65739" w:rsidRDefault="00B929CA" w:rsidP="00C2478A">
            <w:pPr>
              <w:spacing w:before="0"/>
              <w:rPr>
                <w:b/>
                <w:sz w:val="24"/>
                <w:szCs w:val="28"/>
              </w:rPr>
            </w:pPr>
            <w:r>
              <w:rPr>
                <w:b/>
                <w:sz w:val="24"/>
                <w:szCs w:val="28"/>
              </w:rPr>
              <w:t>Lösungshinweise zu Frage 2</w:t>
            </w:r>
          </w:p>
        </w:tc>
        <w:tc>
          <w:tcPr>
            <w:tcW w:w="624" w:type="dxa"/>
            <w:shd w:val="clear" w:color="auto" w:fill="F2F2F2" w:themeFill="background1" w:themeFillShade="F2"/>
          </w:tcPr>
          <w:p w:rsidR="00B929CA" w:rsidRPr="000773A3" w:rsidRDefault="00B929CA" w:rsidP="00C2478A">
            <w:pPr>
              <w:spacing w:before="0"/>
              <w:jc w:val="center"/>
              <w:rPr>
                <w:sz w:val="20"/>
                <w:szCs w:val="28"/>
              </w:rPr>
            </w:pPr>
          </w:p>
        </w:tc>
        <w:tc>
          <w:tcPr>
            <w:tcW w:w="656" w:type="dxa"/>
            <w:shd w:val="clear" w:color="auto" w:fill="F2F2F2" w:themeFill="background1" w:themeFillShade="F2"/>
          </w:tcPr>
          <w:p w:rsidR="00B929CA" w:rsidRPr="000773A3" w:rsidRDefault="00B929CA" w:rsidP="00C2478A">
            <w:pPr>
              <w:spacing w:before="0"/>
              <w:jc w:val="center"/>
              <w:rPr>
                <w:sz w:val="20"/>
                <w:szCs w:val="28"/>
              </w:rPr>
            </w:pPr>
          </w:p>
        </w:tc>
      </w:tr>
      <w:tr w:rsidR="00B929CA" w:rsidRPr="00E65739" w:rsidTr="00C2478A">
        <w:tc>
          <w:tcPr>
            <w:tcW w:w="7767" w:type="dxa"/>
            <w:shd w:val="clear" w:color="auto" w:fill="auto"/>
          </w:tcPr>
          <w:p w:rsidR="00B929CA" w:rsidRPr="002B6CD6" w:rsidRDefault="00B929CA" w:rsidP="00C2478A">
            <w:pPr>
              <w:spacing w:before="0"/>
            </w:pPr>
            <w:r>
              <w:rPr>
                <w:b/>
              </w:rPr>
              <w:t>z</w:t>
            </w:r>
            <w:r w:rsidRPr="0091405A">
              <w:rPr>
                <w:b/>
              </w:rPr>
              <w:t>u a)</w:t>
            </w:r>
            <w:r w:rsidRPr="002B6CD6">
              <w:t xml:space="preserve"> </w:t>
            </w:r>
            <w:r w:rsidRPr="00B929CA">
              <w:t>Der Anlagespiegel ist verpflichtender Teil des Anhangs gem. § 284 Abs. 3 HGB, Erleichterungen gibt es gem. § 288 Abs. 1 Nr. 1 HGB nur für kleine Kapitalgesellschaften</w:t>
            </w:r>
          </w:p>
        </w:tc>
        <w:tc>
          <w:tcPr>
            <w:tcW w:w="624" w:type="dxa"/>
            <w:shd w:val="clear" w:color="auto" w:fill="auto"/>
            <w:vAlign w:val="center"/>
          </w:tcPr>
          <w:p w:rsidR="00B929CA" w:rsidRDefault="00B929CA" w:rsidP="00C2478A">
            <w:pPr>
              <w:spacing w:before="0"/>
              <w:jc w:val="center"/>
              <w:rPr>
                <w:rFonts w:ascii="Wingdings" w:hAnsi="Wingdings" w:cs="Wingdings"/>
                <w:sz w:val="26"/>
                <w:szCs w:val="26"/>
              </w:rPr>
            </w:pPr>
          </w:p>
        </w:tc>
        <w:tc>
          <w:tcPr>
            <w:tcW w:w="656" w:type="dxa"/>
            <w:shd w:val="clear" w:color="auto" w:fill="auto"/>
            <w:vAlign w:val="center"/>
          </w:tcPr>
          <w:p w:rsidR="00B929CA" w:rsidRDefault="00B929CA" w:rsidP="00C2478A">
            <w:pPr>
              <w:spacing w:before="0"/>
              <w:jc w:val="center"/>
              <w:rPr>
                <w:rFonts w:ascii="Wingdings" w:hAnsi="Wingdings" w:cs="Wingdings"/>
                <w:sz w:val="26"/>
                <w:szCs w:val="26"/>
              </w:rPr>
            </w:pPr>
          </w:p>
        </w:tc>
      </w:tr>
      <w:tr w:rsidR="00B929CA" w:rsidRPr="00E65739" w:rsidTr="00C2478A">
        <w:tc>
          <w:tcPr>
            <w:tcW w:w="7767" w:type="dxa"/>
            <w:shd w:val="clear" w:color="auto" w:fill="auto"/>
          </w:tcPr>
          <w:p w:rsidR="00B929CA" w:rsidRPr="002B6CD6" w:rsidRDefault="00B929CA" w:rsidP="00C2478A">
            <w:pPr>
              <w:spacing w:before="0"/>
            </w:pPr>
            <w:r>
              <w:rPr>
                <w:b/>
              </w:rPr>
              <w:t>z</w:t>
            </w:r>
            <w:r w:rsidRPr="0091405A">
              <w:rPr>
                <w:b/>
              </w:rPr>
              <w:t>u b)</w:t>
            </w:r>
            <w:r w:rsidRPr="002B6CD6">
              <w:t xml:space="preserve"> </w:t>
            </w:r>
            <w:r w:rsidRPr="00B929CA">
              <w:t>Zu jedem Posten des AV sind in die Herstellungskosten einbezogene FK-Zinsen (Wahlrechtsausübung zur Aktivierung), die im aktuellen Geschäftsjahr aktiviert wurden, anzugeben (davon-Vermerke oder eigene Spalte)</w:t>
            </w:r>
          </w:p>
        </w:tc>
        <w:tc>
          <w:tcPr>
            <w:tcW w:w="624" w:type="dxa"/>
            <w:shd w:val="clear" w:color="auto" w:fill="auto"/>
            <w:vAlign w:val="center"/>
          </w:tcPr>
          <w:p w:rsidR="00B929CA" w:rsidRDefault="00B929CA" w:rsidP="00C2478A">
            <w:pPr>
              <w:spacing w:before="0"/>
              <w:jc w:val="center"/>
              <w:rPr>
                <w:rFonts w:ascii="Wingdings" w:hAnsi="Wingdings" w:cs="Wingdings"/>
                <w:sz w:val="26"/>
                <w:szCs w:val="26"/>
              </w:rPr>
            </w:pPr>
          </w:p>
        </w:tc>
        <w:tc>
          <w:tcPr>
            <w:tcW w:w="656" w:type="dxa"/>
            <w:shd w:val="clear" w:color="auto" w:fill="auto"/>
            <w:vAlign w:val="center"/>
          </w:tcPr>
          <w:p w:rsidR="00B929CA" w:rsidRDefault="00B929CA" w:rsidP="00C2478A">
            <w:pPr>
              <w:spacing w:before="0"/>
              <w:jc w:val="center"/>
              <w:rPr>
                <w:rFonts w:ascii="Wingdings" w:hAnsi="Wingdings" w:cs="Wingdings"/>
                <w:sz w:val="26"/>
                <w:szCs w:val="26"/>
              </w:rPr>
            </w:pPr>
          </w:p>
        </w:tc>
      </w:tr>
      <w:tr w:rsidR="00B929CA" w:rsidRPr="00E65739" w:rsidTr="00C2478A">
        <w:tc>
          <w:tcPr>
            <w:tcW w:w="7767" w:type="dxa"/>
            <w:shd w:val="clear" w:color="auto" w:fill="auto"/>
          </w:tcPr>
          <w:p w:rsidR="00B929CA" w:rsidRPr="002B6CD6" w:rsidRDefault="00B929CA" w:rsidP="00C2478A">
            <w:pPr>
              <w:spacing w:before="0"/>
            </w:pPr>
            <w:r w:rsidRPr="0091405A">
              <w:rPr>
                <w:b/>
              </w:rPr>
              <w:t>zu c)</w:t>
            </w:r>
            <w:r w:rsidRPr="002B6CD6">
              <w:t xml:space="preserve"> </w:t>
            </w:r>
            <w:r w:rsidRPr="00B929CA">
              <w:t>Anlagespiegel ist verpflichtender Bestandteil des Anhangs § 284 Abs. 3 HGB:</w:t>
            </w:r>
          </w:p>
        </w:tc>
        <w:tc>
          <w:tcPr>
            <w:tcW w:w="624" w:type="dxa"/>
            <w:shd w:val="clear" w:color="auto" w:fill="auto"/>
            <w:vAlign w:val="center"/>
          </w:tcPr>
          <w:p w:rsidR="00B929CA" w:rsidRDefault="00B929CA" w:rsidP="00C2478A">
            <w:pPr>
              <w:spacing w:before="0"/>
              <w:jc w:val="center"/>
              <w:rPr>
                <w:rFonts w:ascii="Wingdings" w:hAnsi="Wingdings" w:cs="Wingdings"/>
                <w:sz w:val="26"/>
                <w:szCs w:val="26"/>
              </w:rPr>
            </w:pPr>
          </w:p>
        </w:tc>
        <w:tc>
          <w:tcPr>
            <w:tcW w:w="656" w:type="dxa"/>
            <w:shd w:val="clear" w:color="auto" w:fill="auto"/>
            <w:vAlign w:val="center"/>
          </w:tcPr>
          <w:p w:rsidR="00B929CA" w:rsidRDefault="00B929CA" w:rsidP="00C2478A">
            <w:pPr>
              <w:spacing w:before="0"/>
              <w:jc w:val="center"/>
              <w:rPr>
                <w:rFonts w:ascii="Wingdings" w:hAnsi="Wingdings" w:cs="Wingdings"/>
                <w:sz w:val="26"/>
                <w:szCs w:val="26"/>
              </w:rPr>
            </w:pPr>
          </w:p>
        </w:tc>
      </w:tr>
    </w:tbl>
    <w:p w:rsidR="00F4319F" w:rsidRDefault="00F4319F">
      <w:r>
        <w:br w:type="page"/>
      </w:r>
    </w:p>
    <w:tbl>
      <w:tblPr>
        <w:tblStyle w:val="Tabellenraster"/>
        <w:tblW w:w="9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767"/>
        <w:gridCol w:w="624"/>
        <w:gridCol w:w="656"/>
      </w:tblGrid>
      <w:tr w:rsidR="00B929CA" w:rsidRPr="00E65739" w:rsidTr="00C2478A">
        <w:tc>
          <w:tcPr>
            <w:tcW w:w="7767" w:type="dxa"/>
            <w:shd w:val="clear" w:color="auto" w:fill="auto"/>
          </w:tcPr>
          <w:p w:rsidR="00B929CA" w:rsidRDefault="00B929CA" w:rsidP="00C2478A">
            <w:pPr>
              <w:spacing w:before="0"/>
            </w:pPr>
            <w:r w:rsidRPr="0091405A">
              <w:rPr>
                <w:b/>
              </w:rPr>
              <w:lastRenderedPageBreak/>
              <w:t>zu d)</w:t>
            </w:r>
            <w:r w:rsidRPr="002B6CD6">
              <w:t xml:space="preserve"> </w:t>
            </w:r>
            <w:r w:rsidRPr="00B929CA">
              <w:t>zu Abschreibungen sind anzugeben (§ 284 Abs. 3 S. 3 HGB)</w:t>
            </w:r>
          </w:p>
          <w:p w:rsidR="00B929CA" w:rsidRDefault="00B929CA" w:rsidP="00463565">
            <w:pPr>
              <w:pStyle w:val="Listenabsatz"/>
              <w:numPr>
                <w:ilvl w:val="0"/>
                <w:numId w:val="28"/>
              </w:numPr>
              <w:spacing w:before="0"/>
              <w:ind w:left="889" w:hanging="284"/>
            </w:pPr>
            <w:r>
              <w:t>Abschreibungen zu Beginn und Ende des Geschäftsjahres</w:t>
            </w:r>
          </w:p>
          <w:p w:rsidR="00B929CA" w:rsidRDefault="00B929CA" w:rsidP="00463565">
            <w:pPr>
              <w:pStyle w:val="Listenabsatz"/>
              <w:numPr>
                <w:ilvl w:val="0"/>
                <w:numId w:val="28"/>
              </w:numPr>
              <w:spacing w:before="0"/>
              <w:ind w:left="889" w:hanging="284"/>
            </w:pPr>
            <w:r>
              <w:t>Abschreibungen des Geschäftsjahres</w:t>
            </w:r>
          </w:p>
          <w:p w:rsidR="00B929CA" w:rsidRPr="002B6CD6" w:rsidRDefault="00B929CA" w:rsidP="00463565">
            <w:pPr>
              <w:pStyle w:val="Listenabsatz"/>
              <w:numPr>
                <w:ilvl w:val="0"/>
                <w:numId w:val="28"/>
              </w:numPr>
              <w:spacing w:before="0"/>
              <w:ind w:left="889" w:hanging="284"/>
            </w:pPr>
            <w:r>
              <w:t>Änderung</w:t>
            </w:r>
            <w:bookmarkStart w:id="1" w:name="_GoBack"/>
            <w:bookmarkEnd w:id="1"/>
            <w:r>
              <w:t>en der Abschreibungen durch Zu-, Abgänge und Umbuchungen</w:t>
            </w:r>
          </w:p>
        </w:tc>
        <w:tc>
          <w:tcPr>
            <w:tcW w:w="624" w:type="dxa"/>
            <w:shd w:val="clear" w:color="auto" w:fill="auto"/>
            <w:vAlign w:val="center"/>
          </w:tcPr>
          <w:p w:rsidR="00B929CA" w:rsidRDefault="00B929CA" w:rsidP="00C2478A">
            <w:pPr>
              <w:spacing w:before="0"/>
              <w:jc w:val="center"/>
              <w:rPr>
                <w:rFonts w:ascii="Wingdings" w:hAnsi="Wingdings" w:cs="Wingdings"/>
                <w:sz w:val="26"/>
                <w:szCs w:val="26"/>
              </w:rPr>
            </w:pPr>
          </w:p>
        </w:tc>
        <w:tc>
          <w:tcPr>
            <w:tcW w:w="656" w:type="dxa"/>
            <w:shd w:val="clear" w:color="auto" w:fill="auto"/>
            <w:vAlign w:val="center"/>
          </w:tcPr>
          <w:p w:rsidR="00B929CA" w:rsidRDefault="00B929CA" w:rsidP="00C2478A">
            <w:pPr>
              <w:spacing w:before="0"/>
              <w:jc w:val="center"/>
              <w:rPr>
                <w:rFonts w:ascii="Wingdings" w:hAnsi="Wingdings" w:cs="Wingdings"/>
                <w:sz w:val="26"/>
                <w:szCs w:val="26"/>
              </w:rPr>
            </w:pPr>
          </w:p>
        </w:tc>
      </w:tr>
    </w:tbl>
    <w:p w:rsidR="00B929CA" w:rsidRPr="00BC04E1" w:rsidRDefault="00B929CA" w:rsidP="00B86895">
      <w:pPr>
        <w:rPr>
          <w:szCs w:val="28"/>
        </w:rPr>
      </w:pPr>
    </w:p>
    <w:sectPr w:rsidR="00B929CA" w:rsidRPr="00BC04E1" w:rsidSect="00885CEC">
      <w:headerReference w:type="default" r:id="rId11"/>
      <w:footerReference w:type="default" r:id="rId12"/>
      <w:headerReference w:type="first" r:id="rId13"/>
      <w:footerReference w:type="first" r:id="rId14"/>
      <w:type w:val="continuous"/>
      <w:pgSz w:w="11907" w:h="16839" w:code="9"/>
      <w:pgMar w:top="1099" w:right="1701" w:bottom="1134" w:left="1134"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E51" w:rsidRDefault="007F3E51">
      <w:pPr>
        <w:spacing w:before="0"/>
      </w:pPr>
      <w:r>
        <w:separator/>
      </w:r>
    </w:p>
  </w:endnote>
  <w:endnote w:type="continuationSeparator" w:id="0">
    <w:p w:rsidR="007F3E51" w:rsidRDefault="007F3E5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Md BT">
    <w:altName w:val="Segoe UI Semibold"/>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Book">
    <w:altName w:val="Vrind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2E0" w:rsidRDefault="00044586" w:rsidP="002062E0">
    <w:pPr>
      <w:tabs>
        <w:tab w:val="center" w:pos="4536"/>
        <w:tab w:val="right" w:pos="9072"/>
      </w:tabs>
      <w:spacing w:before="0"/>
      <w:rPr>
        <w:rFonts w:eastAsiaTheme="minorHAnsi"/>
        <w:noProof/>
        <w:sz w:val="20"/>
      </w:rPr>
    </w:pPr>
    <w:r>
      <w:rPr>
        <w:noProof/>
        <w:szCs w:val="22"/>
      </w:rPr>
      <w:drawing>
        <wp:anchor distT="0" distB="0" distL="114300" distR="114300" simplePos="0" relativeHeight="251659264" behindDoc="1" locked="0" layoutInCell="1" allowOverlap="1" wp14:anchorId="4FA8BF73" wp14:editId="17C5753F">
          <wp:simplePos x="0" y="0"/>
          <wp:positionH relativeFrom="column">
            <wp:posOffset>1552575</wp:posOffset>
          </wp:positionH>
          <wp:positionV relativeFrom="page">
            <wp:posOffset>10020935</wp:posOffset>
          </wp:positionV>
          <wp:extent cx="2419350" cy="3429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342900"/>
                  </a:xfrm>
                  <a:prstGeom prst="rect">
                    <a:avLst/>
                  </a:prstGeom>
                  <a:noFill/>
                  <a:ln>
                    <a:noFill/>
                  </a:ln>
                </pic:spPr>
              </pic:pic>
            </a:graphicData>
          </a:graphic>
        </wp:anchor>
      </w:drawing>
    </w:r>
    <w:r w:rsidR="002062E0" w:rsidRPr="006C672A">
      <w:rPr>
        <w:sz w:val="20"/>
      </w:rPr>
      <w:t xml:space="preserve">Seite: </w:t>
    </w:r>
    <w:r w:rsidR="002062E0" w:rsidRPr="006C672A">
      <w:rPr>
        <w:rFonts w:eastAsiaTheme="minorHAnsi" w:cstheme="minorBidi"/>
        <w:sz w:val="20"/>
        <w:lang w:eastAsia="en-US"/>
      </w:rPr>
      <w:fldChar w:fldCharType="begin"/>
    </w:r>
    <w:r w:rsidR="002062E0" w:rsidRPr="006C672A">
      <w:rPr>
        <w:rFonts w:eastAsiaTheme="minorHAnsi" w:cstheme="minorBidi"/>
        <w:sz w:val="20"/>
        <w:lang w:eastAsia="en-US"/>
      </w:rPr>
      <w:instrText>PAGE   \* MERGEFORMAT</w:instrText>
    </w:r>
    <w:r w:rsidR="002062E0" w:rsidRPr="006C672A">
      <w:rPr>
        <w:rFonts w:eastAsiaTheme="minorHAnsi" w:cstheme="minorBidi"/>
        <w:sz w:val="20"/>
        <w:lang w:eastAsia="en-US"/>
      </w:rPr>
      <w:fldChar w:fldCharType="separate"/>
    </w:r>
    <w:r w:rsidR="002062E0">
      <w:rPr>
        <w:rFonts w:eastAsiaTheme="minorHAnsi"/>
        <w:sz w:val="20"/>
        <w:lang w:eastAsia="en-US"/>
      </w:rPr>
      <w:t>1</w:t>
    </w:r>
    <w:r w:rsidR="002062E0" w:rsidRPr="006C672A">
      <w:rPr>
        <w:rFonts w:eastAsiaTheme="minorHAnsi" w:cstheme="minorBidi"/>
        <w:sz w:val="20"/>
        <w:lang w:eastAsia="en-US"/>
      </w:rPr>
      <w:fldChar w:fldCharType="end"/>
    </w:r>
    <w:r w:rsidR="002062E0" w:rsidRPr="006C672A">
      <w:rPr>
        <w:rFonts w:asciiTheme="minorHAnsi" w:eastAsiaTheme="minorHAnsi" w:hAnsiTheme="minorHAnsi" w:cstheme="minorBidi"/>
        <w:sz w:val="20"/>
        <w:lang w:eastAsia="en-US"/>
      </w:rPr>
      <w:t xml:space="preserve"> </w:t>
    </w:r>
    <w:sdt>
      <w:sdtPr>
        <w:rPr>
          <w:rFonts w:asciiTheme="minorHAnsi" w:eastAsiaTheme="minorHAnsi" w:hAnsiTheme="minorHAnsi" w:cstheme="minorBidi"/>
          <w:sz w:val="20"/>
          <w:lang w:eastAsia="en-US"/>
        </w:rPr>
        <w:id w:val="-1121296208"/>
        <w:docPartObj>
          <w:docPartGallery w:val="Page Numbers (Top of Page)"/>
          <w:docPartUnique/>
        </w:docPartObj>
      </w:sdtPr>
      <w:sdtEndPr/>
      <w:sdtContent>
        <w:r w:rsidR="002062E0" w:rsidRPr="006C672A">
          <w:rPr>
            <w:rFonts w:eastAsiaTheme="minorHAnsi" w:cstheme="minorBidi"/>
            <w:sz w:val="20"/>
            <w:lang w:eastAsia="en-US"/>
          </w:rPr>
          <w:t xml:space="preserve">von </w:t>
        </w:r>
        <w:r w:rsidR="002062E0" w:rsidRPr="006C672A">
          <w:rPr>
            <w:rFonts w:eastAsiaTheme="minorHAnsi" w:cstheme="minorBidi"/>
            <w:sz w:val="20"/>
            <w:lang w:eastAsia="en-US"/>
          </w:rPr>
          <w:fldChar w:fldCharType="begin"/>
        </w:r>
        <w:r w:rsidR="002062E0" w:rsidRPr="006C672A">
          <w:rPr>
            <w:rFonts w:eastAsiaTheme="minorHAnsi" w:cstheme="minorBidi"/>
            <w:sz w:val="20"/>
            <w:lang w:eastAsia="en-US"/>
          </w:rPr>
          <w:instrText xml:space="preserve"> NUMPAGES  \* Arabic  \* MERGEFORMAT </w:instrText>
        </w:r>
        <w:r w:rsidR="002062E0" w:rsidRPr="006C672A">
          <w:rPr>
            <w:rFonts w:eastAsiaTheme="minorHAnsi" w:cstheme="minorBidi"/>
            <w:sz w:val="20"/>
            <w:lang w:eastAsia="en-US"/>
          </w:rPr>
          <w:fldChar w:fldCharType="separate"/>
        </w:r>
        <w:r w:rsidR="002062E0">
          <w:rPr>
            <w:rFonts w:eastAsiaTheme="minorHAnsi"/>
            <w:sz w:val="20"/>
            <w:lang w:eastAsia="en-US"/>
          </w:rPr>
          <w:t>1</w:t>
        </w:r>
        <w:r w:rsidR="002062E0" w:rsidRPr="006C672A">
          <w:rPr>
            <w:rFonts w:eastAsiaTheme="minorHAnsi" w:cstheme="minorBidi"/>
            <w:sz w:val="20"/>
            <w:lang w:eastAsia="en-US"/>
          </w:rPr>
          <w:fldChar w:fldCharType="end"/>
        </w:r>
      </w:sdtContent>
    </w:sdt>
    <w:r w:rsidR="002062E0">
      <w:rPr>
        <w:rFonts w:eastAsiaTheme="minorHAnsi"/>
        <w:noProof/>
        <w:sz w:val="20"/>
      </w:rPr>
      <w:t xml:space="preserve"> </w:t>
    </w:r>
  </w:p>
  <w:p w:rsidR="007F3E51" w:rsidRPr="002062E0" w:rsidRDefault="002062E0" w:rsidP="002062E0">
    <w:pPr>
      <w:tabs>
        <w:tab w:val="center" w:pos="4536"/>
        <w:tab w:val="right" w:pos="9072"/>
      </w:tabs>
      <w:spacing w:before="0"/>
      <w:rPr>
        <w:rFonts w:eastAsiaTheme="minorHAnsi"/>
        <w:sz w:val="20"/>
        <w:lang w:eastAsia="en-US"/>
      </w:rPr>
    </w:pPr>
    <w:r w:rsidRPr="00A429AD">
      <w:rPr>
        <w:rFonts w:eastAsiaTheme="minorHAnsi"/>
        <w:b/>
        <w:noProof/>
        <w:color w:val="00B0F0"/>
        <w:sz w:val="20"/>
      </w:rPr>
      <w:t>JA</w:t>
    </w:r>
    <w:r w:rsidR="0080548B">
      <w:rPr>
        <w:rFonts w:eastAsiaTheme="minorHAnsi"/>
        <w:b/>
        <w:noProof/>
        <w:color w:val="00B0F0"/>
        <w:sz w:val="20"/>
      </w:rPr>
      <w:t>E</w:t>
    </w:r>
    <w:r w:rsidRPr="00A429AD">
      <w:rPr>
        <w:rFonts w:eastAsiaTheme="minorHAnsi"/>
        <w:b/>
        <w:noProof/>
        <w:color w:val="00B0F0"/>
        <w:sz w:val="20"/>
      </w:rPr>
      <w:t xml:space="preserve"> 1</w:t>
    </w:r>
    <w:r>
      <w:rPr>
        <w:rFonts w:eastAsiaTheme="minorHAnsi"/>
        <w:noProof/>
        <w:sz w:val="20"/>
      </w:rPr>
      <w:tab/>
    </w:r>
    <w:r>
      <w:rPr>
        <w:sz w:val="20"/>
      </w:rPr>
      <w:tab/>
    </w:r>
    <w:r w:rsidR="00252435">
      <w:rPr>
        <w:rFonts w:eastAsiaTheme="minorHAnsi" w:cstheme="minorBidi"/>
        <w:b/>
        <w:color w:val="00B0F0"/>
        <w:sz w:val="20"/>
        <w:lang w:eastAsia="en-US"/>
      </w:rPr>
      <w:t>Lösungen PF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E51" w:rsidRPr="00E211D2" w:rsidRDefault="007F3E51" w:rsidP="000503CF">
    <w:pPr>
      <w:tabs>
        <w:tab w:val="center" w:pos="4536"/>
        <w:tab w:val="right" w:pos="9072"/>
        <w:tab w:val="left" w:pos="9781"/>
      </w:tabs>
      <w:spacing w:before="520" w:after="120"/>
      <w:rPr>
        <w:rFonts w:eastAsiaTheme="minorHAnsi"/>
        <w:sz w:val="20"/>
        <w:lang w:eastAsia="en-US"/>
      </w:rPr>
    </w:pPr>
    <w:r w:rsidRPr="00E211D2">
      <w:rPr>
        <w:sz w:val="20"/>
      </w:rPr>
      <w:t xml:space="preserve">Seite </w:t>
    </w:r>
    <w:r w:rsidRPr="00E211D2">
      <w:rPr>
        <w:rFonts w:eastAsiaTheme="minorHAnsi" w:cstheme="minorBidi"/>
        <w:sz w:val="20"/>
        <w:lang w:eastAsia="en-US"/>
      </w:rPr>
      <w:fldChar w:fldCharType="begin"/>
    </w:r>
    <w:r w:rsidRPr="00E211D2">
      <w:rPr>
        <w:rFonts w:eastAsiaTheme="minorHAnsi" w:cstheme="minorBidi"/>
        <w:sz w:val="20"/>
        <w:lang w:eastAsia="en-US"/>
      </w:rPr>
      <w:instrText>PAGE   \* MERGEFORMAT</w:instrText>
    </w:r>
    <w:r w:rsidRPr="00E211D2">
      <w:rPr>
        <w:rFonts w:eastAsiaTheme="minorHAnsi" w:cstheme="minorBidi"/>
        <w:sz w:val="20"/>
        <w:lang w:eastAsia="en-US"/>
      </w:rPr>
      <w:fldChar w:fldCharType="separate"/>
    </w:r>
    <w:r>
      <w:rPr>
        <w:rFonts w:eastAsiaTheme="minorHAnsi" w:cstheme="minorBidi"/>
        <w:noProof/>
        <w:sz w:val="20"/>
        <w:lang w:eastAsia="en-US"/>
      </w:rPr>
      <w:t>1</w:t>
    </w:r>
    <w:r w:rsidRPr="00E211D2">
      <w:rPr>
        <w:rFonts w:eastAsiaTheme="minorHAnsi" w:cstheme="minorBidi"/>
        <w:sz w:val="20"/>
        <w:lang w:eastAsia="en-US"/>
      </w:rPr>
      <w:fldChar w:fldCharType="end"/>
    </w:r>
    <w:r w:rsidRPr="00E211D2">
      <w:rPr>
        <w:rFonts w:eastAsiaTheme="minorHAnsi" w:cstheme="minorBidi"/>
        <w:sz w:val="20"/>
        <w:lang w:eastAsia="en-US"/>
      </w:rPr>
      <w:t xml:space="preserve"> </w:t>
    </w:r>
    <w:sdt>
      <w:sdtPr>
        <w:rPr>
          <w:rFonts w:eastAsiaTheme="minorHAnsi" w:cstheme="minorBidi"/>
          <w:sz w:val="20"/>
          <w:lang w:eastAsia="en-US"/>
        </w:rPr>
        <w:id w:val="-1877616359"/>
        <w:docPartObj>
          <w:docPartGallery w:val="Page Numbers (Top of Page)"/>
          <w:docPartUnique/>
        </w:docPartObj>
      </w:sdtPr>
      <w:sdtEndPr/>
      <w:sdtContent>
        <w:r w:rsidRPr="00E211D2">
          <w:rPr>
            <w:rFonts w:eastAsiaTheme="minorHAnsi" w:cstheme="minorBidi"/>
            <w:sz w:val="20"/>
            <w:lang w:eastAsia="en-US"/>
          </w:rPr>
          <w:t xml:space="preserve">von </w:t>
        </w:r>
        <w:r w:rsidRPr="00E211D2">
          <w:rPr>
            <w:rFonts w:eastAsiaTheme="minorHAnsi" w:cstheme="minorBidi"/>
            <w:sz w:val="20"/>
            <w:lang w:eastAsia="en-US"/>
          </w:rPr>
          <w:fldChar w:fldCharType="begin"/>
        </w:r>
        <w:r w:rsidRPr="00E211D2">
          <w:rPr>
            <w:rFonts w:eastAsiaTheme="minorHAnsi" w:cstheme="minorBidi"/>
            <w:sz w:val="20"/>
            <w:lang w:eastAsia="en-US"/>
          </w:rPr>
          <w:instrText xml:space="preserve"> NUMPAGES  \* Arabic  \* MERGEFORMAT </w:instrText>
        </w:r>
        <w:r w:rsidRPr="00E211D2">
          <w:rPr>
            <w:rFonts w:eastAsiaTheme="minorHAnsi" w:cstheme="minorBidi"/>
            <w:sz w:val="20"/>
            <w:lang w:eastAsia="en-US"/>
          </w:rPr>
          <w:fldChar w:fldCharType="separate"/>
        </w:r>
        <w:r>
          <w:rPr>
            <w:rFonts w:eastAsiaTheme="minorHAnsi" w:cstheme="minorBidi"/>
            <w:noProof/>
            <w:sz w:val="20"/>
            <w:lang w:eastAsia="en-US"/>
          </w:rPr>
          <w:t>2</w:t>
        </w:r>
        <w:r w:rsidRPr="00E211D2">
          <w:rPr>
            <w:rFonts w:eastAsiaTheme="minorHAnsi" w:cstheme="minorBidi"/>
            <w:sz w:val="20"/>
            <w:lang w:eastAsia="en-US"/>
          </w:rPr>
          <w:fldChar w:fldCharType="end"/>
        </w:r>
      </w:sdtContent>
    </w:sdt>
    <w:r w:rsidRPr="00E211D2">
      <w:rPr>
        <w:rFonts w:eastAsiaTheme="minorHAnsi" w:cstheme="minorBidi"/>
        <w:sz w:val="20"/>
        <w:lang w:eastAsia="en-US"/>
      </w:rPr>
      <w:tab/>
    </w:r>
    <w:r w:rsidRPr="00E211D2">
      <w:rPr>
        <w:rFonts w:eastAsiaTheme="minorHAnsi" w:cstheme="minorBidi"/>
        <w:sz w:val="20"/>
        <w:lang w:eastAsia="en-US"/>
      </w:rPr>
      <w:tab/>
    </w:r>
    <w:r w:rsidRPr="00E211D2">
      <w:rPr>
        <w:rFonts w:eastAsiaTheme="minorHAnsi" w:cstheme="minorBidi"/>
        <w:b/>
        <w:color w:val="00B0F0"/>
        <w:sz w:val="20"/>
        <w:lang w:eastAsia="en-US"/>
      </w:rPr>
      <w:t>AUDfIT</w:t>
    </w:r>
    <w:r w:rsidRPr="00184E10">
      <w:rPr>
        <w:rFonts w:eastAsiaTheme="minorHAnsi" w:cstheme="minorBidi"/>
        <w:b/>
        <w:color w:val="00B0F0"/>
        <w:sz w:val="20"/>
        <w:vertAlign w:val="superscript"/>
        <w:lang w:eastAsia="en-US"/>
      </w:rPr>
      <w:t>®</w:t>
    </w:r>
    <w:r w:rsidRPr="00E211D2">
      <w:rPr>
        <w:rFonts w:eastAsiaTheme="minorHAnsi" w:cstheme="minorBidi"/>
        <w:b/>
        <w:color w:val="00B0F0"/>
        <w:sz w:val="20"/>
        <w:lang w:eastAsia="en-US"/>
      </w:rPr>
      <w:t>-</w:t>
    </w:r>
    <w:r w:rsidR="00885CEC">
      <w:rPr>
        <w:rFonts w:eastAsiaTheme="minorHAnsi" w:cstheme="minorBidi"/>
        <w:b/>
        <w:color w:val="00B0F0"/>
        <w:sz w:val="20"/>
        <w:lang w:eastAsia="en-US"/>
      </w:rPr>
      <w:t xml:space="preserve">Praxisfragen </w:t>
    </w:r>
    <w:r w:rsidR="00885CEC" w:rsidRPr="00885CEC">
      <w:rPr>
        <w:rFonts w:eastAsiaTheme="minorHAnsi" w:cstheme="minorBidi"/>
        <w:b/>
        <w:color w:val="00B0F0"/>
        <w:sz w:val="20"/>
        <w:highlight w:val="yellow"/>
        <w:lang w:eastAsia="en-US"/>
      </w:rPr>
      <w:t>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E51" w:rsidRDefault="007F3E51" w:rsidP="00EE217B">
      <w:pPr>
        <w:pStyle w:val="Fuzeile"/>
      </w:pPr>
    </w:p>
    <w:p w:rsidR="007F3E51" w:rsidRPr="00EE217B" w:rsidRDefault="007F3E51" w:rsidP="00EE217B">
      <w:pPr>
        <w:spacing w:before="0"/>
        <w:jc w:val="center"/>
      </w:pPr>
      <w:r w:rsidRPr="00027F72">
        <w:separator/>
      </w:r>
      <w:r w:rsidRPr="00027F72">
        <w:separator/>
      </w:r>
    </w:p>
  </w:footnote>
  <w:footnote w:type="continuationSeparator" w:id="0">
    <w:p w:rsidR="007F3E51" w:rsidRDefault="007F3E51" w:rsidP="00711AB6">
      <w:pPr>
        <w:spacing w:before="0"/>
        <w:jc w:val="center"/>
      </w:pPr>
    </w:p>
    <w:p w:rsidR="007F3E51" w:rsidRPr="00711AB6" w:rsidRDefault="007F3E51" w:rsidP="00711AB6">
      <w:pPr>
        <w:spacing w:before="0"/>
        <w:jc w:val="center"/>
      </w:pPr>
      <w:r w:rsidRPr="00027F72">
        <w:separator/>
      </w:r>
      <w:r w:rsidRPr="00027F72">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E51" w:rsidRPr="00665F75" w:rsidRDefault="007F3E51" w:rsidP="00B73242">
    <w:pPr>
      <w:pStyle w:val="Kopfzeile"/>
      <w:pBdr>
        <w:bottom w:val="none" w:sz="0" w:space="0" w:color="auto"/>
      </w:pBdr>
      <w:spacing w:before="0"/>
      <w:rPr>
        <w:sz w:val="2"/>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E51" w:rsidRPr="00354556" w:rsidRDefault="007F3E51" w:rsidP="00354556">
    <w:pPr>
      <w:pStyle w:val="Kopfzeile"/>
      <w:pBdr>
        <w:bottom w:val="none" w:sz="0" w:space="0" w:color="auto"/>
      </w:pBdr>
      <w:spacing w:before="0"/>
      <w:rPr>
        <w:sz w:val="2"/>
      </w:rPr>
    </w:pPr>
    <w:r w:rsidRPr="00354556">
      <w:rPr>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3C3F3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6A6458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788D9E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7A270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F84E9B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C46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ECC18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BE124A82"/>
    <w:lvl w:ilvl="0">
      <w:start w:val="1"/>
      <w:numFmt w:val="decimal"/>
      <w:pStyle w:val="Listennummer"/>
      <w:lvlText w:val="%1."/>
      <w:lvlJc w:val="left"/>
      <w:pPr>
        <w:tabs>
          <w:tab w:val="num" w:pos="360"/>
        </w:tabs>
        <w:ind w:left="360" w:hanging="360"/>
      </w:pPr>
    </w:lvl>
  </w:abstractNum>
  <w:abstractNum w:abstractNumId="8" w15:restartNumberingAfterBreak="0">
    <w:nsid w:val="092E6748"/>
    <w:multiLevelType w:val="hybridMultilevel"/>
    <w:tmpl w:val="E110E210"/>
    <w:lvl w:ilvl="0" w:tplc="3F56300C">
      <w:start w:val="1"/>
      <w:numFmt w:val="bullet"/>
      <w:lvlText w:val="•"/>
      <w:lvlJc w:val="left"/>
      <w:pPr>
        <w:tabs>
          <w:tab w:val="num" w:pos="720"/>
        </w:tabs>
        <w:ind w:left="720" w:hanging="360"/>
      </w:pPr>
      <w:rPr>
        <w:rFonts w:ascii="Arial" w:hAnsi="Arial" w:hint="default"/>
      </w:rPr>
    </w:lvl>
    <w:lvl w:ilvl="1" w:tplc="A7944AC6">
      <w:start w:val="1"/>
      <w:numFmt w:val="bullet"/>
      <w:lvlText w:val="•"/>
      <w:lvlJc w:val="left"/>
      <w:pPr>
        <w:tabs>
          <w:tab w:val="num" w:pos="1440"/>
        </w:tabs>
        <w:ind w:left="1440" w:hanging="360"/>
      </w:pPr>
      <w:rPr>
        <w:rFonts w:ascii="Arial" w:hAnsi="Arial" w:hint="default"/>
      </w:rPr>
    </w:lvl>
    <w:lvl w:ilvl="2" w:tplc="05169D4C" w:tentative="1">
      <w:start w:val="1"/>
      <w:numFmt w:val="bullet"/>
      <w:lvlText w:val="•"/>
      <w:lvlJc w:val="left"/>
      <w:pPr>
        <w:tabs>
          <w:tab w:val="num" w:pos="2160"/>
        </w:tabs>
        <w:ind w:left="2160" w:hanging="360"/>
      </w:pPr>
      <w:rPr>
        <w:rFonts w:ascii="Arial" w:hAnsi="Arial" w:hint="default"/>
      </w:rPr>
    </w:lvl>
    <w:lvl w:ilvl="3" w:tplc="EC04D538" w:tentative="1">
      <w:start w:val="1"/>
      <w:numFmt w:val="bullet"/>
      <w:lvlText w:val="•"/>
      <w:lvlJc w:val="left"/>
      <w:pPr>
        <w:tabs>
          <w:tab w:val="num" w:pos="2880"/>
        </w:tabs>
        <w:ind w:left="2880" w:hanging="360"/>
      </w:pPr>
      <w:rPr>
        <w:rFonts w:ascii="Arial" w:hAnsi="Arial" w:hint="default"/>
      </w:rPr>
    </w:lvl>
    <w:lvl w:ilvl="4" w:tplc="542A5860" w:tentative="1">
      <w:start w:val="1"/>
      <w:numFmt w:val="bullet"/>
      <w:lvlText w:val="•"/>
      <w:lvlJc w:val="left"/>
      <w:pPr>
        <w:tabs>
          <w:tab w:val="num" w:pos="3600"/>
        </w:tabs>
        <w:ind w:left="3600" w:hanging="360"/>
      </w:pPr>
      <w:rPr>
        <w:rFonts w:ascii="Arial" w:hAnsi="Arial" w:hint="default"/>
      </w:rPr>
    </w:lvl>
    <w:lvl w:ilvl="5" w:tplc="F7F64126" w:tentative="1">
      <w:start w:val="1"/>
      <w:numFmt w:val="bullet"/>
      <w:lvlText w:val="•"/>
      <w:lvlJc w:val="left"/>
      <w:pPr>
        <w:tabs>
          <w:tab w:val="num" w:pos="4320"/>
        </w:tabs>
        <w:ind w:left="4320" w:hanging="360"/>
      </w:pPr>
      <w:rPr>
        <w:rFonts w:ascii="Arial" w:hAnsi="Arial" w:hint="default"/>
      </w:rPr>
    </w:lvl>
    <w:lvl w:ilvl="6" w:tplc="BB96E286" w:tentative="1">
      <w:start w:val="1"/>
      <w:numFmt w:val="bullet"/>
      <w:lvlText w:val="•"/>
      <w:lvlJc w:val="left"/>
      <w:pPr>
        <w:tabs>
          <w:tab w:val="num" w:pos="5040"/>
        </w:tabs>
        <w:ind w:left="5040" w:hanging="360"/>
      </w:pPr>
      <w:rPr>
        <w:rFonts w:ascii="Arial" w:hAnsi="Arial" w:hint="default"/>
      </w:rPr>
    </w:lvl>
    <w:lvl w:ilvl="7" w:tplc="CD90CBDE" w:tentative="1">
      <w:start w:val="1"/>
      <w:numFmt w:val="bullet"/>
      <w:lvlText w:val="•"/>
      <w:lvlJc w:val="left"/>
      <w:pPr>
        <w:tabs>
          <w:tab w:val="num" w:pos="5760"/>
        </w:tabs>
        <w:ind w:left="5760" w:hanging="360"/>
      </w:pPr>
      <w:rPr>
        <w:rFonts w:ascii="Arial" w:hAnsi="Arial" w:hint="default"/>
      </w:rPr>
    </w:lvl>
    <w:lvl w:ilvl="8" w:tplc="BF9083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09429D3"/>
    <w:multiLevelType w:val="hybridMultilevel"/>
    <w:tmpl w:val="67CC990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0AC517C"/>
    <w:multiLevelType w:val="hybridMultilevel"/>
    <w:tmpl w:val="DA605592"/>
    <w:lvl w:ilvl="0" w:tplc="41CEEF3C">
      <w:start w:val="1"/>
      <w:numFmt w:val="bullet"/>
      <w:pStyle w:val="Aufzhlungszeichen"/>
      <w:lvlText w:val=""/>
      <w:lvlJc w:val="left"/>
      <w:pPr>
        <w:ind w:left="1074" w:hanging="360"/>
      </w:pPr>
      <w:rPr>
        <w:rFonts w:ascii="Symbol" w:hAnsi="Symbol" w:hint="default"/>
      </w:rPr>
    </w:lvl>
    <w:lvl w:ilvl="1" w:tplc="04070003">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11" w15:restartNumberingAfterBreak="0">
    <w:nsid w:val="16143A6F"/>
    <w:multiLevelType w:val="multilevel"/>
    <w:tmpl w:val="5E5E9E74"/>
    <w:styleLink w:val="Listen1"/>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 w15:restartNumberingAfterBreak="0">
    <w:nsid w:val="181A5A00"/>
    <w:multiLevelType w:val="hybridMultilevel"/>
    <w:tmpl w:val="725818A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AE50901"/>
    <w:multiLevelType w:val="hybridMultilevel"/>
    <w:tmpl w:val="30F81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0423901"/>
    <w:multiLevelType w:val="hybridMultilevel"/>
    <w:tmpl w:val="11B4A2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EE3493"/>
    <w:multiLevelType w:val="hybridMultilevel"/>
    <w:tmpl w:val="5D7CFC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6BB0205"/>
    <w:multiLevelType w:val="hybridMultilevel"/>
    <w:tmpl w:val="F11EC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7675ABB"/>
    <w:multiLevelType w:val="hybridMultilevel"/>
    <w:tmpl w:val="AB8EF62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28335716"/>
    <w:multiLevelType w:val="hybridMultilevel"/>
    <w:tmpl w:val="54EC632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41D00EF"/>
    <w:multiLevelType w:val="hybridMultilevel"/>
    <w:tmpl w:val="0F0825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25D7F86"/>
    <w:multiLevelType w:val="hybridMultilevel"/>
    <w:tmpl w:val="67CC990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27C20A2"/>
    <w:multiLevelType w:val="hybridMultilevel"/>
    <w:tmpl w:val="DC3C89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67C1D54"/>
    <w:multiLevelType w:val="hybridMultilevel"/>
    <w:tmpl w:val="9C32BE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B9D71DC"/>
    <w:multiLevelType w:val="hybridMultilevel"/>
    <w:tmpl w:val="4628C72E"/>
    <w:lvl w:ilvl="0" w:tplc="C92E87F4">
      <w:start w:val="1"/>
      <w:numFmt w:val="lowerLetter"/>
      <w:pStyle w:val="Aufzhlungszeichen2"/>
      <w:lvlText w:val="%1."/>
      <w:lvlJc w:val="left"/>
      <w:pPr>
        <w:ind w:left="1074" w:hanging="360"/>
      </w:pPr>
      <w:rPr>
        <w:rFonts w:hint="default"/>
      </w:rPr>
    </w:lvl>
    <w:lvl w:ilvl="1" w:tplc="04070019" w:tentative="1">
      <w:start w:val="1"/>
      <w:numFmt w:val="lowerLetter"/>
      <w:lvlText w:val="%2."/>
      <w:lvlJc w:val="left"/>
      <w:pPr>
        <w:ind w:left="1794" w:hanging="360"/>
      </w:pPr>
    </w:lvl>
    <w:lvl w:ilvl="2" w:tplc="0407001B" w:tentative="1">
      <w:start w:val="1"/>
      <w:numFmt w:val="lowerRoman"/>
      <w:lvlText w:val="%3."/>
      <w:lvlJc w:val="right"/>
      <w:pPr>
        <w:ind w:left="2514" w:hanging="180"/>
      </w:pPr>
    </w:lvl>
    <w:lvl w:ilvl="3" w:tplc="0407000F" w:tentative="1">
      <w:start w:val="1"/>
      <w:numFmt w:val="decimal"/>
      <w:lvlText w:val="%4."/>
      <w:lvlJc w:val="left"/>
      <w:pPr>
        <w:ind w:left="3234" w:hanging="360"/>
      </w:pPr>
    </w:lvl>
    <w:lvl w:ilvl="4" w:tplc="04070019" w:tentative="1">
      <w:start w:val="1"/>
      <w:numFmt w:val="lowerLetter"/>
      <w:lvlText w:val="%5."/>
      <w:lvlJc w:val="left"/>
      <w:pPr>
        <w:ind w:left="3954" w:hanging="360"/>
      </w:pPr>
    </w:lvl>
    <w:lvl w:ilvl="5" w:tplc="0407001B" w:tentative="1">
      <w:start w:val="1"/>
      <w:numFmt w:val="lowerRoman"/>
      <w:lvlText w:val="%6."/>
      <w:lvlJc w:val="right"/>
      <w:pPr>
        <w:ind w:left="4674" w:hanging="180"/>
      </w:pPr>
    </w:lvl>
    <w:lvl w:ilvl="6" w:tplc="0407000F" w:tentative="1">
      <w:start w:val="1"/>
      <w:numFmt w:val="decimal"/>
      <w:lvlText w:val="%7."/>
      <w:lvlJc w:val="left"/>
      <w:pPr>
        <w:ind w:left="5394" w:hanging="360"/>
      </w:pPr>
    </w:lvl>
    <w:lvl w:ilvl="7" w:tplc="04070019" w:tentative="1">
      <w:start w:val="1"/>
      <w:numFmt w:val="lowerLetter"/>
      <w:lvlText w:val="%8."/>
      <w:lvlJc w:val="left"/>
      <w:pPr>
        <w:ind w:left="6114" w:hanging="360"/>
      </w:pPr>
    </w:lvl>
    <w:lvl w:ilvl="8" w:tplc="0407001B" w:tentative="1">
      <w:start w:val="1"/>
      <w:numFmt w:val="lowerRoman"/>
      <w:lvlText w:val="%9."/>
      <w:lvlJc w:val="right"/>
      <w:pPr>
        <w:ind w:left="6834" w:hanging="180"/>
      </w:pPr>
    </w:lvl>
  </w:abstractNum>
  <w:abstractNum w:abstractNumId="24" w15:restartNumberingAfterBreak="0">
    <w:nsid w:val="6F240297"/>
    <w:multiLevelType w:val="hybridMultilevel"/>
    <w:tmpl w:val="F67A5B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C8E2C3A"/>
    <w:multiLevelType w:val="hybridMultilevel"/>
    <w:tmpl w:val="D8469316"/>
    <w:lvl w:ilvl="0" w:tplc="0D140A2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D8A6FE6"/>
    <w:multiLevelType w:val="multilevel"/>
    <w:tmpl w:val="50121D20"/>
    <w:lvl w:ilvl="0">
      <w:start w:val="1"/>
      <w:numFmt w:val="decimal"/>
      <w:pStyle w:val="berschrift1"/>
      <w:lvlText w:val="%1."/>
      <w:lvlJc w:val="left"/>
      <w:pPr>
        <w:tabs>
          <w:tab w:val="num" w:pos="1105"/>
        </w:tabs>
        <w:ind w:left="1105" w:hanging="680"/>
      </w:pPr>
      <w:rPr>
        <w:rFonts w:ascii="Arial" w:eastAsiaTheme="minorHAnsi" w:hAnsi="Arial" w:cs="Arial" w:hint="default"/>
      </w:rPr>
    </w:lvl>
    <w:lvl w:ilvl="1">
      <w:start w:val="1"/>
      <w:numFmt w:val="decimal"/>
      <w:pStyle w:val="berschrift2"/>
      <w:lvlText w:val="%1.%2"/>
      <w:lvlJc w:val="left"/>
      <w:pPr>
        <w:tabs>
          <w:tab w:val="num" w:pos="1105"/>
        </w:tabs>
        <w:ind w:left="1105" w:hanging="680"/>
      </w:pPr>
    </w:lvl>
    <w:lvl w:ilvl="2">
      <w:start w:val="1"/>
      <w:numFmt w:val="decimal"/>
      <w:pStyle w:val="berschrift3"/>
      <w:lvlText w:val="%1.%2.%3"/>
      <w:lvlJc w:val="left"/>
      <w:pPr>
        <w:tabs>
          <w:tab w:val="num" w:pos="1105"/>
        </w:tabs>
        <w:ind w:left="1105" w:hanging="680"/>
      </w:pPr>
    </w:lvl>
    <w:lvl w:ilvl="3">
      <w:start w:val="1"/>
      <w:numFmt w:val="decimal"/>
      <w:pStyle w:val="berschrift4"/>
      <w:lvlText w:val="%1.%2.%3.%4"/>
      <w:lvlJc w:val="left"/>
      <w:pPr>
        <w:tabs>
          <w:tab w:val="num" w:pos="1289"/>
        </w:tabs>
        <w:ind w:left="1289" w:hanging="864"/>
      </w:pPr>
    </w:lvl>
    <w:lvl w:ilvl="4">
      <w:start w:val="1"/>
      <w:numFmt w:val="decimal"/>
      <w:pStyle w:val="berschrift5"/>
      <w:lvlText w:val="%1.%2.%3.%4.%5"/>
      <w:lvlJc w:val="left"/>
      <w:pPr>
        <w:tabs>
          <w:tab w:val="num" w:pos="1433"/>
        </w:tabs>
        <w:ind w:left="1433" w:hanging="1008"/>
      </w:pPr>
    </w:lvl>
    <w:lvl w:ilvl="5">
      <w:start w:val="1"/>
      <w:numFmt w:val="decimal"/>
      <w:pStyle w:val="berschrift6"/>
      <w:lvlText w:val="%1.%2.%3.%4.%5.%6"/>
      <w:lvlJc w:val="left"/>
      <w:pPr>
        <w:tabs>
          <w:tab w:val="num" w:pos="1577"/>
        </w:tabs>
        <w:ind w:left="1577" w:hanging="1152"/>
      </w:pPr>
    </w:lvl>
    <w:lvl w:ilvl="6">
      <w:start w:val="1"/>
      <w:numFmt w:val="decimal"/>
      <w:pStyle w:val="berschrift7"/>
      <w:lvlText w:val="%1.%2.%3.%4.%5.%6.%7"/>
      <w:lvlJc w:val="left"/>
      <w:pPr>
        <w:tabs>
          <w:tab w:val="num" w:pos="1721"/>
        </w:tabs>
        <w:ind w:left="1721" w:hanging="1296"/>
      </w:pPr>
    </w:lvl>
    <w:lvl w:ilvl="7">
      <w:start w:val="1"/>
      <w:numFmt w:val="decimal"/>
      <w:pStyle w:val="berschrift8"/>
      <w:lvlText w:val="%1.%2.%3.%4.%5.%6.%7.%8"/>
      <w:lvlJc w:val="left"/>
      <w:pPr>
        <w:tabs>
          <w:tab w:val="num" w:pos="1865"/>
        </w:tabs>
        <w:ind w:left="1865" w:hanging="1440"/>
      </w:pPr>
    </w:lvl>
    <w:lvl w:ilvl="8">
      <w:start w:val="1"/>
      <w:numFmt w:val="decimal"/>
      <w:pStyle w:val="berschrift9"/>
      <w:lvlText w:val="%1.%2.%3.%4.%5.%6.%7.%8.%9"/>
      <w:lvlJc w:val="left"/>
      <w:pPr>
        <w:tabs>
          <w:tab w:val="num" w:pos="2585"/>
        </w:tabs>
        <w:ind w:left="2009" w:hanging="1584"/>
      </w:pPr>
    </w:lvl>
  </w:abstractNum>
  <w:abstractNum w:abstractNumId="27" w15:restartNumberingAfterBreak="0">
    <w:nsid w:val="7F426428"/>
    <w:multiLevelType w:val="hybridMultilevel"/>
    <w:tmpl w:val="5134911C"/>
    <w:lvl w:ilvl="0" w:tplc="04070001">
      <w:start w:val="1"/>
      <w:numFmt w:val="bullet"/>
      <w:lvlText w:val=""/>
      <w:lvlJc w:val="left"/>
      <w:pPr>
        <w:ind w:left="1174" w:hanging="360"/>
      </w:pPr>
      <w:rPr>
        <w:rFonts w:ascii="Symbol" w:hAnsi="Symbol" w:hint="default"/>
      </w:rPr>
    </w:lvl>
    <w:lvl w:ilvl="1" w:tplc="04070003" w:tentative="1">
      <w:start w:val="1"/>
      <w:numFmt w:val="bullet"/>
      <w:lvlText w:val="o"/>
      <w:lvlJc w:val="left"/>
      <w:pPr>
        <w:ind w:left="1894" w:hanging="360"/>
      </w:pPr>
      <w:rPr>
        <w:rFonts w:ascii="Courier New" w:hAnsi="Courier New" w:cs="Courier New" w:hint="default"/>
      </w:rPr>
    </w:lvl>
    <w:lvl w:ilvl="2" w:tplc="04070005" w:tentative="1">
      <w:start w:val="1"/>
      <w:numFmt w:val="bullet"/>
      <w:lvlText w:val=""/>
      <w:lvlJc w:val="left"/>
      <w:pPr>
        <w:ind w:left="2614" w:hanging="360"/>
      </w:pPr>
      <w:rPr>
        <w:rFonts w:ascii="Wingdings" w:hAnsi="Wingdings" w:hint="default"/>
      </w:rPr>
    </w:lvl>
    <w:lvl w:ilvl="3" w:tplc="04070001" w:tentative="1">
      <w:start w:val="1"/>
      <w:numFmt w:val="bullet"/>
      <w:lvlText w:val=""/>
      <w:lvlJc w:val="left"/>
      <w:pPr>
        <w:ind w:left="3334" w:hanging="360"/>
      </w:pPr>
      <w:rPr>
        <w:rFonts w:ascii="Symbol" w:hAnsi="Symbol" w:hint="default"/>
      </w:rPr>
    </w:lvl>
    <w:lvl w:ilvl="4" w:tplc="04070003" w:tentative="1">
      <w:start w:val="1"/>
      <w:numFmt w:val="bullet"/>
      <w:lvlText w:val="o"/>
      <w:lvlJc w:val="left"/>
      <w:pPr>
        <w:ind w:left="4054" w:hanging="360"/>
      </w:pPr>
      <w:rPr>
        <w:rFonts w:ascii="Courier New" w:hAnsi="Courier New" w:cs="Courier New" w:hint="default"/>
      </w:rPr>
    </w:lvl>
    <w:lvl w:ilvl="5" w:tplc="04070005" w:tentative="1">
      <w:start w:val="1"/>
      <w:numFmt w:val="bullet"/>
      <w:lvlText w:val=""/>
      <w:lvlJc w:val="left"/>
      <w:pPr>
        <w:ind w:left="4774" w:hanging="360"/>
      </w:pPr>
      <w:rPr>
        <w:rFonts w:ascii="Wingdings" w:hAnsi="Wingdings" w:hint="default"/>
      </w:rPr>
    </w:lvl>
    <w:lvl w:ilvl="6" w:tplc="04070001" w:tentative="1">
      <w:start w:val="1"/>
      <w:numFmt w:val="bullet"/>
      <w:lvlText w:val=""/>
      <w:lvlJc w:val="left"/>
      <w:pPr>
        <w:ind w:left="5494" w:hanging="360"/>
      </w:pPr>
      <w:rPr>
        <w:rFonts w:ascii="Symbol" w:hAnsi="Symbol" w:hint="default"/>
      </w:rPr>
    </w:lvl>
    <w:lvl w:ilvl="7" w:tplc="04070003" w:tentative="1">
      <w:start w:val="1"/>
      <w:numFmt w:val="bullet"/>
      <w:lvlText w:val="o"/>
      <w:lvlJc w:val="left"/>
      <w:pPr>
        <w:ind w:left="6214" w:hanging="360"/>
      </w:pPr>
      <w:rPr>
        <w:rFonts w:ascii="Courier New" w:hAnsi="Courier New" w:cs="Courier New" w:hint="default"/>
      </w:rPr>
    </w:lvl>
    <w:lvl w:ilvl="8" w:tplc="04070005" w:tentative="1">
      <w:start w:val="1"/>
      <w:numFmt w:val="bullet"/>
      <w:lvlText w:val=""/>
      <w:lvlJc w:val="left"/>
      <w:pPr>
        <w:ind w:left="6934" w:hanging="360"/>
      </w:pPr>
      <w:rPr>
        <w:rFonts w:ascii="Wingdings" w:hAnsi="Wingdings" w:hint="default"/>
      </w:rPr>
    </w:lvl>
  </w:abstractNum>
  <w:num w:numId="1">
    <w:abstractNumId w:val="26"/>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23"/>
  </w:num>
  <w:num w:numId="12">
    <w:abstractNumId w:val="11"/>
  </w:num>
  <w:num w:numId="13">
    <w:abstractNumId w:val="13"/>
  </w:num>
  <w:num w:numId="14">
    <w:abstractNumId w:val="22"/>
  </w:num>
  <w:num w:numId="15">
    <w:abstractNumId w:val="16"/>
  </w:num>
  <w:num w:numId="16">
    <w:abstractNumId w:val="14"/>
  </w:num>
  <w:num w:numId="17">
    <w:abstractNumId w:val="18"/>
  </w:num>
  <w:num w:numId="18">
    <w:abstractNumId w:val="21"/>
  </w:num>
  <w:num w:numId="19">
    <w:abstractNumId w:val="12"/>
  </w:num>
  <w:num w:numId="20">
    <w:abstractNumId w:val="8"/>
  </w:num>
  <w:num w:numId="21">
    <w:abstractNumId w:val="19"/>
  </w:num>
  <w:num w:numId="22">
    <w:abstractNumId w:val="17"/>
  </w:num>
  <w:num w:numId="23">
    <w:abstractNumId w:val="24"/>
  </w:num>
  <w:num w:numId="24">
    <w:abstractNumId w:val="9"/>
  </w:num>
  <w:num w:numId="25">
    <w:abstractNumId w:val="25"/>
  </w:num>
  <w:num w:numId="26">
    <w:abstractNumId w:val="20"/>
  </w:num>
  <w:num w:numId="27">
    <w:abstractNumId w:val="27"/>
  </w:num>
  <w:num w:numId="2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autoHyphenation/>
  <w:hyphenationZone w:val="425"/>
  <w:displayHorizontalDrawingGridEvery w:val="0"/>
  <w:displayVerticalDrawingGridEvery w:val="0"/>
  <w:doNotUseMarginsForDrawingGridOrigin/>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FE"/>
    <w:rsid w:val="00002230"/>
    <w:rsid w:val="00002EED"/>
    <w:rsid w:val="000030A9"/>
    <w:rsid w:val="000054E6"/>
    <w:rsid w:val="0001477C"/>
    <w:rsid w:val="0002748A"/>
    <w:rsid w:val="0003242D"/>
    <w:rsid w:val="0004061E"/>
    <w:rsid w:val="00044586"/>
    <w:rsid w:val="000503CF"/>
    <w:rsid w:val="0005326E"/>
    <w:rsid w:val="000616B8"/>
    <w:rsid w:val="00064F40"/>
    <w:rsid w:val="00075E7C"/>
    <w:rsid w:val="000773A3"/>
    <w:rsid w:val="00080B9A"/>
    <w:rsid w:val="00086B8A"/>
    <w:rsid w:val="00090E49"/>
    <w:rsid w:val="0009344D"/>
    <w:rsid w:val="00097B2B"/>
    <w:rsid w:val="000B1337"/>
    <w:rsid w:val="000E26F7"/>
    <w:rsid w:val="000E57B4"/>
    <w:rsid w:val="00106BBE"/>
    <w:rsid w:val="00111AC6"/>
    <w:rsid w:val="001205E2"/>
    <w:rsid w:val="001374FD"/>
    <w:rsid w:val="00143F11"/>
    <w:rsid w:val="0015500F"/>
    <w:rsid w:val="00165A53"/>
    <w:rsid w:val="00180880"/>
    <w:rsid w:val="00182B83"/>
    <w:rsid w:val="00183ACA"/>
    <w:rsid w:val="00184E10"/>
    <w:rsid w:val="0019585B"/>
    <w:rsid w:val="001A1B58"/>
    <w:rsid w:val="001A6337"/>
    <w:rsid w:val="001B3F50"/>
    <w:rsid w:val="001B454A"/>
    <w:rsid w:val="001B7E25"/>
    <w:rsid w:val="001C0D6B"/>
    <w:rsid w:val="001C1789"/>
    <w:rsid w:val="001D22E2"/>
    <w:rsid w:val="001E1F96"/>
    <w:rsid w:val="001E38E2"/>
    <w:rsid w:val="001E7A82"/>
    <w:rsid w:val="001F04DD"/>
    <w:rsid w:val="002062E0"/>
    <w:rsid w:val="002065BE"/>
    <w:rsid w:val="0021047B"/>
    <w:rsid w:val="00213C34"/>
    <w:rsid w:val="00222629"/>
    <w:rsid w:val="00252435"/>
    <w:rsid w:val="00257647"/>
    <w:rsid w:val="002717FB"/>
    <w:rsid w:val="00280D52"/>
    <w:rsid w:val="00283F41"/>
    <w:rsid w:val="00284FA6"/>
    <w:rsid w:val="00285560"/>
    <w:rsid w:val="00285C0D"/>
    <w:rsid w:val="00290924"/>
    <w:rsid w:val="0029592F"/>
    <w:rsid w:val="002A064F"/>
    <w:rsid w:val="002A0C98"/>
    <w:rsid w:val="002A29CF"/>
    <w:rsid w:val="002B17CE"/>
    <w:rsid w:val="002B298F"/>
    <w:rsid w:val="002B37AC"/>
    <w:rsid w:val="002C1895"/>
    <w:rsid w:val="002C7903"/>
    <w:rsid w:val="002D0908"/>
    <w:rsid w:val="002D7E2D"/>
    <w:rsid w:val="002F09D8"/>
    <w:rsid w:val="002F6B99"/>
    <w:rsid w:val="002F771F"/>
    <w:rsid w:val="00304799"/>
    <w:rsid w:val="00340216"/>
    <w:rsid w:val="00342964"/>
    <w:rsid w:val="00352142"/>
    <w:rsid w:val="00354556"/>
    <w:rsid w:val="00360F3D"/>
    <w:rsid w:val="00364269"/>
    <w:rsid w:val="00376DCD"/>
    <w:rsid w:val="00382BCD"/>
    <w:rsid w:val="003932A1"/>
    <w:rsid w:val="003A6FEB"/>
    <w:rsid w:val="003A7861"/>
    <w:rsid w:val="003B420D"/>
    <w:rsid w:val="003E348F"/>
    <w:rsid w:val="003E5835"/>
    <w:rsid w:val="003F1B18"/>
    <w:rsid w:val="004076E9"/>
    <w:rsid w:val="0041402E"/>
    <w:rsid w:val="00414D05"/>
    <w:rsid w:val="00416098"/>
    <w:rsid w:val="00416270"/>
    <w:rsid w:val="004248A0"/>
    <w:rsid w:val="00433509"/>
    <w:rsid w:val="00440D21"/>
    <w:rsid w:val="00445BB8"/>
    <w:rsid w:val="0044742E"/>
    <w:rsid w:val="00454705"/>
    <w:rsid w:val="00463565"/>
    <w:rsid w:val="00465DB3"/>
    <w:rsid w:val="00480A8A"/>
    <w:rsid w:val="004867BC"/>
    <w:rsid w:val="0049126F"/>
    <w:rsid w:val="004B2234"/>
    <w:rsid w:val="004B5526"/>
    <w:rsid w:val="004B5A8E"/>
    <w:rsid w:val="004B6272"/>
    <w:rsid w:val="004B6415"/>
    <w:rsid w:val="004C0625"/>
    <w:rsid w:val="004C3F5D"/>
    <w:rsid w:val="004C60FF"/>
    <w:rsid w:val="004D43D5"/>
    <w:rsid w:val="004D6C91"/>
    <w:rsid w:val="004E699D"/>
    <w:rsid w:val="004F1C26"/>
    <w:rsid w:val="004F1E92"/>
    <w:rsid w:val="0050152B"/>
    <w:rsid w:val="005060F4"/>
    <w:rsid w:val="00516C43"/>
    <w:rsid w:val="0052103B"/>
    <w:rsid w:val="00523480"/>
    <w:rsid w:val="00525CDB"/>
    <w:rsid w:val="00527267"/>
    <w:rsid w:val="00534A4B"/>
    <w:rsid w:val="0054655A"/>
    <w:rsid w:val="005473EF"/>
    <w:rsid w:val="0055136F"/>
    <w:rsid w:val="0055156D"/>
    <w:rsid w:val="00567521"/>
    <w:rsid w:val="00583AA1"/>
    <w:rsid w:val="0058527F"/>
    <w:rsid w:val="00585859"/>
    <w:rsid w:val="005913EC"/>
    <w:rsid w:val="005921A2"/>
    <w:rsid w:val="005967E6"/>
    <w:rsid w:val="005B024A"/>
    <w:rsid w:val="005B57D7"/>
    <w:rsid w:val="005B7F7F"/>
    <w:rsid w:val="005C1C85"/>
    <w:rsid w:val="005C5708"/>
    <w:rsid w:val="005D1825"/>
    <w:rsid w:val="005D26BD"/>
    <w:rsid w:val="005D2A74"/>
    <w:rsid w:val="005D7367"/>
    <w:rsid w:val="005E0577"/>
    <w:rsid w:val="005E07BD"/>
    <w:rsid w:val="005E7803"/>
    <w:rsid w:val="005F6F40"/>
    <w:rsid w:val="00632C1A"/>
    <w:rsid w:val="006454CF"/>
    <w:rsid w:val="0065198F"/>
    <w:rsid w:val="006521FF"/>
    <w:rsid w:val="00665F75"/>
    <w:rsid w:val="0066763B"/>
    <w:rsid w:val="00684B37"/>
    <w:rsid w:val="006A27FA"/>
    <w:rsid w:val="006C4228"/>
    <w:rsid w:val="006D45A1"/>
    <w:rsid w:val="006D7242"/>
    <w:rsid w:val="006E24F6"/>
    <w:rsid w:val="006E2847"/>
    <w:rsid w:val="006E7126"/>
    <w:rsid w:val="006F281C"/>
    <w:rsid w:val="007026D1"/>
    <w:rsid w:val="00711AB6"/>
    <w:rsid w:val="00716DD5"/>
    <w:rsid w:val="00720E5C"/>
    <w:rsid w:val="00742EA1"/>
    <w:rsid w:val="00744772"/>
    <w:rsid w:val="00744C9A"/>
    <w:rsid w:val="007506E6"/>
    <w:rsid w:val="00761107"/>
    <w:rsid w:val="007626C5"/>
    <w:rsid w:val="00763FC1"/>
    <w:rsid w:val="007648E0"/>
    <w:rsid w:val="00765666"/>
    <w:rsid w:val="00772791"/>
    <w:rsid w:val="0078728B"/>
    <w:rsid w:val="00790130"/>
    <w:rsid w:val="00796513"/>
    <w:rsid w:val="007A060E"/>
    <w:rsid w:val="007A3E0C"/>
    <w:rsid w:val="007A407E"/>
    <w:rsid w:val="007B1945"/>
    <w:rsid w:val="007D3976"/>
    <w:rsid w:val="007D6927"/>
    <w:rsid w:val="007E0249"/>
    <w:rsid w:val="007F3A7C"/>
    <w:rsid w:val="007F3E51"/>
    <w:rsid w:val="00802ED4"/>
    <w:rsid w:val="0080548B"/>
    <w:rsid w:val="00805892"/>
    <w:rsid w:val="0081072B"/>
    <w:rsid w:val="008248D3"/>
    <w:rsid w:val="00834FC0"/>
    <w:rsid w:val="008471C9"/>
    <w:rsid w:val="00855B99"/>
    <w:rsid w:val="00862DDF"/>
    <w:rsid w:val="00870FFE"/>
    <w:rsid w:val="00872C95"/>
    <w:rsid w:val="00872F5F"/>
    <w:rsid w:val="0087591D"/>
    <w:rsid w:val="0088020C"/>
    <w:rsid w:val="00884570"/>
    <w:rsid w:val="00885CEC"/>
    <w:rsid w:val="00891EEA"/>
    <w:rsid w:val="008976BA"/>
    <w:rsid w:val="008A5560"/>
    <w:rsid w:val="008C44B0"/>
    <w:rsid w:val="008D1A8E"/>
    <w:rsid w:val="008E0D82"/>
    <w:rsid w:val="008E0FC7"/>
    <w:rsid w:val="008F75E7"/>
    <w:rsid w:val="009075A9"/>
    <w:rsid w:val="0091405A"/>
    <w:rsid w:val="009212B4"/>
    <w:rsid w:val="009274B5"/>
    <w:rsid w:val="0095198B"/>
    <w:rsid w:val="00970211"/>
    <w:rsid w:val="009760D0"/>
    <w:rsid w:val="00977270"/>
    <w:rsid w:val="009773FE"/>
    <w:rsid w:val="0099236A"/>
    <w:rsid w:val="009A6E64"/>
    <w:rsid w:val="009C1E3E"/>
    <w:rsid w:val="009C2FF2"/>
    <w:rsid w:val="009C6EFB"/>
    <w:rsid w:val="009C7804"/>
    <w:rsid w:val="009D429E"/>
    <w:rsid w:val="009E1FB1"/>
    <w:rsid w:val="009E52C9"/>
    <w:rsid w:val="009F6E01"/>
    <w:rsid w:val="00A06317"/>
    <w:rsid w:val="00A237ED"/>
    <w:rsid w:val="00A31197"/>
    <w:rsid w:val="00A5114A"/>
    <w:rsid w:val="00A613A1"/>
    <w:rsid w:val="00A649A3"/>
    <w:rsid w:val="00A7113B"/>
    <w:rsid w:val="00A75CE3"/>
    <w:rsid w:val="00A8486F"/>
    <w:rsid w:val="00A87FE5"/>
    <w:rsid w:val="00A946ED"/>
    <w:rsid w:val="00AA65D6"/>
    <w:rsid w:val="00AC17EE"/>
    <w:rsid w:val="00AC3CBC"/>
    <w:rsid w:val="00AE290A"/>
    <w:rsid w:val="00AE3EDC"/>
    <w:rsid w:val="00AF1983"/>
    <w:rsid w:val="00AF76A2"/>
    <w:rsid w:val="00B1324F"/>
    <w:rsid w:val="00B13741"/>
    <w:rsid w:val="00B15817"/>
    <w:rsid w:val="00B1680D"/>
    <w:rsid w:val="00B2286E"/>
    <w:rsid w:val="00B22993"/>
    <w:rsid w:val="00B261B2"/>
    <w:rsid w:val="00B34064"/>
    <w:rsid w:val="00B50770"/>
    <w:rsid w:val="00B6345C"/>
    <w:rsid w:val="00B66196"/>
    <w:rsid w:val="00B73242"/>
    <w:rsid w:val="00B760B6"/>
    <w:rsid w:val="00B77530"/>
    <w:rsid w:val="00B86895"/>
    <w:rsid w:val="00B91F5A"/>
    <w:rsid w:val="00B929CA"/>
    <w:rsid w:val="00BA02EC"/>
    <w:rsid w:val="00BA1533"/>
    <w:rsid w:val="00BA1564"/>
    <w:rsid w:val="00BA7590"/>
    <w:rsid w:val="00BB730F"/>
    <w:rsid w:val="00BC04E1"/>
    <w:rsid w:val="00BC6A51"/>
    <w:rsid w:val="00BD2864"/>
    <w:rsid w:val="00BD37FF"/>
    <w:rsid w:val="00BD62C0"/>
    <w:rsid w:val="00BE368B"/>
    <w:rsid w:val="00BF0354"/>
    <w:rsid w:val="00BF2B89"/>
    <w:rsid w:val="00BF7EB9"/>
    <w:rsid w:val="00C10F24"/>
    <w:rsid w:val="00C24E59"/>
    <w:rsid w:val="00C30D7D"/>
    <w:rsid w:val="00C407A8"/>
    <w:rsid w:val="00C43D74"/>
    <w:rsid w:val="00C470A2"/>
    <w:rsid w:val="00C61048"/>
    <w:rsid w:val="00C8522D"/>
    <w:rsid w:val="00C91AC1"/>
    <w:rsid w:val="00C929A0"/>
    <w:rsid w:val="00C940C7"/>
    <w:rsid w:val="00C9577E"/>
    <w:rsid w:val="00CA5FDE"/>
    <w:rsid w:val="00CA64ED"/>
    <w:rsid w:val="00CA6FFC"/>
    <w:rsid w:val="00CB24C7"/>
    <w:rsid w:val="00CB3640"/>
    <w:rsid w:val="00CC19EF"/>
    <w:rsid w:val="00CD1A9A"/>
    <w:rsid w:val="00CD4117"/>
    <w:rsid w:val="00CE73C2"/>
    <w:rsid w:val="00D13823"/>
    <w:rsid w:val="00D13BD1"/>
    <w:rsid w:val="00D3468F"/>
    <w:rsid w:val="00D45365"/>
    <w:rsid w:val="00D61222"/>
    <w:rsid w:val="00D65E04"/>
    <w:rsid w:val="00DA6374"/>
    <w:rsid w:val="00DB3534"/>
    <w:rsid w:val="00DB3B77"/>
    <w:rsid w:val="00DC5CF9"/>
    <w:rsid w:val="00DD3447"/>
    <w:rsid w:val="00DD5810"/>
    <w:rsid w:val="00DD6816"/>
    <w:rsid w:val="00DE10AB"/>
    <w:rsid w:val="00DE2B44"/>
    <w:rsid w:val="00DF6B90"/>
    <w:rsid w:val="00E016C0"/>
    <w:rsid w:val="00E211D2"/>
    <w:rsid w:val="00E342CA"/>
    <w:rsid w:val="00E368C3"/>
    <w:rsid w:val="00E50734"/>
    <w:rsid w:val="00E54CF5"/>
    <w:rsid w:val="00E57522"/>
    <w:rsid w:val="00E57793"/>
    <w:rsid w:val="00E61BCD"/>
    <w:rsid w:val="00E65739"/>
    <w:rsid w:val="00E76D20"/>
    <w:rsid w:val="00E77518"/>
    <w:rsid w:val="00EA0865"/>
    <w:rsid w:val="00EA2ACF"/>
    <w:rsid w:val="00EA74B3"/>
    <w:rsid w:val="00EC00F0"/>
    <w:rsid w:val="00EE217B"/>
    <w:rsid w:val="00EF2558"/>
    <w:rsid w:val="00F01DD2"/>
    <w:rsid w:val="00F029CC"/>
    <w:rsid w:val="00F02A61"/>
    <w:rsid w:val="00F05052"/>
    <w:rsid w:val="00F16438"/>
    <w:rsid w:val="00F16D23"/>
    <w:rsid w:val="00F2421E"/>
    <w:rsid w:val="00F3121A"/>
    <w:rsid w:val="00F35247"/>
    <w:rsid w:val="00F4319F"/>
    <w:rsid w:val="00F43427"/>
    <w:rsid w:val="00F508B7"/>
    <w:rsid w:val="00F51F9C"/>
    <w:rsid w:val="00F579A0"/>
    <w:rsid w:val="00F607DD"/>
    <w:rsid w:val="00F672A4"/>
    <w:rsid w:val="00F67FF5"/>
    <w:rsid w:val="00F87375"/>
    <w:rsid w:val="00F920AB"/>
    <w:rsid w:val="00FA1E51"/>
    <w:rsid w:val="00FB19BE"/>
    <w:rsid w:val="00FB74D4"/>
    <w:rsid w:val="00FC2BD6"/>
    <w:rsid w:val="00FD0600"/>
    <w:rsid w:val="00FD6CCC"/>
    <w:rsid w:val="00FE5374"/>
    <w:rsid w:val="00FE65A7"/>
    <w:rsid w:val="00FF41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5:docId w15:val="{3BD57837-B969-43FC-9CEA-2971495C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E1F96"/>
    <w:pPr>
      <w:spacing w:before="120"/>
      <w:jc w:val="both"/>
    </w:pPr>
    <w:rPr>
      <w:rFonts w:ascii="Century Gothic" w:hAnsi="Century Gothic"/>
      <w:sz w:val="22"/>
    </w:rPr>
  </w:style>
  <w:style w:type="paragraph" w:styleId="berschrift1">
    <w:name w:val="heading 1"/>
    <w:basedOn w:val="Standard"/>
    <w:next w:val="Standardeinzug"/>
    <w:qFormat/>
    <w:rsid w:val="00364269"/>
    <w:pPr>
      <w:keepNext/>
      <w:pageBreakBefore/>
      <w:numPr>
        <w:numId w:val="1"/>
      </w:numPr>
      <w:tabs>
        <w:tab w:val="num" w:pos="709"/>
      </w:tabs>
      <w:suppressAutoHyphens/>
      <w:spacing w:before="0"/>
      <w:ind w:left="709" w:hanging="709"/>
      <w:jc w:val="left"/>
      <w:outlineLvl w:val="0"/>
    </w:pPr>
    <w:rPr>
      <w:rFonts w:ascii="Futura Md BT" w:hAnsi="Futura Md BT"/>
      <w:b/>
      <w:color w:val="00A7DE"/>
      <w:kern w:val="28"/>
      <w:sz w:val="32"/>
    </w:rPr>
  </w:style>
  <w:style w:type="paragraph" w:styleId="berschrift2">
    <w:name w:val="heading 2"/>
    <w:basedOn w:val="berschrift1"/>
    <w:next w:val="Standardeinzug"/>
    <w:qFormat/>
    <w:rsid w:val="00A237ED"/>
    <w:pPr>
      <w:pageBreakBefore w:val="0"/>
      <w:numPr>
        <w:ilvl w:val="1"/>
      </w:numPr>
      <w:tabs>
        <w:tab w:val="left" w:pos="720"/>
      </w:tabs>
      <w:suppressAutoHyphens w:val="0"/>
      <w:spacing w:before="480"/>
      <w:ind w:left="709" w:hanging="709"/>
      <w:outlineLvl w:val="1"/>
    </w:pPr>
    <w:rPr>
      <w:sz w:val="28"/>
    </w:rPr>
  </w:style>
  <w:style w:type="paragraph" w:styleId="berschrift3">
    <w:name w:val="heading 3"/>
    <w:basedOn w:val="berschrift2"/>
    <w:next w:val="Standardeinzug"/>
    <w:qFormat/>
    <w:rsid w:val="00CB24C7"/>
    <w:pPr>
      <w:numPr>
        <w:ilvl w:val="2"/>
      </w:numPr>
      <w:spacing w:before="360"/>
      <w:ind w:left="709" w:hanging="709"/>
      <w:outlineLvl w:val="2"/>
    </w:pPr>
    <w:rPr>
      <w:sz w:val="24"/>
    </w:rPr>
  </w:style>
  <w:style w:type="paragraph" w:styleId="berschrift4">
    <w:name w:val="heading 4"/>
    <w:basedOn w:val="berschrift3"/>
    <w:next w:val="Standardeinzug"/>
    <w:qFormat/>
    <w:pPr>
      <w:numPr>
        <w:ilvl w:val="3"/>
      </w:numPr>
      <w:spacing w:before="240"/>
      <w:ind w:left="720" w:hanging="720"/>
      <w:outlineLvl w:val="3"/>
    </w:pPr>
    <w:rPr>
      <w:b w:val="0"/>
    </w:rPr>
  </w:style>
  <w:style w:type="paragraph" w:styleId="berschrift5">
    <w:name w:val="heading 5"/>
    <w:basedOn w:val="berschrift4"/>
    <w:next w:val="Standard"/>
    <w:pPr>
      <w:numPr>
        <w:ilvl w:val="4"/>
      </w:numPr>
      <w:ind w:left="720" w:hanging="720"/>
      <w:outlineLvl w:val="4"/>
    </w:pPr>
  </w:style>
  <w:style w:type="paragraph" w:styleId="berschrift6">
    <w:name w:val="heading 6"/>
    <w:basedOn w:val="berschrift5"/>
    <w:next w:val="Standard"/>
    <w:pPr>
      <w:numPr>
        <w:ilvl w:val="5"/>
      </w:numPr>
      <w:ind w:left="720" w:hanging="720"/>
      <w:outlineLvl w:val="5"/>
    </w:pPr>
  </w:style>
  <w:style w:type="paragraph" w:styleId="berschrift7">
    <w:name w:val="heading 7"/>
    <w:basedOn w:val="berschrift6"/>
    <w:next w:val="Standard"/>
    <w:pPr>
      <w:numPr>
        <w:ilvl w:val="6"/>
      </w:numPr>
      <w:ind w:left="720" w:hanging="720"/>
      <w:outlineLvl w:val="6"/>
    </w:pPr>
  </w:style>
  <w:style w:type="paragraph" w:styleId="berschrift8">
    <w:name w:val="heading 8"/>
    <w:basedOn w:val="berschrift7"/>
    <w:next w:val="Standard"/>
    <w:pPr>
      <w:numPr>
        <w:ilvl w:val="7"/>
      </w:numPr>
      <w:ind w:left="720" w:hanging="720"/>
      <w:outlineLvl w:val="7"/>
    </w:pPr>
  </w:style>
  <w:style w:type="paragraph" w:styleId="berschrift9">
    <w:name w:val="heading 9"/>
    <w:basedOn w:val="berschrift8"/>
    <w:next w:val="Standard"/>
    <w:pPr>
      <w:numPr>
        <w:ilvl w:val="8"/>
      </w:numPr>
      <w:ind w:left="720" w:hanging="72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Verzeichnis1">
    <w:name w:val="toc 1"/>
    <w:basedOn w:val="Standard"/>
    <w:next w:val="Standard"/>
    <w:autoRedefine/>
    <w:uiPriority w:val="39"/>
    <w:qFormat/>
    <w:pPr>
      <w:tabs>
        <w:tab w:val="right" w:leader="dot" w:pos="8505"/>
      </w:tabs>
      <w:spacing w:before="240"/>
      <w:ind w:left="680" w:right="424" w:hanging="680"/>
      <w:jc w:val="left"/>
    </w:pPr>
    <w:rPr>
      <w:b/>
      <w:noProof/>
    </w:rPr>
  </w:style>
  <w:style w:type="paragraph" w:styleId="Verzeichnis2">
    <w:name w:val="toc 2"/>
    <w:basedOn w:val="Verzeichnis1"/>
    <w:next w:val="Standard"/>
    <w:autoRedefine/>
    <w:uiPriority w:val="39"/>
    <w:qFormat/>
    <w:pPr>
      <w:tabs>
        <w:tab w:val="left" w:pos="680"/>
      </w:tabs>
      <w:spacing w:before="120"/>
    </w:pPr>
    <w:rPr>
      <w:b w:val="0"/>
    </w:rPr>
  </w:style>
  <w:style w:type="paragraph" w:styleId="Verzeichnis3">
    <w:name w:val="toc 3"/>
    <w:basedOn w:val="Verzeichnis2"/>
    <w:next w:val="Standard"/>
    <w:autoRedefine/>
    <w:uiPriority w:val="39"/>
    <w:qFormat/>
    <w:pPr>
      <w:tabs>
        <w:tab w:val="left" w:pos="1004"/>
      </w:tabs>
      <w:spacing w:before="60"/>
    </w:pPr>
  </w:style>
  <w:style w:type="paragraph" w:styleId="Umschlagabsenderadresse">
    <w:name w:val="envelope return"/>
    <w:basedOn w:val="Standard"/>
    <w:semiHidden/>
  </w:style>
  <w:style w:type="paragraph" w:styleId="Beschriftung">
    <w:name w:val="caption"/>
    <w:basedOn w:val="Standard"/>
    <w:next w:val="Standardeinzug"/>
    <w:qFormat/>
    <w:rsid w:val="0055156D"/>
    <w:pPr>
      <w:spacing w:before="0"/>
      <w:ind w:left="1985" w:hanging="1276"/>
      <w:jc w:val="left"/>
    </w:pPr>
    <w:rPr>
      <w:sz w:val="20"/>
    </w:rPr>
  </w:style>
  <w:style w:type="character" w:styleId="Funotenzeichen">
    <w:name w:val="footnote reference"/>
    <w:semiHidden/>
    <w:rsid w:val="00DD3447"/>
    <w:rPr>
      <w:szCs w:val="24"/>
      <w:vertAlign w:val="superscript"/>
    </w:rPr>
  </w:style>
  <w:style w:type="paragraph" w:styleId="Sprechblasentext">
    <w:name w:val="Balloon Text"/>
    <w:basedOn w:val="Standard"/>
    <w:link w:val="SprechblasentextZchn"/>
    <w:uiPriority w:val="99"/>
    <w:semiHidden/>
    <w:unhideWhenUsed/>
    <w:rsid w:val="006E7126"/>
    <w:pPr>
      <w:spacing w:before="0"/>
    </w:pPr>
    <w:rPr>
      <w:rFonts w:ascii="Tahoma" w:hAnsi="Tahoma" w:cs="Tahoma"/>
      <w:sz w:val="16"/>
      <w:szCs w:val="16"/>
    </w:rPr>
  </w:style>
  <w:style w:type="paragraph" w:customStyle="1" w:styleId="Computerprogramm">
    <w:name w:val="Computerprogramm"/>
    <w:basedOn w:val="Standard"/>
    <w:rsid w:val="0000223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contextualSpacing/>
      <w:jc w:val="left"/>
    </w:pPr>
    <w:rPr>
      <w:noProof/>
      <w:sz w:val="20"/>
    </w:rPr>
  </w:style>
  <w:style w:type="character" w:customStyle="1" w:styleId="SprechblasentextZchn">
    <w:name w:val="Sprechblasentext Zchn"/>
    <w:basedOn w:val="Absatz-Standardschriftart"/>
    <w:link w:val="Sprechblasentext"/>
    <w:uiPriority w:val="99"/>
    <w:semiHidden/>
    <w:rsid w:val="006E7126"/>
    <w:rPr>
      <w:rFonts w:ascii="Tahoma" w:hAnsi="Tahoma" w:cs="Tahoma"/>
      <w:sz w:val="16"/>
      <w:szCs w:val="16"/>
    </w:rPr>
  </w:style>
  <w:style w:type="paragraph" w:styleId="Literaturverzeichnis">
    <w:name w:val="Bibliography"/>
    <w:basedOn w:val="Standard"/>
    <w:autoRedefine/>
    <w:qFormat/>
    <w:rsid w:val="00002230"/>
    <w:pPr>
      <w:jc w:val="left"/>
    </w:pPr>
  </w:style>
  <w:style w:type="paragraph" w:styleId="Funotentext">
    <w:name w:val="footnote text"/>
    <w:basedOn w:val="Standard"/>
    <w:semiHidden/>
    <w:qFormat/>
    <w:rsid w:val="001E1F96"/>
    <w:pPr>
      <w:tabs>
        <w:tab w:val="left" w:pos="142"/>
      </w:tabs>
      <w:spacing w:before="60"/>
      <w:ind w:left="108" w:hanging="108"/>
      <w:jc w:val="left"/>
    </w:pPr>
    <w:rPr>
      <w:sz w:val="14"/>
    </w:rPr>
  </w:style>
  <w:style w:type="paragraph" w:styleId="Kopfzeile">
    <w:name w:val="header"/>
    <w:basedOn w:val="Standard"/>
    <w:semiHidden/>
    <w:pPr>
      <w:pBdr>
        <w:bottom w:val="single" w:sz="4" w:space="1" w:color="auto"/>
      </w:pBdr>
      <w:tabs>
        <w:tab w:val="right" w:pos="7938"/>
      </w:tabs>
    </w:pPr>
    <w:rPr>
      <w:sz w:val="20"/>
    </w:rPr>
  </w:style>
  <w:style w:type="paragraph" w:styleId="Abbildungsverzeichnis">
    <w:name w:val="table of figures"/>
    <w:basedOn w:val="Verzeichnis3"/>
    <w:next w:val="Standard"/>
    <w:autoRedefine/>
    <w:uiPriority w:val="99"/>
    <w:rsid w:val="00A613A1"/>
    <w:pPr>
      <w:tabs>
        <w:tab w:val="clear" w:pos="680"/>
        <w:tab w:val="clear" w:pos="1004"/>
        <w:tab w:val="clear" w:pos="8505"/>
        <w:tab w:val="right" w:leader="dot" w:pos="9072"/>
      </w:tabs>
      <w:ind w:left="709" w:hanging="709"/>
    </w:pPr>
  </w:style>
  <w:style w:type="paragraph" w:styleId="Aufzhlungszeichen2">
    <w:name w:val="List Bullet 2"/>
    <w:basedOn w:val="Listenabsatz"/>
    <w:next w:val="Standardeinzug"/>
    <w:qFormat/>
    <w:rsid w:val="0055156D"/>
    <w:pPr>
      <w:numPr>
        <w:numId w:val="11"/>
      </w:numPr>
      <w:spacing w:before="60" w:after="60"/>
      <w:ind w:left="1134" w:hanging="420"/>
      <w:contextualSpacing w:val="0"/>
    </w:pPr>
  </w:style>
  <w:style w:type="paragraph" w:customStyle="1" w:styleId="Abbildung">
    <w:name w:val="Abbildung"/>
    <w:basedOn w:val="Standard"/>
    <w:next w:val="Beschriftung"/>
    <w:qFormat/>
    <w:rsid w:val="00CB24C7"/>
    <w:pPr>
      <w:keepNext/>
      <w:ind w:left="709"/>
      <w:jc w:val="center"/>
    </w:pPr>
  </w:style>
  <w:style w:type="paragraph" w:styleId="Fuzeile">
    <w:name w:val="footer"/>
    <w:basedOn w:val="Standard"/>
    <w:link w:val="FuzeileZchn"/>
    <w:uiPriority w:val="99"/>
    <w:pPr>
      <w:tabs>
        <w:tab w:val="center" w:pos="4536"/>
        <w:tab w:val="right" w:pos="9072"/>
      </w:tabs>
    </w:pPr>
  </w:style>
  <w:style w:type="paragraph" w:styleId="Aufzhlungszeichen">
    <w:name w:val="List Bullet"/>
    <w:basedOn w:val="Listenabsatz"/>
    <w:next w:val="Standardeinzug"/>
    <w:qFormat/>
    <w:rsid w:val="0055156D"/>
    <w:pPr>
      <w:numPr>
        <w:numId w:val="10"/>
      </w:numPr>
      <w:spacing w:before="60" w:after="60"/>
      <w:ind w:left="1134" w:hanging="420"/>
      <w:contextualSpacing w:val="0"/>
    </w:pPr>
  </w:style>
  <w:style w:type="paragraph" w:styleId="Zitat">
    <w:name w:val="Quote"/>
    <w:basedOn w:val="Standard"/>
    <w:qFormat/>
    <w:rsid w:val="005473EF"/>
    <w:pPr>
      <w:spacing w:before="0"/>
    </w:pPr>
    <w:rPr>
      <w:i/>
      <w:sz w:val="20"/>
    </w:rPr>
  </w:style>
  <w:style w:type="paragraph" w:styleId="Anrede">
    <w:name w:val="Salutation"/>
    <w:basedOn w:val="Standard"/>
    <w:next w:val="Standard"/>
    <w:semiHidden/>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style>
  <w:style w:type="paragraph" w:styleId="Fu-Endnotenberschrift">
    <w:name w:val="Note Heading"/>
    <w:basedOn w:val="Standard"/>
    <w:next w:val="Standard"/>
    <w:semiHidden/>
  </w:style>
  <w:style w:type="paragraph" w:styleId="Gruformel">
    <w:name w:val="Closing"/>
    <w:basedOn w:val="Standard"/>
    <w:semiHidden/>
    <w:pPr>
      <w:ind w:left="4252"/>
    </w:pPr>
  </w:style>
  <w:style w:type="paragraph" w:styleId="Index1">
    <w:name w:val="index 1"/>
    <w:basedOn w:val="Standard"/>
    <w:next w:val="Standard"/>
    <w:autoRedefine/>
    <w:uiPriority w:val="99"/>
    <w:semiHidden/>
    <w:pPr>
      <w:tabs>
        <w:tab w:val="right" w:leader="dot" w:pos="3598"/>
      </w:tabs>
      <w:ind w:left="198" w:hanging="198"/>
    </w:pPr>
    <w:rPr>
      <w:noProof/>
    </w:rPr>
  </w:style>
  <w:style w:type="paragraph" w:styleId="Index2">
    <w:name w:val="index 2"/>
    <w:basedOn w:val="Standard"/>
    <w:next w:val="Standard"/>
    <w:autoRedefine/>
    <w:semiHidden/>
    <w:pPr>
      <w:ind w:left="396" w:hanging="198"/>
    </w:pPr>
  </w:style>
  <w:style w:type="paragraph" w:styleId="Index3">
    <w:name w:val="index 3"/>
    <w:basedOn w:val="Standard"/>
    <w:next w:val="Standard"/>
    <w:autoRedefine/>
    <w:semiHidden/>
    <w:pPr>
      <w:ind w:left="601" w:hanging="198"/>
    </w:pPr>
  </w:style>
  <w:style w:type="paragraph" w:styleId="Index4">
    <w:name w:val="index 4"/>
    <w:basedOn w:val="Standard"/>
    <w:next w:val="Standard"/>
    <w:autoRedefine/>
    <w:semiHidden/>
    <w:pPr>
      <w:ind w:left="799" w:hanging="198"/>
    </w:pPr>
  </w:style>
  <w:style w:type="paragraph" w:styleId="Index5">
    <w:name w:val="index 5"/>
    <w:basedOn w:val="Standard"/>
    <w:next w:val="Standard"/>
    <w:autoRedefine/>
    <w:semiHidden/>
    <w:pPr>
      <w:ind w:left="997" w:hanging="198"/>
    </w:pPr>
  </w:style>
  <w:style w:type="paragraph" w:styleId="Index6">
    <w:name w:val="index 6"/>
    <w:basedOn w:val="Standard"/>
    <w:next w:val="Standard"/>
    <w:autoRedefine/>
    <w:semiHidden/>
    <w:pPr>
      <w:ind w:left="1196" w:hanging="198"/>
    </w:pPr>
  </w:style>
  <w:style w:type="paragraph" w:styleId="Index7">
    <w:name w:val="index 7"/>
    <w:basedOn w:val="Standard"/>
    <w:next w:val="Standard"/>
    <w:autoRedefine/>
    <w:semiHidden/>
    <w:pPr>
      <w:ind w:left="1400" w:hanging="198"/>
    </w:pPr>
  </w:style>
  <w:style w:type="paragraph" w:styleId="Index8">
    <w:name w:val="index 8"/>
    <w:basedOn w:val="Standard"/>
    <w:next w:val="Standard"/>
    <w:autoRedefine/>
    <w:semiHidden/>
    <w:pPr>
      <w:ind w:left="1598" w:hanging="198"/>
    </w:pPr>
  </w:style>
  <w:style w:type="paragraph" w:styleId="Index9">
    <w:name w:val="index 9"/>
    <w:basedOn w:val="Standard"/>
    <w:next w:val="Standard"/>
    <w:autoRedefine/>
    <w:semiHidden/>
    <w:pPr>
      <w:ind w:left="1797" w:hanging="198"/>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style>
  <w:style w:type="paragraph" w:styleId="Liste">
    <w:name w:val="List"/>
    <w:basedOn w:val="Standard"/>
    <w:semiHidden/>
    <w:pPr>
      <w:ind w:left="357" w:hanging="357"/>
    </w:pPr>
  </w:style>
  <w:style w:type="paragraph" w:styleId="Liste2">
    <w:name w:val="List 2"/>
    <w:basedOn w:val="Standard"/>
    <w:semiHidden/>
    <w:pPr>
      <w:ind w:left="714" w:hanging="357"/>
    </w:pPr>
  </w:style>
  <w:style w:type="paragraph" w:styleId="Liste3">
    <w:name w:val="List 3"/>
    <w:basedOn w:val="Standard"/>
    <w:semiHidden/>
    <w:pPr>
      <w:ind w:left="1077" w:hanging="357"/>
    </w:pPr>
  </w:style>
  <w:style w:type="paragraph" w:styleId="Liste4">
    <w:name w:val="List 4"/>
    <w:basedOn w:val="Standard"/>
    <w:semiHidden/>
    <w:pPr>
      <w:ind w:left="1434" w:hanging="357"/>
    </w:pPr>
  </w:style>
  <w:style w:type="paragraph" w:styleId="Liste5">
    <w:name w:val="List 5"/>
    <w:basedOn w:val="Standard"/>
    <w:semiHidden/>
    <w:pPr>
      <w:ind w:left="1797" w:hanging="357"/>
    </w:pPr>
  </w:style>
  <w:style w:type="paragraph" w:styleId="Listenfortsetzung">
    <w:name w:val="List Continue"/>
    <w:basedOn w:val="Standard"/>
    <w:semiHidden/>
    <w:pPr>
      <w:ind w:left="357"/>
    </w:pPr>
  </w:style>
  <w:style w:type="paragraph" w:styleId="Listenfortsetzung2">
    <w:name w:val="List Continue 2"/>
    <w:basedOn w:val="Standard"/>
    <w:semiHidden/>
    <w:pPr>
      <w:ind w:left="720"/>
    </w:pPr>
  </w:style>
  <w:style w:type="paragraph" w:styleId="Listenfortsetzung3">
    <w:name w:val="List Continue 3"/>
    <w:basedOn w:val="Standard"/>
    <w:semiHidden/>
    <w:pPr>
      <w:ind w:left="1077"/>
    </w:pPr>
  </w:style>
  <w:style w:type="paragraph" w:styleId="Listenfortsetzung4">
    <w:name w:val="List Continue 4"/>
    <w:basedOn w:val="Standard"/>
    <w:semiHidden/>
    <w:pPr>
      <w:ind w:left="1440"/>
    </w:pPr>
  </w:style>
  <w:style w:type="paragraph" w:styleId="Listenfortsetzung5">
    <w:name w:val="List Continue 5"/>
    <w:basedOn w:val="Standard"/>
    <w:semiHidden/>
    <w:pPr>
      <w:ind w:left="1797"/>
    </w:pPr>
  </w:style>
  <w:style w:type="paragraph" w:styleId="Listennummer">
    <w:name w:val="List Number"/>
    <w:basedOn w:val="Standard"/>
    <w:semiHidden/>
    <w:pPr>
      <w:numPr>
        <w:numId w:val="5"/>
      </w:numPr>
      <w:tabs>
        <w:tab w:val="clear" w:pos="360"/>
        <w:tab w:val="num" w:pos="357"/>
      </w:tabs>
      <w:ind w:left="357" w:hanging="357"/>
    </w:pPr>
  </w:style>
  <w:style w:type="paragraph" w:styleId="Listennummer2">
    <w:name w:val="List Number 2"/>
    <w:basedOn w:val="Standard"/>
    <w:semiHidden/>
    <w:pPr>
      <w:numPr>
        <w:numId w:val="6"/>
      </w:numPr>
      <w:tabs>
        <w:tab w:val="clear" w:pos="643"/>
        <w:tab w:val="num" w:pos="357"/>
      </w:tabs>
      <w:ind w:left="714" w:hanging="357"/>
    </w:pPr>
  </w:style>
  <w:style w:type="paragraph" w:styleId="Listennummer3">
    <w:name w:val="List Number 3"/>
    <w:basedOn w:val="Standard"/>
    <w:semiHidden/>
    <w:pPr>
      <w:numPr>
        <w:numId w:val="7"/>
      </w:numPr>
      <w:tabs>
        <w:tab w:val="clear" w:pos="926"/>
        <w:tab w:val="right" w:pos="1077"/>
      </w:tabs>
      <w:ind w:left="1077" w:hanging="357"/>
    </w:pPr>
  </w:style>
  <w:style w:type="paragraph" w:styleId="Listennummer4">
    <w:name w:val="List Number 4"/>
    <w:basedOn w:val="Standard"/>
    <w:semiHidden/>
    <w:pPr>
      <w:numPr>
        <w:numId w:val="8"/>
      </w:numPr>
      <w:tabs>
        <w:tab w:val="clear" w:pos="1209"/>
        <w:tab w:val="right" w:pos="1440"/>
      </w:tabs>
      <w:ind w:left="1434" w:hanging="357"/>
    </w:pPr>
  </w:style>
  <w:style w:type="paragraph" w:styleId="Listennummer5">
    <w:name w:val="List Number 5"/>
    <w:basedOn w:val="Standard"/>
    <w:semiHidden/>
    <w:pPr>
      <w:numPr>
        <w:numId w:val="9"/>
      </w:numPr>
      <w:tabs>
        <w:tab w:val="clear" w:pos="1492"/>
        <w:tab w:val="right" w:pos="1797"/>
      </w:tabs>
      <w:ind w:left="1797" w:hanging="357"/>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urText">
    <w:name w:val="Plain Text"/>
    <w:basedOn w:val="Standard"/>
    <w:semiHidden/>
    <w:rPr>
      <w:rFonts w:ascii="Courier New" w:hAnsi="Courier New"/>
    </w:rPr>
  </w:style>
  <w:style w:type="paragraph" w:styleId="Standardeinzug">
    <w:name w:val="Normal Indent"/>
    <w:basedOn w:val="Standard"/>
    <w:qFormat/>
    <w:pPr>
      <w:ind w:left="708"/>
    </w:p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rPr>
  </w:style>
  <w:style w:type="paragraph" w:styleId="Textkrper-Zeileneinzug">
    <w:name w:val="Body Text Indent"/>
    <w:basedOn w:val="Standard"/>
    <w:semiHidden/>
    <w:pPr>
      <w:spacing w:after="120"/>
      <w:ind w:left="283"/>
    </w:p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rPr>
  </w:style>
  <w:style w:type="paragraph" w:styleId="Textkrper-Erstzeileneinzug">
    <w:name w:val="Body Text First Indent"/>
    <w:basedOn w:val="Textkrper"/>
    <w:semiHidden/>
    <w:pPr>
      <w:ind w:firstLine="210"/>
    </w:pPr>
  </w:style>
  <w:style w:type="paragraph" w:styleId="Textkrper-Erstzeileneinzug2">
    <w:name w:val="Body Text First Indent 2"/>
    <w:basedOn w:val="Textkrper-Zeileneinzug"/>
    <w:semiHidden/>
    <w:pPr>
      <w:ind w:firstLine="210"/>
    </w:pPr>
  </w:style>
  <w:style w:type="paragraph" w:styleId="Titel">
    <w:name w:val="Title"/>
    <w:basedOn w:val="Standard"/>
    <w:next w:val="Untertitel"/>
    <w:link w:val="TitelZchn"/>
    <w:qFormat/>
    <w:rsid w:val="00002230"/>
    <w:pPr>
      <w:suppressAutoHyphens/>
      <w:spacing w:before="0" w:line="360" w:lineRule="auto"/>
      <w:jc w:val="center"/>
    </w:pPr>
    <w:rPr>
      <w:b/>
      <w:kern w:val="28"/>
      <w:sz w:val="44"/>
    </w:rPr>
  </w:style>
  <w:style w:type="paragraph" w:styleId="Umschlagadresse">
    <w:name w:val="envelope address"/>
    <w:basedOn w:val="Standard"/>
    <w:semiHidden/>
    <w:pPr>
      <w:framePr w:w="4320" w:h="2160" w:hRule="exact" w:hSpace="141" w:wrap="auto" w:hAnchor="page" w:xAlign="center" w:yAlign="bottom"/>
      <w:ind w:left="1"/>
    </w:pPr>
  </w:style>
  <w:style w:type="paragraph" w:styleId="Unterschrift">
    <w:name w:val="Signature"/>
    <w:basedOn w:val="Standard"/>
    <w:semiHidden/>
    <w:pPr>
      <w:ind w:left="4252"/>
    </w:pPr>
  </w:style>
  <w:style w:type="paragraph" w:styleId="Untertitel">
    <w:name w:val="Subtitle"/>
    <w:basedOn w:val="Standard"/>
    <w:link w:val="UntertitelZchn"/>
    <w:qFormat/>
    <w:rsid w:val="00002230"/>
    <w:pPr>
      <w:suppressAutoHyphens/>
      <w:spacing w:before="240"/>
      <w:jc w:val="center"/>
    </w:pPr>
    <w:rPr>
      <w:sz w:val="32"/>
    </w:rPr>
  </w:style>
  <w:style w:type="paragraph" w:styleId="Verzeichnis4">
    <w:name w:val="toc 4"/>
    <w:basedOn w:val="Verzeichnis3"/>
    <w:next w:val="Standard"/>
    <w:autoRedefine/>
    <w:semiHidden/>
  </w:style>
  <w:style w:type="paragraph" w:styleId="Verzeichnis5">
    <w:name w:val="toc 5"/>
    <w:basedOn w:val="Verzeichnis4"/>
    <w:next w:val="Standard"/>
    <w:autoRedefine/>
    <w:semiHidden/>
  </w:style>
  <w:style w:type="paragraph" w:styleId="Verzeichnis6">
    <w:name w:val="toc 6"/>
    <w:basedOn w:val="Verzeichnis5"/>
    <w:next w:val="Standard"/>
    <w:autoRedefine/>
    <w:semiHidden/>
  </w:style>
  <w:style w:type="paragraph" w:styleId="Verzeichnis7">
    <w:name w:val="toc 7"/>
    <w:basedOn w:val="Verzeichnis6"/>
    <w:next w:val="Standard"/>
    <w:autoRedefine/>
    <w:semiHidden/>
  </w:style>
  <w:style w:type="paragraph" w:styleId="Verzeichnis8">
    <w:name w:val="toc 8"/>
    <w:basedOn w:val="Verzeichnis7"/>
    <w:next w:val="Standard"/>
    <w:autoRedefine/>
    <w:semiHidden/>
  </w:style>
  <w:style w:type="paragraph" w:styleId="Verzeichnis9">
    <w:name w:val="toc 9"/>
    <w:basedOn w:val="Verzeichnis8"/>
    <w:next w:val="Standard"/>
    <w:autoRedefine/>
    <w:semiHidden/>
    <w:pPr>
      <w:outlineLvl w:val="8"/>
    </w:pPr>
  </w:style>
  <w:style w:type="paragraph" w:styleId="RGV-berschrift">
    <w:name w:val="toa heading"/>
    <w:basedOn w:val="Standard"/>
    <w:next w:val="Standard"/>
    <w:semiHidden/>
    <w:rPr>
      <w:b/>
    </w:rPr>
  </w:style>
  <w:style w:type="paragraph" w:styleId="Rechtsgrundlagenverzeichnis">
    <w:name w:val="table of authorities"/>
    <w:basedOn w:val="Standard"/>
    <w:next w:val="Standard"/>
    <w:semiHidden/>
    <w:pPr>
      <w:ind w:left="200" w:hanging="200"/>
    </w:pPr>
  </w:style>
  <w:style w:type="paragraph" w:styleId="Aufzhlungszeichen4">
    <w:name w:val="List Bullet 4"/>
    <w:basedOn w:val="Standard"/>
    <w:semiHidden/>
    <w:pPr>
      <w:numPr>
        <w:numId w:val="3"/>
      </w:numPr>
      <w:tabs>
        <w:tab w:val="clear" w:pos="1209"/>
        <w:tab w:val="right" w:pos="1440"/>
      </w:tabs>
      <w:ind w:left="1434" w:hanging="357"/>
    </w:pPr>
  </w:style>
  <w:style w:type="paragraph" w:styleId="Aufzhlungszeichen5">
    <w:name w:val="List Bullet 5"/>
    <w:basedOn w:val="Standard"/>
    <w:semiHidden/>
    <w:pPr>
      <w:numPr>
        <w:numId w:val="4"/>
      </w:numPr>
      <w:tabs>
        <w:tab w:val="clear" w:pos="1492"/>
        <w:tab w:val="num" w:pos="1786"/>
      </w:tabs>
      <w:ind w:left="1797" w:hanging="357"/>
    </w:pPr>
  </w:style>
  <w:style w:type="paragraph" w:styleId="Aufzhlungszeichen3">
    <w:name w:val="List Bullet 3"/>
    <w:basedOn w:val="Standard"/>
    <w:semiHidden/>
    <w:qFormat/>
    <w:pPr>
      <w:numPr>
        <w:numId w:val="2"/>
      </w:numPr>
      <w:tabs>
        <w:tab w:val="clear" w:pos="926"/>
        <w:tab w:val="left" w:pos="1077"/>
      </w:tabs>
      <w:ind w:left="1077" w:hanging="357"/>
    </w:pPr>
  </w:style>
  <w:style w:type="paragraph" w:customStyle="1" w:styleId="Tabellenberschrift">
    <w:name w:val="Tabellenüberschrift"/>
    <w:basedOn w:val="Beschriftung"/>
    <w:next w:val="Standardeinzug"/>
    <w:qFormat/>
    <w:rsid w:val="007E0249"/>
    <w:pPr>
      <w:keepNext/>
      <w:spacing w:before="120" w:after="120"/>
      <w:ind w:left="1701" w:hanging="992"/>
    </w:pPr>
  </w:style>
  <w:style w:type="character" w:customStyle="1" w:styleId="UntertitelZchn">
    <w:name w:val="Untertitel Zchn"/>
    <w:link w:val="Untertitel"/>
    <w:rsid w:val="00002230"/>
    <w:rPr>
      <w:rFonts w:ascii="Century Gothic" w:hAnsi="Century Gothic"/>
      <w:sz w:val="32"/>
    </w:rPr>
  </w:style>
  <w:style w:type="character" w:customStyle="1" w:styleId="TitelZchn">
    <w:name w:val="Titel Zchn"/>
    <w:basedOn w:val="Absatz-Standardschriftart"/>
    <w:link w:val="Titel"/>
    <w:rsid w:val="00002230"/>
    <w:rPr>
      <w:rFonts w:ascii="Century Gothic" w:hAnsi="Century Gothic"/>
      <w:b/>
      <w:kern w:val="28"/>
      <w:sz w:val="44"/>
    </w:rPr>
  </w:style>
  <w:style w:type="paragraph" w:styleId="Inhaltsverzeichnisberschrift">
    <w:name w:val="TOC Heading"/>
    <w:basedOn w:val="berschrift1"/>
    <w:next w:val="Standard"/>
    <w:uiPriority w:val="39"/>
    <w:semiHidden/>
    <w:unhideWhenUsed/>
    <w:qFormat/>
    <w:rsid w:val="00E57793"/>
    <w:pPr>
      <w:keepLines/>
      <w:pageBreakBefore w:val="0"/>
      <w:numPr>
        <w:numId w:val="0"/>
      </w:numPr>
      <w:tabs>
        <w:tab w:val="num" w:pos="1105"/>
      </w:tabs>
      <w:suppressAutoHyphens w:val="0"/>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table" w:styleId="Tabellenraster">
    <w:name w:val="Table Grid"/>
    <w:basedOn w:val="NormaleTabelle"/>
    <w:uiPriority w:val="59"/>
    <w:rsid w:val="00E57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A064F"/>
    <w:rPr>
      <w:sz w:val="24"/>
    </w:rPr>
  </w:style>
  <w:style w:type="paragraph" w:styleId="Listenabsatz">
    <w:name w:val="List Paragraph"/>
    <w:basedOn w:val="Standard"/>
    <w:uiPriority w:val="34"/>
    <w:rsid w:val="00E61BCD"/>
    <w:pPr>
      <w:ind w:left="720"/>
      <w:contextualSpacing/>
    </w:pPr>
  </w:style>
  <w:style w:type="numbering" w:customStyle="1" w:styleId="Listen1">
    <w:name w:val="Listen1"/>
    <w:basedOn w:val="KeineListe"/>
    <w:uiPriority w:val="99"/>
    <w:rsid w:val="00B15817"/>
    <w:pPr>
      <w:numPr>
        <w:numId w:val="12"/>
      </w:numPr>
    </w:pPr>
  </w:style>
  <w:style w:type="character" w:styleId="Hervorhebung">
    <w:name w:val="Emphasis"/>
    <w:basedOn w:val="Absatz-Standardschriftart"/>
    <w:uiPriority w:val="20"/>
    <w:rsid w:val="00B15817"/>
    <w:rPr>
      <w:i w:val="0"/>
      <w:iCs/>
      <w:color w:val="FF0000"/>
    </w:rPr>
  </w:style>
  <w:style w:type="character" w:styleId="SchwacheHervorhebung">
    <w:name w:val="Subtle Emphasis"/>
    <w:basedOn w:val="Absatz-Standardschriftart"/>
    <w:uiPriority w:val="19"/>
    <w:rsid w:val="00B15817"/>
    <w:rPr>
      <w:b/>
      <w:i w:val="0"/>
      <w:iCs/>
      <w:color w:val="FF0000"/>
    </w:rPr>
  </w:style>
  <w:style w:type="character" w:customStyle="1" w:styleId="HervorhebungROT">
    <w:name w:val="Hervorhebung ROT"/>
    <w:uiPriority w:val="1"/>
    <w:qFormat/>
    <w:rsid w:val="001E1F96"/>
    <w:rPr>
      <w:rFonts w:ascii="Century Gothic" w:hAnsi="Century Gothic"/>
      <w:b/>
      <w:color w:val="FF0000"/>
      <w:sz w:val="22"/>
    </w:rPr>
  </w:style>
  <w:style w:type="character" w:customStyle="1" w:styleId="HervorhebungBLAU">
    <w:name w:val="Hervorhebung BLAU"/>
    <w:basedOn w:val="Absatz-Standardschriftart"/>
    <w:uiPriority w:val="1"/>
    <w:qFormat/>
    <w:rsid w:val="001E1F96"/>
    <w:rPr>
      <w:rFonts w:ascii="Century Gothic" w:hAnsi="Century Gothic"/>
      <w:b/>
      <w:color w:val="00B0F0"/>
      <w:sz w:val="22"/>
      <w:u w:val="none"/>
    </w:rPr>
  </w:style>
  <w:style w:type="character" w:customStyle="1" w:styleId="HervorhebenSCHWARZ">
    <w:name w:val="Hervorheben SCHWARZ"/>
    <w:basedOn w:val="Absatz-Standardschriftart"/>
    <w:uiPriority w:val="1"/>
    <w:qFormat/>
    <w:rsid w:val="001E1F96"/>
    <w:rPr>
      <w:rFonts w:ascii="Century Gothic" w:hAnsi="Century Gothic"/>
      <w:b/>
      <w:color w:val="auto"/>
      <w:sz w:val="20"/>
      <w:u w:val="none"/>
    </w:rPr>
  </w:style>
  <w:style w:type="character" w:customStyle="1" w:styleId="KommentartextZchn">
    <w:name w:val="Kommentartext Zchn"/>
    <w:basedOn w:val="Absatz-Standardschriftart"/>
    <w:link w:val="Kommentartext"/>
    <w:semiHidden/>
    <w:rsid w:val="009075A9"/>
    <w:rPr>
      <w:rFonts w:ascii="Futura-Book" w:hAnsi="Futura-Book"/>
      <w:sz w:val="24"/>
    </w:rPr>
  </w:style>
  <w:style w:type="paragraph" w:customStyle="1" w:styleId="Text">
    <w:name w:val="Text"/>
    <w:basedOn w:val="Standard"/>
    <w:rsid w:val="000503CF"/>
    <w:pPr>
      <w:spacing w:before="0" w:after="60"/>
      <w:jc w:val="left"/>
    </w:pPr>
    <w:rPr>
      <w:rFonts w:ascii="Arial" w:hAnsi="Arial"/>
    </w:rPr>
  </w:style>
  <w:style w:type="paragraph" w:customStyle="1" w:styleId="TabBeschr">
    <w:name w:val="Tab_Beschr"/>
    <w:basedOn w:val="Standard"/>
    <w:rsid w:val="000503CF"/>
    <w:pPr>
      <w:spacing w:before="0"/>
      <w:jc w:val="left"/>
    </w:pPr>
    <w:rPr>
      <w:rFonts w:ascii="Arial" w:hAnsi="Arial"/>
      <w:b/>
      <w:sz w:val="20"/>
    </w:rPr>
  </w:style>
  <w:style w:type="paragraph" w:customStyle="1" w:styleId="Abstand">
    <w:name w:val="Abstand"/>
    <w:basedOn w:val="Standard"/>
    <w:rsid w:val="000503CF"/>
    <w:pPr>
      <w:spacing w:before="0"/>
      <w:jc w:val="left"/>
    </w:pPr>
    <w:rPr>
      <w:rFonts w:ascii="Arial" w:hAnsi="Arial"/>
      <w:sz w:val="16"/>
    </w:rPr>
  </w:style>
  <w:style w:type="paragraph" w:customStyle="1" w:styleId="Hinweisausgeblendet">
    <w:name w:val="Hinweis ausgeblendet"/>
    <w:basedOn w:val="Standard"/>
    <w:link w:val="HinweisausgeblendetZchn"/>
    <w:qFormat/>
    <w:rsid w:val="000503CF"/>
    <w:pPr>
      <w:spacing w:before="60"/>
      <w:jc w:val="left"/>
    </w:pPr>
    <w:rPr>
      <w:rFonts w:ascii="Arial" w:hAnsi="Arial" w:cs="Arial"/>
      <w:i/>
      <w:iCs/>
      <w:vanish/>
      <w:color w:val="0070C0"/>
    </w:rPr>
  </w:style>
  <w:style w:type="character" w:customStyle="1" w:styleId="HinweisausgeblendetZchn">
    <w:name w:val="Hinweis ausgeblendet Zchn"/>
    <w:link w:val="Hinweisausgeblendet"/>
    <w:rsid w:val="000503CF"/>
    <w:rPr>
      <w:rFonts w:ascii="Arial" w:hAnsi="Arial" w:cs="Arial"/>
      <w:i/>
      <w:iCs/>
      <w:vanish/>
      <w:color w:val="0070C0"/>
      <w:sz w:val="22"/>
    </w:rPr>
  </w:style>
  <w:style w:type="paragraph" w:styleId="StandardWeb">
    <w:name w:val="Normal (Web)"/>
    <w:basedOn w:val="Standard"/>
    <w:uiPriority w:val="99"/>
    <w:semiHidden/>
    <w:unhideWhenUsed/>
    <w:rsid w:val="00772791"/>
    <w:pPr>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8448">
      <w:bodyDiv w:val="1"/>
      <w:marLeft w:val="0"/>
      <w:marRight w:val="0"/>
      <w:marTop w:val="0"/>
      <w:marBottom w:val="0"/>
      <w:divBdr>
        <w:top w:val="none" w:sz="0" w:space="0" w:color="auto"/>
        <w:left w:val="none" w:sz="0" w:space="0" w:color="auto"/>
        <w:bottom w:val="none" w:sz="0" w:space="0" w:color="auto"/>
        <w:right w:val="none" w:sz="0" w:space="0" w:color="auto"/>
      </w:divBdr>
    </w:div>
    <w:div w:id="193857292">
      <w:bodyDiv w:val="1"/>
      <w:marLeft w:val="0"/>
      <w:marRight w:val="0"/>
      <w:marTop w:val="0"/>
      <w:marBottom w:val="0"/>
      <w:divBdr>
        <w:top w:val="none" w:sz="0" w:space="0" w:color="auto"/>
        <w:left w:val="none" w:sz="0" w:space="0" w:color="auto"/>
        <w:bottom w:val="none" w:sz="0" w:space="0" w:color="auto"/>
        <w:right w:val="none" w:sz="0" w:space="0" w:color="auto"/>
      </w:divBdr>
    </w:div>
    <w:div w:id="277689806">
      <w:bodyDiv w:val="1"/>
      <w:marLeft w:val="0"/>
      <w:marRight w:val="0"/>
      <w:marTop w:val="0"/>
      <w:marBottom w:val="0"/>
      <w:divBdr>
        <w:top w:val="none" w:sz="0" w:space="0" w:color="auto"/>
        <w:left w:val="none" w:sz="0" w:space="0" w:color="auto"/>
        <w:bottom w:val="none" w:sz="0" w:space="0" w:color="auto"/>
        <w:right w:val="none" w:sz="0" w:space="0" w:color="auto"/>
      </w:divBdr>
    </w:div>
    <w:div w:id="310525376">
      <w:bodyDiv w:val="1"/>
      <w:marLeft w:val="0"/>
      <w:marRight w:val="0"/>
      <w:marTop w:val="0"/>
      <w:marBottom w:val="0"/>
      <w:divBdr>
        <w:top w:val="none" w:sz="0" w:space="0" w:color="auto"/>
        <w:left w:val="none" w:sz="0" w:space="0" w:color="auto"/>
        <w:bottom w:val="none" w:sz="0" w:space="0" w:color="auto"/>
        <w:right w:val="none" w:sz="0" w:space="0" w:color="auto"/>
      </w:divBdr>
    </w:div>
    <w:div w:id="561986683">
      <w:bodyDiv w:val="1"/>
      <w:marLeft w:val="0"/>
      <w:marRight w:val="0"/>
      <w:marTop w:val="0"/>
      <w:marBottom w:val="0"/>
      <w:divBdr>
        <w:top w:val="none" w:sz="0" w:space="0" w:color="auto"/>
        <w:left w:val="none" w:sz="0" w:space="0" w:color="auto"/>
        <w:bottom w:val="none" w:sz="0" w:space="0" w:color="auto"/>
        <w:right w:val="none" w:sz="0" w:space="0" w:color="auto"/>
      </w:divBdr>
    </w:div>
    <w:div w:id="626280626">
      <w:bodyDiv w:val="1"/>
      <w:marLeft w:val="0"/>
      <w:marRight w:val="0"/>
      <w:marTop w:val="0"/>
      <w:marBottom w:val="0"/>
      <w:divBdr>
        <w:top w:val="none" w:sz="0" w:space="0" w:color="auto"/>
        <w:left w:val="none" w:sz="0" w:space="0" w:color="auto"/>
        <w:bottom w:val="none" w:sz="0" w:space="0" w:color="auto"/>
        <w:right w:val="none" w:sz="0" w:space="0" w:color="auto"/>
      </w:divBdr>
    </w:div>
    <w:div w:id="635572108">
      <w:bodyDiv w:val="1"/>
      <w:marLeft w:val="0"/>
      <w:marRight w:val="0"/>
      <w:marTop w:val="0"/>
      <w:marBottom w:val="0"/>
      <w:divBdr>
        <w:top w:val="none" w:sz="0" w:space="0" w:color="auto"/>
        <w:left w:val="none" w:sz="0" w:space="0" w:color="auto"/>
        <w:bottom w:val="none" w:sz="0" w:space="0" w:color="auto"/>
        <w:right w:val="none" w:sz="0" w:space="0" w:color="auto"/>
      </w:divBdr>
    </w:div>
    <w:div w:id="647563397">
      <w:bodyDiv w:val="1"/>
      <w:marLeft w:val="0"/>
      <w:marRight w:val="0"/>
      <w:marTop w:val="0"/>
      <w:marBottom w:val="0"/>
      <w:divBdr>
        <w:top w:val="none" w:sz="0" w:space="0" w:color="auto"/>
        <w:left w:val="none" w:sz="0" w:space="0" w:color="auto"/>
        <w:bottom w:val="none" w:sz="0" w:space="0" w:color="auto"/>
        <w:right w:val="none" w:sz="0" w:space="0" w:color="auto"/>
      </w:divBdr>
    </w:div>
    <w:div w:id="720908529">
      <w:bodyDiv w:val="1"/>
      <w:marLeft w:val="0"/>
      <w:marRight w:val="0"/>
      <w:marTop w:val="0"/>
      <w:marBottom w:val="0"/>
      <w:divBdr>
        <w:top w:val="none" w:sz="0" w:space="0" w:color="auto"/>
        <w:left w:val="none" w:sz="0" w:space="0" w:color="auto"/>
        <w:bottom w:val="none" w:sz="0" w:space="0" w:color="auto"/>
        <w:right w:val="none" w:sz="0" w:space="0" w:color="auto"/>
      </w:divBdr>
    </w:div>
    <w:div w:id="1156802477">
      <w:bodyDiv w:val="1"/>
      <w:marLeft w:val="0"/>
      <w:marRight w:val="0"/>
      <w:marTop w:val="0"/>
      <w:marBottom w:val="0"/>
      <w:divBdr>
        <w:top w:val="none" w:sz="0" w:space="0" w:color="auto"/>
        <w:left w:val="none" w:sz="0" w:space="0" w:color="auto"/>
        <w:bottom w:val="none" w:sz="0" w:space="0" w:color="auto"/>
        <w:right w:val="none" w:sz="0" w:space="0" w:color="auto"/>
      </w:divBdr>
    </w:div>
    <w:div w:id="1251618758">
      <w:bodyDiv w:val="1"/>
      <w:marLeft w:val="0"/>
      <w:marRight w:val="0"/>
      <w:marTop w:val="0"/>
      <w:marBottom w:val="0"/>
      <w:divBdr>
        <w:top w:val="none" w:sz="0" w:space="0" w:color="auto"/>
        <w:left w:val="none" w:sz="0" w:space="0" w:color="auto"/>
        <w:bottom w:val="none" w:sz="0" w:space="0" w:color="auto"/>
        <w:right w:val="none" w:sz="0" w:space="0" w:color="auto"/>
      </w:divBdr>
      <w:divsChild>
        <w:div w:id="1144852883">
          <w:marLeft w:val="1008"/>
          <w:marRight w:val="0"/>
          <w:marTop w:val="0"/>
          <w:marBottom w:val="0"/>
          <w:divBdr>
            <w:top w:val="none" w:sz="0" w:space="0" w:color="auto"/>
            <w:left w:val="none" w:sz="0" w:space="0" w:color="auto"/>
            <w:bottom w:val="none" w:sz="0" w:space="0" w:color="auto"/>
            <w:right w:val="none" w:sz="0" w:space="0" w:color="auto"/>
          </w:divBdr>
        </w:div>
        <w:div w:id="1360468365">
          <w:marLeft w:val="1008"/>
          <w:marRight w:val="0"/>
          <w:marTop w:val="0"/>
          <w:marBottom w:val="0"/>
          <w:divBdr>
            <w:top w:val="none" w:sz="0" w:space="0" w:color="auto"/>
            <w:left w:val="none" w:sz="0" w:space="0" w:color="auto"/>
            <w:bottom w:val="none" w:sz="0" w:space="0" w:color="auto"/>
            <w:right w:val="none" w:sz="0" w:space="0" w:color="auto"/>
          </w:divBdr>
        </w:div>
      </w:divsChild>
    </w:div>
    <w:div w:id="1252085741">
      <w:bodyDiv w:val="1"/>
      <w:marLeft w:val="0"/>
      <w:marRight w:val="0"/>
      <w:marTop w:val="0"/>
      <w:marBottom w:val="0"/>
      <w:divBdr>
        <w:top w:val="none" w:sz="0" w:space="0" w:color="auto"/>
        <w:left w:val="none" w:sz="0" w:space="0" w:color="auto"/>
        <w:bottom w:val="none" w:sz="0" w:space="0" w:color="auto"/>
        <w:right w:val="none" w:sz="0" w:space="0" w:color="auto"/>
      </w:divBdr>
    </w:div>
    <w:div w:id="1357468588">
      <w:bodyDiv w:val="1"/>
      <w:marLeft w:val="0"/>
      <w:marRight w:val="0"/>
      <w:marTop w:val="0"/>
      <w:marBottom w:val="0"/>
      <w:divBdr>
        <w:top w:val="none" w:sz="0" w:space="0" w:color="auto"/>
        <w:left w:val="none" w:sz="0" w:space="0" w:color="auto"/>
        <w:bottom w:val="none" w:sz="0" w:space="0" w:color="auto"/>
        <w:right w:val="none" w:sz="0" w:space="0" w:color="auto"/>
      </w:divBdr>
    </w:div>
    <w:div w:id="1428379387">
      <w:bodyDiv w:val="1"/>
      <w:marLeft w:val="0"/>
      <w:marRight w:val="0"/>
      <w:marTop w:val="0"/>
      <w:marBottom w:val="0"/>
      <w:divBdr>
        <w:top w:val="none" w:sz="0" w:space="0" w:color="auto"/>
        <w:left w:val="none" w:sz="0" w:space="0" w:color="auto"/>
        <w:bottom w:val="none" w:sz="0" w:space="0" w:color="auto"/>
        <w:right w:val="none" w:sz="0" w:space="0" w:color="auto"/>
      </w:divBdr>
    </w:div>
    <w:div w:id="1608779796">
      <w:bodyDiv w:val="1"/>
      <w:marLeft w:val="0"/>
      <w:marRight w:val="0"/>
      <w:marTop w:val="0"/>
      <w:marBottom w:val="0"/>
      <w:divBdr>
        <w:top w:val="none" w:sz="0" w:space="0" w:color="auto"/>
        <w:left w:val="none" w:sz="0" w:space="0" w:color="auto"/>
        <w:bottom w:val="none" w:sz="0" w:space="0" w:color="auto"/>
        <w:right w:val="none" w:sz="0" w:space="0" w:color="auto"/>
      </w:divBdr>
    </w:div>
    <w:div w:id="1651982421">
      <w:bodyDiv w:val="1"/>
      <w:marLeft w:val="0"/>
      <w:marRight w:val="0"/>
      <w:marTop w:val="0"/>
      <w:marBottom w:val="0"/>
      <w:divBdr>
        <w:top w:val="none" w:sz="0" w:space="0" w:color="auto"/>
        <w:left w:val="none" w:sz="0" w:space="0" w:color="auto"/>
        <w:bottom w:val="none" w:sz="0" w:space="0" w:color="auto"/>
        <w:right w:val="none" w:sz="0" w:space="0" w:color="auto"/>
      </w:divBdr>
    </w:div>
    <w:div w:id="1667972912">
      <w:bodyDiv w:val="1"/>
      <w:marLeft w:val="0"/>
      <w:marRight w:val="0"/>
      <w:marTop w:val="0"/>
      <w:marBottom w:val="0"/>
      <w:divBdr>
        <w:top w:val="none" w:sz="0" w:space="0" w:color="auto"/>
        <w:left w:val="none" w:sz="0" w:space="0" w:color="auto"/>
        <w:bottom w:val="none" w:sz="0" w:space="0" w:color="auto"/>
        <w:right w:val="none" w:sz="0" w:space="0" w:color="auto"/>
      </w:divBdr>
    </w:div>
    <w:div w:id="1686322693">
      <w:bodyDiv w:val="1"/>
      <w:marLeft w:val="0"/>
      <w:marRight w:val="0"/>
      <w:marTop w:val="0"/>
      <w:marBottom w:val="0"/>
      <w:divBdr>
        <w:top w:val="none" w:sz="0" w:space="0" w:color="auto"/>
        <w:left w:val="none" w:sz="0" w:space="0" w:color="auto"/>
        <w:bottom w:val="none" w:sz="0" w:space="0" w:color="auto"/>
        <w:right w:val="none" w:sz="0" w:space="0" w:color="auto"/>
      </w:divBdr>
    </w:div>
    <w:div w:id="1735396289">
      <w:bodyDiv w:val="1"/>
      <w:marLeft w:val="0"/>
      <w:marRight w:val="0"/>
      <w:marTop w:val="0"/>
      <w:marBottom w:val="0"/>
      <w:divBdr>
        <w:top w:val="none" w:sz="0" w:space="0" w:color="auto"/>
        <w:left w:val="none" w:sz="0" w:space="0" w:color="auto"/>
        <w:bottom w:val="none" w:sz="0" w:space="0" w:color="auto"/>
        <w:right w:val="none" w:sz="0" w:space="0" w:color="auto"/>
      </w:divBdr>
    </w:div>
    <w:div w:id="1744833996">
      <w:bodyDiv w:val="1"/>
      <w:marLeft w:val="0"/>
      <w:marRight w:val="0"/>
      <w:marTop w:val="0"/>
      <w:marBottom w:val="0"/>
      <w:divBdr>
        <w:top w:val="none" w:sz="0" w:space="0" w:color="auto"/>
        <w:left w:val="none" w:sz="0" w:space="0" w:color="auto"/>
        <w:bottom w:val="none" w:sz="0" w:space="0" w:color="auto"/>
        <w:right w:val="none" w:sz="0" w:space="0" w:color="auto"/>
      </w:divBdr>
    </w:div>
    <w:div w:id="1775398459">
      <w:bodyDiv w:val="1"/>
      <w:marLeft w:val="0"/>
      <w:marRight w:val="0"/>
      <w:marTop w:val="0"/>
      <w:marBottom w:val="0"/>
      <w:divBdr>
        <w:top w:val="none" w:sz="0" w:space="0" w:color="auto"/>
        <w:left w:val="none" w:sz="0" w:space="0" w:color="auto"/>
        <w:bottom w:val="none" w:sz="0" w:space="0" w:color="auto"/>
        <w:right w:val="none" w:sz="0" w:space="0" w:color="auto"/>
      </w:divBdr>
    </w:div>
    <w:div w:id="1847553823">
      <w:bodyDiv w:val="1"/>
      <w:marLeft w:val="0"/>
      <w:marRight w:val="0"/>
      <w:marTop w:val="0"/>
      <w:marBottom w:val="0"/>
      <w:divBdr>
        <w:top w:val="none" w:sz="0" w:space="0" w:color="auto"/>
        <w:left w:val="none" w:sz="0" w:space="0" w:color="auto"/>
        <w:bottom w:val="none" w:sz="0" w:space="0" w:color="auto"/>
        <w:right w:val="none" w:sz="0" w:space="0" w:color="auto"/>
      </w:divBdr>
    </w:div>
    <w:div w:id="1884753020">
      <w:bodyDiv w:val="1"/>
      <w:marLeft w:val="0"/>
      <w:marRight w:val="0"/>
      <w:marTop w:val="0"/>
      <w:marBottom w:val="0"/>
      <w:divBdr>
        <w:top w:val="none" w:sz="0" w:space="0" w:color="auto"/>
        <w:left w:val="none" w:sz="0" w:space="0" w:color="auto"/>
        <w:bottom w:val="none" w:sz="0" w:space="0" w:color="auto"/>
        <w:right w:val="none" w:sz="0" w:space="0" w:color="auto"/>
      </w:divBdr>
    </w:div>
    <w:div w:id="1899515461">
      <w:bodyDiv w:val="1"/>
      <w:marLeft w:val="0"/>
      <w:marRight w:val="0"/>
      <w:marTop w:val="0"/>
      <w:marBottom w:val="0"/>
      <w:divBdr>
        <w:top w:val="none" w:sz="0" w:space="0" w:color="auto"/>
        <w:left w:val="none" w:sz="0" w:space="0" w:color="auto"/>
        <w:bottom w:val="none" w:sz="0" w:space="0" w:color="auto"/>
        <w:right w:val="none" w:sz="0" w:space="0" w:color="auto"/>
      </w:divBdr>
    </w:div>
    <w:div w:id="1943103157">
      <w:bodyDiv w:val="1"/>
      <w:marLeft w:val="0"/>
      <w:marRight w:val="0"/>
      <w:marTop w:val="0"/>
      <w:marBottom w:val="0"/>
      <w:divBdr>
        <w:top w:val="none" w:sz="0" w:space="0" w:color="auto"/>
        <w:left w:val="none" w:sz="0" w:space="0" w:color="auto"/>
        <w:bottom w:val="none" w:sz="0" w:space="0" w:color="auto"/>
        <w:right w:val="none" w:sz="0" w:space="0" w:color="auto"/>
      </w:divBdr>
      <w:divsChild>
        <w:div w:id="1522670884">
          <w:marLeft w:val="0"/>
          <w:marRight w:val="0"/>
          <w:marTop w:val="0"/>
          <w:marBottom w:val="0"/>
          <w:divBdr>
            <w:top w:val="none" w:sz="0" w:space="0" w:color="auto"/>
            <w:left w:val="none" w:sz="0" w:space="0" w:color="auto"/>
            <w:bottom w:val="none" w:sz="0" w:space="0" w:color="auto"/>
            <w:right w:val="none" w:sz="0" w:space="0" w:color="auto"/>
          </w:divBdr>
          <w:divsChild>
            <w:div w:id="259920095">
              <w:marLeft w:val="0"/>
              <w:marRight w:val="0"/>
              <w:marTop w:val="0"/>
              <w:marBottom w:val="0"/>
              <w:divBdr>
                <w:top w:val="none" w:sz="0" w:space="0" w:color="auto"/>
                <w:left w:val="none" w:sz="0" w:space="0" w:color="auto"/>
                <w:bottom w:val="none" w:sz="0" w:space="0" w:color="auto"/>
                <w:right w:val="none" w:sz="0" w:space="0" w:color="auto"/>
              </w:divBdr>
              <w:divsChild>
                <w:div w:id="896477864">
                  <w:marLeft w:val="0"/>
                  <w:marRight w:val="0"/>
                  <w:marTop w:val="195"/>
                  <w:marBottom w:val="0"/>
                  <w:divBdr>
                    <w:top w:val="none" w:sz="0" w:space="0" w:color="auto"/>
                    <w:left w:val="none" w:sz="0" w:space="0" w:color="auto"/>
                    <w:bottom w:val="none" w:sz="0" w:space="0" w:color="auto"/>
                    <w:right w:val="none" w:sz="0" w:space="0" w:color="auto"/>
                  </w:divBdr>
                  <w:divsChild>
                    <w:div w:id="615259703">
                      <w:marLeft w:val="0"/>
                      <w:marRight w:val="0"/>
                      <w:marTop w:val="0"/>
                      <w:marBottom w:val="0"/>
                      <w:divBdr>
                        <w:top w:val="none" w:sz="0" w:space="0" w:color="auto"/>
                        <w:left w:val="none" w:sz="0" w:space="0" w:color="auto"/>
                        <w:bottom w:val="none" w:sz="0" w:space="0" w:color="auto"/>
                        <w:right w:val="none" w:sz="0" w:space="0" w:color="auto"/>
                      </w:divBdr>
                      <w:divsChild>
                        <w:div w:id="1830826405">
                          <w:marLeft w:val="0"/>
                          <w:marRight w:val="0"/>
                          <w:marTop w:val="0"/>
                          <w:marBottom w:val="0"/>
                          <w:divBdr>
                            <w:top w:val="none" w:sz="0" w:space="0" w:color="auto"/>
                            <w:left w:val="none" w:sz="0" w:space="0" w:color="auto"/>
                            <w:bottom w:val="none" w:sz="0" w:space="0" w:color="auto"/>
                            <w:right w:val="none" w:sz="0" w:space="0" w:color="auto"/>
                          </w:divBdr>
                          <w:divsChild>
                            <w:div w:id="236939661">
                              <w:marLeft w:val="0"/>
                              <w:marRight w:val="0"/>
                              <w:marTop w:val="0"/>
                              <w:marBottom w:val="0"/>
                              <w:divBdr>
                                <w:top w:val="none" w:sz="0" w:space="0" w:color="auto"/>
                                <w:left w:val="none" w:sz="0" w:space="0" w:color="auto"/>
                                <w:bottom w:val="none" w:sz="0" w:space="0" w:color="auto"/>
                                <w:right w:val="none" w:sz="0" w:space="0" w:color="auto"/>
                              </w:divBdr>
                              <w:divsChild>
                                <w:div w:id="1527407363">
                                  <w:marLeft w:val="0"/>
                                  <w:marRight w:val="0"/>
                                  <w:marTop w:val="0"/>
                                  <w:marBottom w:val="0"/>
                                  <w:divBdr>
                                    <w:top w:val="none" w:sz="0" w:space="0" w:color="auto"/>
                                    <w:left w:val="none" w:sz="0" w:space="0" w:color="auto"/>
                                    <w:bottom w:val="none" w:sz="0" w:space="0" w:color="auto"/>
                                    <w:right w:val="none" w:sz="0" w:space="0" w:color="auto"/>
                                  </w:divBdr>
                                  <w:divsChild>
                                    <w:div w:id="643700326">
                                      <w:marLeft w:val="0"/>
                                      <w:marRight w:val="0"/>
                                      <w:marTop w:val="0"/>
                                      <w:marBottom w:val="0"/>
                                      <w:divBdr>
                                        <w:top w:val="none" w:sz="0" w:space="0" w:color="auto"/>
                                        <w:left w:val="none" w:sz="0" w:space="0" w:color="auto"/>
                                        <w:bottom w:val="none" w:sz="0" w:space="0" w:color="auto"/>
                                        <w:right w:val="none" w:sz="0" w:space="0" w:color="auto"/>
                                      </w:divBdr>
                                      <w:divsChild>
                                        <w:div w:id="75135529">
                                          <w:marLeft w:val="0"/>
                                          <w:marRight w:val="0"/>
                                          <w:marTop w:val="0"/>
                                          <w:marBottom w:val="0"/>
                                          <w:divBdr>
                                            <w:top w:val="none" w:sz="0" w:space="0" w:color="auto"/>
                                            <w:left w:val="none" w:sz="0" w:space="0" w:color="auto"/>
                                            <w:bottom w:val="none" w:sz="0" w:space="0" w:color="auto"/>
                                            <w:right w:val="none" w:sz="0" w:space="0" w:color="auto"/>
                                          </w:divBdr>
                                          <w:divsChild>
                                            <w:div w:id="230505977">
                                              <w:marLeft w:val="0"/>
                                              <w:marRight w:val="0"/>
                                              <w:marTop w:val="0"/>
                                              <w:marBottom w:val="180"/>
                                              <w:divBdr>
                                                <w:top w:val="none" w:sz="0" w:space="0" w:color="auto"/>
                                                <w:left w:val="none" w:sz="0" w:space="0" w:color="auto"/>
                                                <w:bottom w:val="none" w:sz="0" w:space="0" w:color="auto"/>
                                                <w:right w:val="none" w:sz="0" w:space="0" w:color="auto"/>
                                              </w:divBdr>
                                              <w:divsChild>
                                                <w:div w:id="1751853162">
                                                  <w:marLeft w:val="0"/>
                                                  <w:marRight w:val="0"/>
                                                  <w:marTop w:val="0"/>
                                                  <w:marBottom w:val="0"/>
                                                  <w:divBdr>
                                                    <w:top w:val="none" w:sz="0" w:space="0" w:color="auto"/>
                                                    <w:left w:val="none" w:sz="0" w:space="0" w:color="auto"/>
                                                    <w:bottom w:val="none" w:sz="0" w:space="0" w:color="auto"/>
                                                    <w:right w:val="none" w:sz="0" w:space="0" w:color="auto"/>
                                                  </w:divBdr>
                                                  <w:divsChild>
                                                    <w:div w:id="377436283">
                                                      <w:marLeft w:val="0"/>
                                                      <w:marRight w:val="0"/>
                                                      <w:marTop w:val="0"/>
                                                      <w:marBottom w:val="0"/>
                                                      <w:divBdr>
                                                        <w:top w:val="none" w:sz="0" w:space="0" w:color="auto"/>
                                                        <w:left w:val="none" w:sz="0" w:space="0" w:color="auto"/>
                                                        <w:bottom w:val="none" w:sz="0" w:space="0" w:color="auto"/>
                                                        <w:right w:val="none" w:sz="0" w:space="0" w:color="auto"/>
                                                      </w:divBdr>
                                                      <w:divsChild>
                                                        <w:div w:id="469782924">
                                                          <w:marLeft w:val="0"/>
                                                          <w:marRight w:val="0"/>
                                                          <w:marTop w:val="0"/>
                                                          <w:marBottom w:val="0"/>
                                                          <w:divBdr>
                                                            <w:top w:val="none" w:sz="0" w:space="0" w:color="auto"/>
                                                            <w:left w:val="none" w:sz="0" w:space="0" w:color="auto"/>
                                                            <w:bottom w:val="none" w:sz="0" w:space="0" w:color="auto"/>
                                                            <w:right w:val="none" w:sz="0" w:space="0" w:color="auto"/>
                                                          </w:divBdr>
                                                          <w:divsChild>
                                                            <w:div w:id="1169517176">
                                                              <w:marLeft w:val="0"/>
                                                              <w:marRight w:val="0"/>
                                                              <w:marTop w:val="0"/>
                                                              <w:marBottom w:val="0"/>
                                                              <w:divBdr>
                                                                <w:top w:val="none" w:sz="0" w:space="0" w:color="auto"/>
                                                                <w:left w:val="none" w:sz="0" w:space="0" w:color="auto"/>
                                                                <w:bottom w:val="none" w:sz="0" w:space="0" w:color="auto"/>
                                                                <w:right w:val="none" w:sz="0" w:space="0" w:color="auto"/>
                                                              </w:divBdr>
                                                              <w:divsChild>
                                                                <w:div w:id="1702898392">
                                                                  <w:marLeft w:val="0"/>
                                                                  <w:marRight w:val="0"/>
                                                                  <w:marTop w:val="0"/>
                                                                  <w:marBottom w:val="0"/>
                                                                  <w:divBdr>
                                                                    <w:top w:val="none" w:sz="0" w:space="0" w:color="auto"/>
                                                                    <w:left w:val="none" w:sz="0" w:space="0" w:color="auto"/>
                                                                    <w:bottom w:val="none" w:sz="0" w:space="0" w:color="auto"/>
                                                                    <w:right w:val="none" w:sz="0" w:space="0" w:color="auto"/>
                                                                  </w:divBdr>
                                                                  <w:divsChild>
                                                                    <w:div w:id="1034497787">
                                                                      <w:marLeft w:val="0"/>
                                                                      <w:marRight w:val="0"/>
                                                                      <w:marTop w:val="0"/>
                                                                      <w:marBottom w:val="0"/>
                                                                      <w:divBdr>
                                                                        <w:top w:val="none" w:sz="0" w:space="0" w:color="auto"/>
                                                                        <w:left w:val="none" w:sz="0" w:space="0" w:color="auto"/>
                                                                        <w:bottom w:val="none" w:sz="0" w:space="0" w:color="auto"/>
                                                                        <w:right w:val="none" w:sz="0" w:space="0" w:color="auto"/>
                                                                      </w:divBdr>
                                                                      <w:divsChild>
                                                                        <w:div w:id="12147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0119214">
      <w:bodyDiv w:val="1"/>
      <w:marLeft w:val="0"/>
      <w:marRight w:val="0"/>
      <w:marTop w:val="0"/>
      <w:marBottom w:val="0"/>
      <w:divBdr>
        <w:top w:val="none" w:sz="0" w:space="0" w:color="auto"/>
        <w:left w:val="none" w:sz="0" w:space="0" w:color="auto"/>
        <w:bottom w:val="none" w:sz="0" w:space="0" w:color="auto"/>
        <w:right w:val="none" w:sz="0" w:space="0" w:color="auto"/>
      </w:divBdr>
    </w:div>
    <w:div w:id="1959488113">
      <w:bodyDiv w:val="1"/>
      <w:marLeft w:val="0"/>
      <w:marRight w:val="0"/>
      <w:marTop w:val="0"/>
      <w:marBottom w:val="0"/>
      <w:divBdr>
        <w:top w:val="none" w:sz="0" w:space="0" w:color="auto"/>
        <w:left w:val="none" w:sz="0" w:space="0" w:color="auto"/>
        <w:bottom w:val="none" w:sz="0" w:space="0" w:color="auto"/>
        <w:right w:val="none" w:sz="0" w:space="0" w:color="auto"/>
      </w:divBdr>
    </w:div>
    <w:div w:id="2133666194">
      <w:bodyDiv w:val="1"/>
      <w:marLeft w:val="0"/>
      <w:marRight w:val="0"/>
      <w:marTop w:val="0"/>
      <w:marBottom w:val="0"/>
      <w:divBdr>
        <w:top w:val="none" w:sz="0" w:space="0" w:color="auto"/>
        <w:left w:val="none" w:sz="0" w:space="0" w:color="auto"/>
        <w:bottom w:val="none" w:sz="0" w:space="0" w:color="auto"/>
        <w:right w:val="none" w:sz="0" w:space="0" w:color="auto"/>
      </w:divBdr>
    </w:div>
    <w:div w:id="213374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package" Target="embeddings/Microsoft_PowerPoint_Slide.sldx"/><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2K19SRV\AUDfIT_Redaktion\AUD_61_Ablauforganisation\AUD_QMA_61_G_Redaktionsarbeit\_1%20Handbuch\AUD_61_G_Redaktionsarbeit%20FORTLAUFEND\G_4._Skriptentwicklung\G_4._ANLAGENBAND\_320_Muster_JAE-JAP_Sachverhalt,%20Fr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19fc165c-b03a-401e-a201-775bc3e8c688</BSO99992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2B5D3-F3D4-401D-A32A-C60228265034}">
  <ds:schemaRefs>
    <ds:schemaRef ds:uri="http://www.datev.de/BSOffice/999929"/>
  </ds:schemaRefs>
</ds:datastoreItem>
</file>

<file path=customXml/itemProps2.xml><?xml version="1.0" encoding="utf-8"?>
<ds:datastoreItem xmlns:ds="http://schemas.openxmlformats.org/officeDocument/2006/customXml" ds:itemID="{6153C034-E612-44BA-8B35-2A31D7B3B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_320_Muster_JAE-JAP_Sachverhalt, Frage.dotx</Template>
  <TotalTime>0</TotalTime>
  <Pages>3</Pages>
  <Words>428</Words>
  <Characters>2698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Vorlage Skript</vt:lpstr>
    </vt:vector>
  </TitlesOfParts>
  <Company>Lösle GmbH</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Skript</dc:title>
  <dc:creator>Klein, Paula - LÖSLE</dc:creator>
  <cp:lastModifiedBy>Geisler, Marc</cp:lastModifiedBy>
  <cp:revision>26</cp:revision>
  <cp:lastPrinted>2025-10-09T12:17:00Z</cp:lastPrinted>
  <dcterms:created xsi:type="dcterms:W3CDTF">2023-09-18T11:19:00Z</dcterms:created>
  <dcterms:modified xsi:type="dcterms:W3CDTF">2025-10-10T08:48:00Z</dcterms:modified>
</cp:coreProperties>
</file>