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0773A3" w:rsidRDefault="009274B5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 xml:space="preserve">Lösungshinweise zu </w:t>
            </w:r>
            <w:r w:rsidR="00885CEC"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67331C">
              <w:rPr>
                <w:rFonts w:ascii="Century Gothic" w:hAnsi="Century Gothic"/>
                <w:color w:val="00B0F0"/>
                <w:sz w:val="28"/>
              </w:rPr>
              <w:t>4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480A8A">
              <w:rPr>
                <w:rFonts w:ascii="Century Gothic" w:hAnsi="Century Gothic"/>
                <w:b w:val="0"/>
                <w:color w:val="00B0F0"/>
                <w:sz w:val="28"/>
              </w:rPr>
              <w:t xml:space="preserve">Bilanzierung </w:t>
            </w:r>
            <w:r w:rsidR="0067331C">
              <w:rPr>
                <w:rFonts w:ascii="Century Gothic" w:hAnsi="Century Gothic"/>
                <w:b w:val="0"/>
                <w:color w:val="00B0F0"/>
                <w:sz w:val="28"/>
              </w:rPr>
              <w:t>Wertpapiere des Umlaufvermögens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0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0"/>
      <w:tr w:rsidR="000773A3" w:rsidRPr="00E65739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885CEC" w:rsidRDefault="0067331C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67331C">
              <w:rPr>
                <w:szCs w:val="22"/>
              </w:rPr>
              <w:t>Welche der folgenden Aussagen sind zutreffend?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67331C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67331C">
              <w:t>Erträge aus Wertpapieren des Umlaufvermögens sind brutto (ohne Abzug der anrechenbaren Steuern) in der GuV auszuweisen.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480A8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480A8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67331C" w:rsidP="0067331C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</w:pPr>
            <w:r w:rsidRPr="0067331C">
              <w:t>Erträge aus Wertpapieren des Umlaufvermögens sind wahlweise unter den Zinsen und ähnlichen Erträgen (§ 275 Abs. 2 Nr. 11 HGB) oder unter dem Posten „Erträge aus anderen Wertpapieren und Ausleihungen des Finanzanlagevermögens“ (§ 275 Abs. 2 Nr. 10 HGB) auszuweisen.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91405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91405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Default="0067331C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67331C">
              <w:t>Nicht verbriefte Anteile können Wertpapiere des Umlaufvermögens sein.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480A8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480A8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B86895" w:rsidRPr="00E65739" w:rsidTr="000773A3">
        <w:tc>
          <w:tcPr>
            <w:tcW w:w="7767" w:type="dxa"/>
            <w:shd w:val="clear" w:color="auto" w:fill="auto"/>
            <w:vAlign w:val="center"/>
          </w:tcPr>
          <w:p w:rsidR="00B86895" w:rsidRPr="001F3BFE" w:rsidRDefault="0067331C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67331C">
              <w:t>Anteile an verbundenen Unternehmen können Wertpapiere des Umlaufvermögens sein.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6895" w:rsidRDefault="0067331C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86895" w:rsidRDefault="0067331C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</w:tbl>
    <w:p w:rsidR="002C1895" w:rsidRDefault="002C1895"/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0773A3" w:rsidTr="000773A3">
        <w:tc>
          <w:tcPr>
            <w:tcW w:w="7767" w:type="dxa"/>
            <w:shd w:val="clear" w:color="auto" w:fill="F2F2F2" w:themeFill="background1" w:themeFillShade="F2"/>
          </w:tcPr>
          <w:p w:rsidR="000773A3" w:rsidRPr="00E65739" w:rsidRDefault="000773A3" w:rsidP="00855C54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 zu Frage 1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</w:tr>
      <w:tr w:rsidR="0091405A" w:rsidRPr="00E65739" w:rsidTr="00033F20">
        <w:tc>
          <w:tcPr>
            <w:tcW w:w="7767" w:type="dxa"/>
            <w:shd w:val="clear" w:color="auto" w:fill="auto"/>
          </w:tcPr>
          <w:p w:rsidR="0091405A" w:rsidRPr="002B6CD6" w:rsidRDefault="0091405A" w:rsidP="0091405A">
            <w:pPr>
              <w:spacing w:before="0"/>
            </w:pPr>
            <w:r>
              <w:rPr>
                <w:b/>
              </w:rPr>
              <w:t>z</w:t>
            </w:r>
            <w:r w:rsidRPr="0091405A">
              <w:rPr>
                <w:b/>
              </w:rPr>
              <w:t>u a)</w:t>
            </w:r>
            <w:r w:rsidRPr="002B6CD6">
              <w:t xml:space="preserve"> </w:t>
            </w:r>
            <w:r w:rsidR="0067331C" w:rsidRPr="0067331C">
              <w:t xml:space="preserve">Die </w:t>
            </w:r>
            <w:r w:rsidR="0067331C" w:rsidRPr="0067331C">
              <w:rPr>
                <w:b/>
              </w:rPr>
              <w:t>anrechenbaren Steuern</w:t>
            </w:r>
            <w:r w:rsidR="0067331C" w:rsidRPr="0067331C">
              <w:t xml:space="preserve"> sind </w:t>
            </w:r>
            <w:r w:rsidR="0067331C" w:rsidRPr="0067331C">
              <w:rPr>
                <w:b/>
              </w:rPr>
              <w:t>gesondert unter den Steuern vom Einkommen und vom Ertrag</w:t>
            </w:r>
            <w:r w:rsidR="0067331C" w:rsidRPr="0067331C">
              <w:t xml:space="preserve"> (§ 275 Abs. 2 Nr. 14 bzw. Abs. 3 Nr. 13 HGB) auszuweisen oder bei </w:t>
            </w:r>
            <w:proofErr w:type="spellStart"/>
            <w:r w:rsidR="0067331C" w:rsidRPr="0067331C">
              <w:t>PersG</w:t>
            </w:r>
            <w:proofErr w:type="spellEnd"/>
            <w:r w:rsidR="0067331C" w:rsidRPr="0067331C">
              <w:t xml:space="preserve"> gegen das Gesellschafterkonto zu verbuchen.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91405A" w:rsidRPr="00E65739" w:rsidTr="00033F20">
        <w:tc>
          <w:tcPr>
            <w:tcW w:w="7767" w:type="dxa"/>
            <w:shd w:val="clear" w:color="auto" w:fill="auto"/>
          </w:tcPr>
          <w:p w:rsidR="0091405A" w:rsidRPr="002B6CD6" w:rsidRDefault="0091405A" w:rsidP="0091405A">
            <w:pPr>
              <w:spacing w:before="0"/>
            </w:pPr>
            <w:r>
              <w:rPr>
                <w:b/>
              </w:rPr>
              <w:t>z</w:t>
            </w:r>
            <w:r w:rsidRPr="0091405A">
              <w:rPr>
                <w:b/>
              </w:rPr>
              <w:t>u b)</w:t>
            </w:r>
            <w:r w:rsidRPr="002B6CD6">
              <w:t xml:space="preserve"> </w:t>
            </w:r>
            <w:r w:rsidR="0067331C" w:rsidRPr="0067331C">
              <w:t xml:space="preserve">Erträge aus Wertpapieren des Umlaufvermögens sind unter den </w:t>
            </w:r>
            <w:r w:rsidR="0067331C" w:rsidRPr="0067331C">
              <w:rPr>
                <w:b/>
              </w:rPr>
              <w:t>Zinsen und ähnlichen Erträgen</w:t>
            </w:r>
            <w:r w:rsidR="0067331C" w:rsidRPr="0067331C">
              <w:t xml:space="preserve"> (§ 275 Abs. 2 Nr. 11 bzw. Abs. 3 Nr. 10 HGB) auszuweisen. Lediglich Erträge aus Wertpapieren des Finanzanlagevermögens sind unter den Erträgen aus anderen Wertpapieren und Ausleihungen des Finanzanlagevermögens auszuweisen.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91405A" w:rsidRPr="00E65739" w:rsidTr="00033F20">
        <w:tc>
          <w:tcPr>
            <w:tcW w:w="7767" w:type="dxa"/>
            <w:shd w:val="clear" w:color="auto" w:fill="auto"/>
          </w:tcPr>
          <w:p w:rsidR="0091405A" w:rsidRPr="002B6CD6" w:rsidRDefault="0091405A" w:rsidP="0091405A">
            <w:pPr>
              <w:spacing w:before="0"/>
            </w:pPr>
            <w:r w:rsidRPr="0091405A">
              <w:rPr>
                <w:b/>
              </w:rPr>
              <w:t>zu c)</w:t>
            </w:r>
            <w:r w:rsidRPr="002B6CD6">
              <w:t xml:space="preserve"> </w:t>
            </w:r>
            <w:r w:rsidR="0067331C" w:rsidRPr="0067331C">
              <w:t xml:space="preserve">Nicht verbriefte Anteile sind keine Wertpapiere und sind unter den </w:t>
            </w:r>
            <w:r w:rsidR="0067331C" w:rsidRPr="0067331C">
              <w:rPr>
                <w:b/>
              </w:rPr>
              <w:t>sonstigen Vermögensgegenständen</w:t>
            </w:r>
            <w:r w:rsidR="0067331C" w:rsidRPr="0067331C">
              <w:t xml:space="preserve"> auszuweisen.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91405A" w:rsidRPr="00E65739" w:rsidTr="00033F20">
        <w:tc>
          <w:tcPr>
            <w:tcW w:w="7767" w:type="dxa"/>
            <w:shd w:val="clear" w:color="auto" w:fill="auto"/>
          </w:tcPr>
          <w:p w:rsidR="0091405A" w:rsidRPr="002B6CD6" w:rsidRDefault="0091405A" w:rsidP="0091405A">
            <w:pPr>
              <w:spacing w:before="0"/>
            </w:pPr>
            <w:r w:rsidRPr="0091405A">
              <w:rPr>
                <w:b/>
              </w:rPr>
              <w:t>zu d)</w:t>
            </w:r>
            <w:r w:rsidRPr="002B6CD6">
              <w:t xml:space="preserve"> </w:t>
            </w:r>
            <w:r w:rsidR="0067331C" w:rsidRPr="0067331C">
              <w:t xml:space="preserve">Wertpapiere des Umlaufvermögens untergliedern sich nach § 266 Abs. 2 B. III. HGB in 1. Anteile an verbundenen Unternehmen und 2. sonstige Wertpapiere. Wenn ein </w:t>
            </w:r>
            <w:r w:rsidR="0067331C" w:rsidRPr="0067331C">
              <w:rPr>
                <w:b/>
              </w:rPr>
              <w:t>Anteil an einem verbundenen Unternehmen</w:t>
            </w:r>
            <w:r w:rsidR="0067331C" w:rsidRPr="0067331C">
              <w:t xml:space="preserve"> veräußert werden soll, ist dieser zwingend u</w:t>
            </w:r>
            <w:bookmarkStart w:id="1" w:name="_GoBack"/>
            <w:bookmarkEnd w:id="1"/>
            <w:r w:rsidR="0067331C" w:rsidRPr="0067331C">
              <w:t xml:space="preserve">nter den </w:t>
            </w:r>
            <w:r w:rsidR="0067331C" w:rsidRPr="0067331C">
              <w:rPr>
                <w:b/>
              </w:rPr>
              <w:t>Wertpapieren des Umlaufvermögens</w:t>
            </w:r>
            <w:r w:rsidR="0067331C" w:rsidRPr="0067331C">
              <w:t xml:space="preserve"> gesondert auszuweisen (§ 266 Abs. 2 B. III Nr. 1 HGB).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</w:tbl>
    <w:p w:rsidR="00B929CA" w:rsidRPr="00BC04E1" w:rsidRDefault="00B929CA" w:rsidP="0067331C">
      <w:pPr>
        <w:rPr>
          <w:szCs w:val="28"/>
        </w:rPr>
      </w:pPr>
    </w:p>
    <w:sectPr w:rsidR="00B929CA" w:rsidRPr="00BC04E1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1" w:rsidRDefault="007F3E51">
      <w:pPr>
        <w:spacing w:before="0"/>
      </w:pPr>
      <w:r>
        <w:separator/>
      </w:r>
    </w:p>
  </w:endnote>
  <w:endnote w:type="continuationSeparator" w:id="0">
    <w:p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0" w:rsidRDefault="00E449C8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3430CA09" wp14:editId="4EC3787C">
          <wp:simplePos x="0" y="0"/>
          <wp:positionH relativeFrom="column">
            <wp:posOffset>1514475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30649D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="00C17BE6">
      <w:rPr>
        <w:rFonts w:eastAsiaTheme="minorHAnsi" w:cstheme="minorBidi"/>
        <w:b/>
        <w:color w:val="00B0F0"/>
        <w:sz w:val="20"/>
        <w:lang w:eastAsia="en-US"/>
      </w:rPr>
      <w:t>Lösungen PF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1" w:rsidRDefault="007F3E51" w:rsidP="00EE217B">
      <w:pPr>
        <w:pStyle w:val="Fuzeile"/>
      </w:pPr>
    </w:p>
    <w:p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F3E51" w:rsidRDefault="007F3E51" w:rsidP="00711AB6">
      <w:pPr>
        <w:spacing w:before="0"/>
        <w:jc w:val="center"/>
      </w:pPr>
    </w:p>
    <w:p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493"/>
    <w:multiLevelType w:val="hybridMultilevel"/>
    <w:tmpl w:val="5D7CF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5D7F86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7" w15:restartNumberingAfterBreak="0">
    <w:nsid w:val="7F426428"/>
    <w:multiLevelType w:val="hybridMultilevel"/>
    <w:tmpl w:val="5134911C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3"/>
  </w:num>
  <w:num w:numId="12">
    <w:abstractNumId w:val="11"/>
  </w:num>
  <w:num w:numId="13">
    <w:abstractNumId w:val="13"/>
  </w:num>
  <w:num w:numId="14">
    <w:abstractNumId w:val="22"/>
  </w:num>
  <w:num w:numId="15">
    <w:abstractNumId w:val="16"/>
  </w:num>
  <w:num w:numId="16">
    <w:abstractNumId w:val="14"/>
  </w:num>
  <w:num w:numId="17">
    <w:abstractNumId w:val="18"/>
  </w:num>
  <w:num w:numId="18">
    <w:abstractNumId w:val="21"/>
  </w:num>
  <w:num w:numId="19">
    <w:abstractNumId w:val="12"/>
  </w:num>
  <w:num w:numId="20">
    <w:abstractNumId w:val="8"/>
  </w:num>
  <w:num w:numId="21">
    <w:abstractNumId w:val="19"/>
  </w:num>
  <w:num w:numId="22">
    <w:abstractNumId w:val="17"/>
  </w:num>
  <w:num w:numId="23">
    <w:abstractNumId w:val="24"/>
  </w:num>
  <w:num w:numId="24">
    <w:abstractNumId w:val="9"/>
  </w:num>
  <w:num w:numId="25">
    <w:abstractNumId w:val="25"/>
  </w:num>
  <w:num w:numId="26">
    <w:abstractNumId w:val="20"/>
  </w:num>
  <w:num w:numId="27">
    <w:abstractNumId w:val="27"/>
  </w:num>
  <w:num w:numId="2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7B2B"/>
    <w:rsid w:val="000B1337"/>
    <w:rsid w:val="000E26F7"/>
    <w:rsid w:val="000E57B4"/>
    <w:rsid w:val="00106BBE"/>
    <w:rsid w:val="00111AC6"/>
    <w:rsid w:val="001205E2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0649D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0A8A"/>
    <w:rsid w:val="004867BC"/>
    <w:rsid w:val="0049126F"/>
    <w:rsid w:val="004B2234"/>
    <w:rsid w:val="004B5526"/>
    <w:rsid w:val="004B5A8E"/>
    <w:rsid w:val="004B6272"/>
    <w:rsid w:val="004B6415"/>
    <w:rsid w:val="004C062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7331C"/>
    <w:rsid w:val="00684B37"/>
    <w:rsid w:val="006A27FA"/>
    <w:rsid w:val="006C4228"/>
    <w:rsid w:val="006D45A1"/>
    <w:rsid w:val="006D7242"/>
    <w:rsid w:val="006E24F6"/>
    <w:rsid w:val="006E2847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1107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7F3E51"/>
    <w:rsid w:val="00802ED4"/>
    <w:rsid w:val="00805892"/>
    <w:rsid w:val="0081072B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1405A"/>
    <w:rsid w:val="009212B4"/>
    <w:rsid w:val="009274B5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3242"/>
    <w:rsid w:val="00B760B6"/>
    <w:rsid w:val="00B77530"/>
    <w:rsid w:val="00B86895"/>
    <w:rsid w:val="00B91F5A"/>
    <w:rsid w:val="00B929C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17BE6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449C8"/>
    <w:rsid w:val="00E50734"/>
    <w:rsid w:val="00E54CF5"/>
    <w:rsid w:val="00E57522"/>
    <w:rsid w:val="00E57793"/>
    <w:rsid w:val="00E61BCD"/>
    <w:rsid w:val="00E65739"/>
    <w:rsid w:val="00E76D20"/>
    <w:rsid w:val="00E77518"/>
    <w:rsid w:val="00EA0865"/>
    <w:rsid w:val="00EA2ACF"/>
    <w:rsid w:val="00EA74B3"/>
    <w:rsid w:val="00EC00F0"/>
    <w:rsid w:val="00EE217B"/>
    <w:rsid w:val="00EF2558"/>
    <w:rsid w:val="00F01DD2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6A5DDD0-40E1-444D-84FB-6C39174B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</Template>
  <TotalTime>0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Zoller, Kevin - AUDfIT</cp:lastModifiedBy>
  <cp:revision>24</cp:revision>
  <cp:lastPrinted>2025-10-09T12:21:00Z</cp:lastPrinted>
  <dcterms:created xsi:type="dcterms:W3CDTF">2023-09-18T11:19:00Z</dcterms:created>
  <dcterms:modified xsi:type="dcterms:W3CDTF">2025-10-09T12:21:00Z</dcterms:modified>
</cp:coreProperties>
</file>