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rsidTr="00CA64ED">
        <w:trPr>
          <w:cantSplit/>
          <w:trHeight w:val="830"/>
        </w:trPr>
        <w:tc>
          <w:tcPr>
            <w:tcW w:w="8648" w:type="dxa"/>
            <w:tcBorders>
              <w:right w:val="nil"/>
            </w:tcBorders>
            <w:shd w:val="clear" w:color="auto" w:fill="CCECFF"/>
            <w:tcMar>
              <w:top w:w="113" w:type="dxa"/>
              <w:bottom w:w="113" w:type="dxa"/>
            </w:tcMar>
            <w:vAlign w:val="center"/>
          </w:tcPr>
          <w:p w:rsidR="000773A3" w:rsidRDefault="009274B5" w:rsidP="001A6337">
            <w:pPr>
              <w:pStyle w:val="berschrift1"/>
              <w:numPr>
                <w:ilvl w:val="0"/>
                <w:numId w:val="0"/>
              </w:numPr>
              <w:rPr>
                <w:rFonts w:ascii="Century Gothic" w:hAnsi="Century Gothic"/>
                <w:color w:val="00B0F0"/>
                <w:sz w:val="28"/>
              </w:rPr>
            </w:pPr>
            <w:r>
              <w:rPr>
                <w:rFonts w:ascii="Century Gothic" w:hAnsi="Century Gothic"/>
                <w:color w:val="00B0F0"/>
                <w:sz w:val="28"/>
              </w:rPr>
              <w:t xml:space="preserve">Lösungshinweise zu </w:t>
            </w:r>
            <w:r w:rsidR="00885CEC">
              <w:rPr>
                <w:rFonts w:ascii="Century Gothic" w:hAnsi="Century Gothic"/>
                <w:color w:val="00B0F0"/>
                <w:sz w:val="28"/>
              </w:rPr>
              <w:t>Praxisfragen</w:t>
            </w:r>
          </w:p>
          <w:p w:rsidR="00AF76A2" w:rsidRPr="007D6927" w:rsidRDefault="00885CEC" w:rsidP="001A6337">
            <w:pPr>
              <w:pStyle w:val="berschrift1"/>
              <w:numPr>
                <w:ilvl w:val="0"/>
                <w:numId w:val="0"/>
              </w:numPr>
              <w:rPr>
                <w:rFonts w:ascii="Century Gothic" w:hAnsi="Century Gothic"/>
                <w:sz w:val="28"/>
              </w:rPr>
            </w:pPr>
            <w:r>
              <w:rPr>
                <w:rFonts w:ascii="Century Gothic" w:hAnsi="Century Gothic"/>
                <w:color w:val="00B0F0"/>
                <w:sz w:val="28"/>
              </w:rPr>
              <w:t>Themenbereich</w:t>
            </w:r>
            <w:r w:rsidR="00B50770" w:rsidRPr="00280D52">
              <w:rPr>
                <w:rFonts w:ascii="Century Gothic" w:hAnsi="Century Gothic"/>
                <w:color w:val="00B0F0"/>
                <w:sz w:val="28"/>
              </w:rPr>
              <w:t xml:space="preserve"> </w:t>
            </w:r>
            <w:r w:rsidR="00E65773">
              <w:rPr>
                <w:rFonts w:ascii="Century Gothic" w:hAnsi="Century Gothic"/>
                <w:color w:val="00B0F0"/>
                <w:sz w:val="28"/>
              </w:rPr>
              <w:t>5</w:t>
            </w:r>
            <w:r w:rsidR="003A7861" w:rsidRPr="00280D52">
              <w:rPr>
                <w:rFonts w:ascii="Century Gothic" w:hAnsi="Century Gothic"/>
                <w:color w:val="00B0F0"/>
                <w:sz w:val="28"/>
              </w:rPr>
              <w:t>:</w:t>
            </w:r>
            <w:r w:rsidR="005E0577" w:rsidRPr="00280D52">
              <w:rPr>
                <w:rFonts w:ascii="Century Gothic" w:hAnsi="Century Gothic"/>
                <w:color w:val="00B0F0"/>
                <w:sz w:val="28"/>
              </w:rPr>
              <w:t xml:space="preserve"> </w:t>
            </w:r>
            <w:r w:rsidR="00480A8A">
              <w:rPr>
                <w:rFonts w:ascii="Century Gothic" w:hAnsi="Century Gothic"/>
                <w:b w:val="0"/>
                <w:color w:val="00B0F0"/>
                <w:sz w:val="28"/>
              </w:rPr>
              <w:t xml:space="preserve">Bilanzierung </w:t>
            </w:r>
            <w:r w:rsidR="00E65773">
              <w:rPr>
                <w:rFonts w:ascii="Century Gothic" w:hAnsi="Century Gothic"/>
                <w:b w:val="0"/>
                <w:color w:val="00B0F0"/>
                <w:sz w:val="28"/>
              </w:rPr>
              <w:t>Liquide Mittel</w:t>
            </w:r>
          </w:p>
        </w:tc>
        <w:tc>
          <w:tcPr>
            <w:tcW w:w="424" w:type="dxa"/>
            <w:tcBorders>
              <w:top w:val="nil"/>
              <w:left w:val="nil"/>
              <w:bottom w:val="nil"/>
            </w:tcBorders>
            <w:shd w:val="clear" w:color="auto" w:fill="CCECFF"/>
            <w:textDirection w:val="btLr"/>
            <w:vAlign w:val="center"/>
          </w:tcPr>
          <w:p w:rsidR="00AF76A2" w:rsidRPr="00B34064" w:rsidRDefault="00B50770" w:rsidP="00AF76A2">
            <w:pPr>
              <w:pStyle w:val="berschrift1"/>
              <w:numPr>
                <w:ilvl w:val="0"/>
                <w:numId w:val="0"/>
              </w:numPr>
              <w:ind w:left="113" w:right="113"/>
              <w:jc w:val="center"/>
              <w:rPr>
                <w:rFonts w:ascii="Century Gothic" w:hAnsi="Century Gothic"/>
                <w:b w:val="0"/>
                <w:sz w:val="28"/>
              </w:rPr>
            </w:pPr>
            <w:r w:rsidRPr="00885CEC">
              <w:rPr>
                <w:rFonts w:ascii="Century Gothic" w:hAnsi="Century Gothic"/>
                <w:b w:val="0"/>
                <w:color w:val="00B0F0"/>
                <w:sz w:val="12"/>
                <w:shd w:val="clear" w:color="auto" w:fill="00B0F0"/>
              </w:rPr>
              <w:t>0</w:t>
            </w:r>
            <w:r w:rsidR="00885CEC" w:rsidRPr="00885CEC">
              <w:rPr>
                <w:rFonts w:ascii="Century Gothic" w:hAnsi="Century Gothic"/>
                <w:b w:val="0"/>
                <w:color w:val="00B0F0"/>
                <w:sz w:val="12"/>
                <w:shd w:val="clear" w:color="auto" w:fill="00B0F0"/>
              </w:rPr>
              <w:t>7</w:t>
            </w:r>
            <w:r w:rsidR="00AF76A2" w:rsidRPr="00885CEC">
              <w:rPr>
                <w:rFonts w:ascii="Century Gothic" w:hAnsi="Century Gothic"/>
                <w:b w:val="0"/>
                <w:color w:val="00B0F0"/>
                <w:sz w:val="12"/>
                <w:shd w:val="clear" w:color="auto" w:fill="00B0F0"/>
              </w:rPr>
              <w:t>/202</w:t>
            </w:r>
            <w:r w:rsidR="00885CEC" w:rsidRPr="00885CEC">
              <w:rPr>
                <w:rFonts w:ascii="Century Gothic" w:hAnsi="Century Gothic"/>
                <w:b w:val="0"/>
                <w:color w:val="00B0F0"/>
                <w:sz w:val="12"/>
                <w:shd w:val="clear" w:color="auto" w:fill="00B0F0"/>
              </w:rPr>
              <w:t>5</w:t>
            </w:r>
          </w:p>
        </w:tc>
      </w:tr>
    </w:tbl>
    <w:p w:rsidR="00F3121A" w:rsidRPr="00354556" w:rsidRDefault="00F3121A" w:rsidP="008A5560">
      <w:pPr>
        <w:spacing w:before="0"/>
        <w:rPr>
          <w:sz w:val="24"/>
          <w:szCs w:val="28"/>
        </w:rPr>
      </w:pPr>
    </w:p>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0773A3" w:rsidRPr="00E65739" w:rsidTr="001374FD">
        <w:tc>
          <w:tcPr>
            <w:tcW w:w="7767" w:type="dxa"/>
            <w:tcBorders>
              <w:top w:val="single" w:sz="4" w:space="0" w:color="auto"/>
              <w:right w:val="single" w:sz="4" w:space="0" w:color="FFFFFF"/>
            </w:tcBorders>
            <w:shd w:val="clear" w:color="auto" w:fill="D9D9D9" w:themeFill="background1" w:themeFillShade="D9"/>
          </w:tcPr>
          <w:p w:rsidR="00885CEC" w:rsidRPr="00E65739" w:rsidRDefault="00885CEC" w:rsidP="00885CEC">
            <w:pPr>
              <w:spacing w:before="0"/>
              <w:rPr>
                <w:b/>
                <w:sz w:val="24"/>
                <w:szCs w:val="28"/>
              </w:rPr>
            </w:pPr>
            <w:bookmarkStart w:id="0" w:name="_Hlk203041342"/>
            <w:r>
              <w:rPr>
                <w:b/>
                <w:sz w:val="24"/>
                <w:szCs w:val="28"/>
              </w:rPr>
              <w:t>Frage 1</w:t>
            </w:r>
          </w:p>
        </w:tc>
        <w:tc>
          <w:tcPr>
            <w:tcW w:w="624" w:type="dxa"/>
            <w:tcBorders>
              <w:top w:val="single" w:sz="4" w:space="0" w:color="auto"/>
              <w:left w:val="single" w:sz="4" w:space="0" w:color="FFFFFF"/>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885CEC" w:rsidRPr="000773A3" w:rsidRDefault="00885CEC" w:rsidP="00885CEC">
            <w:pPr>
              <w:spacing w:before="0"/>
              <w:jc w:val="center"/>
              <w:rPr>
                <w:sz w:val="20"/>
                <w:szCs w:val="28"/>
              </w:rPr>
            </w:pPr>
            <w:r w:rsidRPr="000773A3">
              <w:rPr>
                <w:sz w:val="20"/>
                <w:szCs w:val="28"/>
              </w:rPr>
              <w:t>Nein</w:t>
            </w:r>
          </w:p>
        </w:tc>
      </w:tr>
      <w:bookmarkEnd w:id="0"/>
      <w:tr w:rsidR="000773A3" w:rsidRPr="00E65739" w:rsidTr="000773A3">
        <w:trPr>
          <w:gridAfter w:val="2"/>
          <w:wAfter w:w="1280" w:type="dxa"/>
        </w:trPr>
        <w:tc>
          <w:tcPr>
            <w:tcW w:w="7767" w:type="dxa"/>
            <w:shd w:val="clear" w:color="auto" w:fill="auto"/>
            <w:vAlign w:val="center"/>
          </w:tcPr>
          <w:p w:rsidR="00885CEC" w:rsidRDefault="00E65773" w:rsidP="00885CEC">
            <w:pPr>
              <w:spacing w:before="0"/>
              <w:jc w:val="left"/>
              <w:rPr>
                <w:b/>
                <w:sz w:val="24"/>
                <w:szCs w:val="28"/>
              </w:rPr>
            </w:pPr>
            <w:r w:rsidRPr="00E65773">
              <w:rPr>
                <w:szCs w:val="22"/>
              </w:rPr>
              <w:t>Welche der folgenden Vermögensgegenstände zählen zu den liquiden Mitteln?</w:t>
            </w:r>
          </w:p>
        </w:tc>
      </w:tr>
      <w:tr w:rsidR="000773A3" w:rsidRPr="00E65739" w:rsidTr="000773A3">
        <w:tc>
          <w:tcPr>
            <w:tcW w:w="7767" w:type="dxa"/>
            <w:shd w:val="clear" w:color="auto" w:fill="auto"/>
            <w:vAlign w:val="center"/>
          </w:tcPr>
          <w:p w:rsidR="00885CEC" w:rsidRPr="001F3BFE" w:rsidRDefault="00EE2E51" w:rsidP="000773A3">
            <w:pPr>
              <w:pStyle w:val="Listenabsatz"/>
              <w:numPr>
                <w:ilvl w:val="0"/>
                <w:numId w:val="24"/>
              </w:numPr>
              <w:spacing w:before="0"/>
              <w:ind w:left="454" w:hanging="425"/>
              <w:jc w:val="left"/>
            </w:pPr>
            <w:r w:rsidRPr="00EE2E51">
              <w:t>Reiseschecks</w:t>
            </w:r>
          </w:p>
        </w:tc>
        <w:tc>
          <w:tcPr>
            <w:tcW w:w="624" w:type="dxa"/>
            <w:shd w:val="clear" w:color="auto" w:fill="auto"/>
            <w:vAlign w:val="center"/>
          </w:tcPr>
          <w:p w:rsidR="00885CEC" w:rsidRDefault="00480A8A"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480A8A"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Pr="001F3BFE" w:rsidRDefault="00EE2E51" w:rsidP="0067331C">
            <w:pPr>
              <w:pStyle w:val="Listenabsatz"/>
              <w:numPr>
                <w:ilvl w:val="0"/>
                <w:numId w:val="24"/>
              </w:numPr>
              <w:spacing w:before="0"/>
              <w:ind w:left="454" w:hanging="425"/>
            </w:pPr>
            <w:r w:rsidRPr="00EE2E51">
              <w:t>Dem Aussteller zurückgesandte Schecks</w:t>
            </w:r>
          </w:p>
        </w:tc>
        <w:tc>
          <w:tcPr>
            <w:tcW w:w="624" w:type="dxa"/>
            <w:shd w:val="clear" w:color="auto" w:fill="auto"/>
            <w:vAlign w:val="center"/>
          </w:tcPr>
          <w:p w:rsidR="00885CEC" w:rsidRDefault="0091405A"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91405A" w:rsidP="00885CEC">
            <w:pPr>
              <w:spacing w:before="0"/>
              <w:jc w:val="center"/>
              <w:rPr>
                <w:b/>
                <w:sz w:val="24"/>
                <w:szCs w:val="28"/>
              </w:rPr>
            </w:pPr>
            <w:r>
              <w:rPr>
                <w:rFonts w:ascii="Wingdings" w:hAnsi="Wingdings" w:cs="Wingdings"/>
                <w:sz w:val="26"/>
                <w:szCs w:val="26"/>
              </w:rPr>
              <w:t></w:t>
            </w:r>
          </w:p>
        </w:tc>
      </w:tr>
      <w:tr w:rsidR="000773A3" w:rsidRPr="00E65739" w:rsidTr="000773A3">
        <w:tc>
          <w:tcPr>
            <w:tcW w:w="7767" w:type="dxa"/>
            <w:shd w:val="clear" w:color="auto" w:fill="auto"/>
            <w:vAlign w:val="center"/>
          </w:tcPr>
          <w:p w:rsidR="00885CEC" w:rsidRDefault="00EE2E51" w:rsidP="000773A3">
            <w:pPr>
              <w:pStyle w:val="Listenabsatz"/>
              <w:numPr>
                <w:ilvl w:val="0"/>
                <w:numId w:val="24"/>
              </w:numPr>
              <w:spacing w:before="0"/>
              <w:ind w:left="454" w:hanging="425"/>
              <w:jc w:val="left"/>
            </w:pPr>
            <w:r w:rsidRPr="00EE2E51">
              <w:t>Kurzfristige Festgelder</w:t>
            </w:r>
          </w:p>
        </w:tc>
        <w:tc>
          <w:tcPr>
            <w:tcW w:w="624" w:type="dxa"/>
            <w:shd w:val="clear" w:color="auto" w:fill="auto"/>
            <w:vAlign w:val="center"/>
          </w:tcPr>
          <w:p w:rsidR="00885CEC" w:rsidRDefault="00E65773" w:rsidP="00885CEC">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885CEC" w:rsidRDefault="00E65773" w:rsidP="00885CEC">
            <w:pPr>
              <w:spacing w:before="0"/>
              <w:jc w:val="center"/>
              <w:rPr>
                <w:b/>
                <w:sz w:val="24"/>
                <w:szCs w:val="28"/>
              </w:rPr>
            </w:pPr>
            <w:r>
              <w:rPr>
                <w:rFonts w:ascii="Wingdings" w:hAnsi="Wingdings" w:cs="Wingdings"/>
                <w:sz w:val="26"/>
                <w:szCs w:val="26"/>
              </w:rPr>
              <w:t></w:t>
            </w:r>
          </w:p>
        </w:tc>
      </w:tr>
      <w:tr w:rsidR="00B86895" w:rsidRPr="00E65739" w:rsidTr="000773A3">
        <w:tc>
          <w:tcPr>
            <w:tcW w:w="7767" w:type="dxa"/>
            <w:shd w:val="clear" w:color="auto" w:fill="auto"/>
            <w:vAlign w:val="center"/>
          </w:tcPr>
          <w:p w:rsidR="00B86895" w:rsidRPr="001F3BFE" w:rsidRDefault="00EE2E51" w:rsidP="000773A3">
            <w:pPr>
              <w:pStyle w:val="Listenabsatz"/>
              <w:numPr>
                <w:ilvl w:val="0"/>
                <w:numId w:val="24"/>
              </w:numPr>
              <w:spacing w:before="0"/>
              <w:ind w:left="454" w:hanging="425"/>
              <w:jc w:val="left"/>
            </w:pPr>
            <w:r w:rsidRPr="00EE2E51">
              <w:t>Bitcoins</w:t>
            </w:r>
          </w:p>
        </w:tc>
        <w:tc>
          <w:tcPr>
            <w:tcW w:w="624" w:type="dxa"/>
            <w:shd w:val="clear" w:color="auto" w:fill="auto"/>
            <w:vAlign w:val="center"/>
          </w:tcPr>
          <w:p w:rsidR="00B86895" w:rsidRDefault="00E65773" w:rsidP="00885CEC">
            <w:pPr>
              <w:spacing w:before="0"/>
              <w:jc w:val="center"/>
              <w:rPr>
                <w:rFonts w:ascii="Wingdings" w:hAnsi="Wingdings" w:cs="Wingdings"/>
                <w:sz w:val="26"/>
                <w:szCs w:val="26"/>
              </w:rPr>
            </w:pPr>
            <w:r>
              <w:rPr>
                <w:rFonts w:ascii="Wingdings" w:hAnsi="Wingdings" w:cs="Wingdings"/>
                <w:sz w:val="26"/>
                <w:szCs w:val="26"/>
              </w:rPr>
              <w:t></w:t>
            </w:r>
          </w:p>
        </w:tc>
        <w:tc>
          <w:tcPr>
            <w:tcW w:w="656" w:type="dxa"/>
            <w:shd w:val="clear" w:color="auto" w:fill="auto"/>
            <w:vAlign w:val="center"/>
          </w:tcPr>
          <w:p w:rsidR="00B86895" w:rsidRDefault="00E65773" w:rsidP="00885CEC">
            <w:pPr>
              <w:spacing w:before="0"/>
              <w:jc w:val="center"/>
              <w:rPr>
                <w:rFonts w:ascii="Wingdings" w:hAnsi="Wingdings" w:cs="Wingdings"/>
                <w:sz w:val="26"/>
                <w:szCs w:val="26"/>
              </w:rPr>
            </w:pPr>
            <w:r>
              <w:rPr>
                <w:rFonts w:ascii="Wingdings" w:hAnsi="Wingdings" w:cs="Wingdings"/>
                <w:sz w:val="26"/>
                <w:szCs w:val="26"/>
              </w:rPr>
              <w:t></w:t>
            </w:r>
          </w:p>
        </w:tc>
      </w:tr>
    </w:tbl>
    <w:p w:rsidR="002C1895" w:rsidRDefault="002C1895"/>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0773A3" w:rsidRPr="000773A3" w:rsidTr="000773A3">
        <w:tc>
          <w:tcPr>
            <w:tcW w:w="7767" w:type="dxa"/>
            <w:shd w:val="clear" w:color="auto" w:fill="F2F2F2" w:themeFill="background1" w:themeFillShade="F2"/>
          </w:tcPr>
          <w:p w:rsidR="000773A3" w:rsidRPr="00E65739" w:rsidRDefault="000773A3" w:rsidP="00855C54">
            <w:pPr>
              <w:spacing w:before="0"/>
              <w:rPr>
                <w:b/>
                <w:sz w:val="24"/>
                <w:szCs w:val="28"/>
              </w:rPr>
            </w:pPr>
            <w:r>
              <w:rPr>
                <w:b/>
                <w:sz w:val="24"/>
                <w:szCs w:val="28"/>
              </w:rPr>
              <w:t>Lösungshinweise zu Frage 1</w:t>
            </w:r>
          </w:p>
        </w:tc>
        <w:tc>
          <w:tcPr>
            <w:tcW w:w="624" w:type="dxa"/>
            <w:shd w:val="clear" w:color="auto" w:fill="F2F2F2" w:themeFill="background1" w:themeFillShade="F2"/>
          </w:tcPr>
          <w:p w:rsidR="000773A3" w:rsidRPr="000773A3" w:rsidRDefault="000773A3" w:rsidP="00855C54">
            <w:pPr>
              <w:spacing w:before="0"/>
              <w:jc w:val="center"/>
              <w:rPr>
                <w:sz w:val="20"/>
                <w:szCs w:val="28"/>
              </w:rPr>
            </w:pPr>
          </w:p>
        </w:tc>
        <w:tc>
          <w:tcPr>
            <w:tcW w:w="656" w:type="dxa"/>
            <w:shd w:val="clear" w:color="auto" w:fill="F2F2F2" w:themeFill="background1" w:themeFillShade="F2"/>
          </w:tcPr>
          <w:p w:rsidR="000773A3" w:rsidRPr="000773A3" w:rsidRDefault="000773A3" w:rsidP="00855C54">
            <w:pPr>
              <w:spacing w:before="0"/>
              <w:jc w:val="center"/>
              <w:rPr>
                <w:sz w:val="20"/>
                <w:szCs w:val="28"/>
              </w:rPr>
            </w:pPr>
          </w:p>
        </w:tc>
      </w:tr>
      <w:tr w:rsidR="0091405A" w:rsidRPr="00E65739" w:rsidTr="00033F20">
        <w:tc>
          <w:tcPr>
            <w:tcW w:w="7767" w:type="dxa"/>
            <w:shd w:val="clear" w:color="auto" w:fill="auto"/>
          </w:tcPr>
          <w:p w:rsidR="0091405A" w:rsidRPr="002B6CD6" w:rsidRDefault="0091405A" w:rsidP="0091405A">
            <w:pPr>
              <w:spacing w:before="0"/>
            </w:pPr>
            <w:r>
              <w:rPr>
                <w:b/>
              </w:rPr>
              <w:t>z</w:t>
            </w:r>
            <w:r w:rsidRPr="0091405A">
              <w:rPr>
                <w:b/>
              </w:rPr>
              <w:t>u a)</w:t>
            </w:r>
            <w:r w:rsidRPr="002B6CD6">
              <w:t xml:space="preserve"> </w:t>
            </w:r>
            <w:r w:rsidR="00EE2E51" w:rsidRPr="00EE2E51">
              <w:t>Vgl. Schubert/</w:t>
            </w:r>
            <w:proofErr w:type="spellStart"/>
            <w:r w:rsidR="00EE2E51" w:rsidRPr="00EE2E51">
              <w:t>Waubke</w:t>
            </w:r>
            <w:proofErr w:type="spellEnd"/>
            <w:r w:rsidR="00EE2E51" w:rsidRPr="00EE2E51">
              <w:t xml:space="preserve"> </w:t>
            </w:r>
            <w:proofErr w:type="spellStart"/>
            <w:r w:rsidR="00EE2E51" w:rsidRPr="00EE2E51">
              <w:t>Beck’scher</w:t>
            </w:r>
            <w:proofErr w:type="spellEnd"/>
            <w:r w:rsidR="00EE2E51" w:rsidRPr="00EE2E51">
              <w:t xml:space="preserve"> Bilanzkommentar, 12. Auflage 2020, § 266 HGB, Tz. 158</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r w:rsidR="0091405A" w:rsidRPr="00E65739" w:rsidTr="00033F20">
        <w:tc>
          <w:tcPr>
            <w:tcW w:w="7767" w:type="dxa"/>
            <w:shd w:val="clear" w:color="auto" w:fill="auto"/>
          </w:tcPr>
          <w:p w:rsidR="0091405A" w:rsidRPr="002B6CD6" w:rsidRDefault="0091405A" w:rsidP="0091405A">
            <w:pPr>
              <w:spacing w:before="0"/>
            </w:pPr>
            <w:r>
              <w:rPr>
                <w:b/>
              </w:rPr>
              <w:t>z</w:t>
            </w:r>
            <w:r w:rsidRPr="0091405A">
              <w:rPr>
                <w:b/>
              </w:rPr>
              <w:t>u b)</w:t>
            </w:r>
            <w:r w:rsidRPr="002B6CD6">
              <w:t xml:space="preserve"> </w:t>
            </w:r>
            <w:r w:rsidR="00EE2E51" w:rsidRPr="00EE2E51">
              <w:t>Vgl. Schubert/</w:t>
            </w:r>
            <w:proofErr w:type="spellStart"/>
            <w:r w:rsidR="00EE2E51" w:rsidRPr="00EE2E51">
              <w:t>Waubke</w:t>
            </w:r>
            <w:proofErr w:type="spellEnd"/>
            <w:r w:rsidR="00EE2E51" w:rsidRPr="00EE2E51">
              <w:t xml:space="preserve"> </w:t>
            </w:r>
            <w:proofErr w:type="spellStart"/>
            <w:r w:rsidR="00EE2E51" w:rsidRPr="00EE2E51">
              <w:t>Beck’scher</w:t>
            </w:r>
            <w:proofErr w:type="spellEnd"/>
            <w:r w:rsidR="00EE2E51" w:rsidRPr="00EE2E51">
              <w:t xml:space="preserve"> Bilanzkommentar, 12. Auflage 2020, § 266 HGB, Tz. 158</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r w:rsidR="0091405A" w:rsidRPr="00E65739" w:rsidTr="00033F20">
        <w:tc>
          <w:tcPr>
            <w:tcW w:w="7767" w:type="dxa"/>
            <w:shd w:val="clear" w:color="auto" w:fill="auto"/>
          </w:tcPr>
          <w:p w:rsidR="0091405A" w:rsidRPr="002B6CD6" w:rsidRDefault="0091405A" w:rsidP="0091405A">
            <w:pPr>
              <w:spacing w:before="0"/>
            </w:pPr>
            <w:r w:rsidRPr="0091405A">
              <w:rPr>
                <w:b/>
              </w:rPr>
              <w:t>zu c)</w:t>
            </w:r>
            <w:r w:rsidRPr="002B6CD6">
              <w:t xml:space="preserve"> </w:t>
            </w:r>
            <w:r w:rsidR="00EE2E51" w:rsidRPr="00EE2E51">
              <w:t>Vgl. Schubert/</w:t>
            </w:r>
            <w:proofErr w:type="spellStart"/>
            <w:r w:rsidR="00EE2E51" w:rsidRPr="00EE2E51">
              <w:t>Waubke</w:t>
            </w:r>
            <w:proofErr w:type="spellEnd"/>
            <w:r w:rsidR="00EE2E51" w:rsidRPr="00EE2E51">
              <w:t xml:space="preserve"> </w:t>
            </w:r>
            <w:proofErr w:type="spellStart"/>
            <w:r w:rsidR="00EE2E51" w:rsidRPr="00EE2E51">
              <w:t>Beck’scher</w:t>
            </w:r>
            <w:proofErr w:type="spellEnd"/>
            <w:r w:rsidR="00EE2E51" w:rsidRPr="00EE2E51">
              <w:t xml:space="preserve"> Bilanzkommentar, 12. Auflage 2020, § 266 HGB, Tz. 156</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r w:rsidR="0091405A" w:rsidRPr="00E65739" w:rsidTr="00033F20">
        <w:tc>
          <w:tcPr>
            <w:tcW w:w="7767" w:type="dxa"/>
            <w:shd w:val="clear" w:color="auto" w:fill="auto"/>
          </w:tcPr>
          <w:p w:rsidR="00EE2E51" w:rsidRDefault="0091405A" w:rsidP="00EE2E51">
            <w:pPr>
              <w:spacing w:before="0"/>
            </w:pPr>
            <w:r w:rsidRPr="0091405A">
              <w:rPr>
                <w:b/>
              </w:rPr>
              <w:t>zu d)</w:t>
            </w:r>
            <w:r w:rsidRPr="002B6CD6">
              <w:t xml:space="preserve"> </w:t>
            </w:r>
            <w:r w:rsidR="00EE2E51">
              <w:t>Ausweis bisher noch nicht eindeutig geklärt;</w:t>
            </w:r>
          </w:p>
          <w:p w:rsidR="0091405A" w:rsidRPr="002B6CD6" w:rsidRDefault="00EE2E51" w:rsidP="00EE2E51">
            <w:pPr>
              <w:spacing w:before="0"/>
            </w:pPr>
            <w:r>
              <w:t xml:space="preserve">Da es sich </w:t>
            </w:r>
            <w:r w:rsidRPr="005813C4">
              <w:rPr>
                <w:b/>
              </w:rPr>
              <w:t>nicht um ein gesetzliches Zahlungsmittel</w:t>
            </w:r>
            <w:r>
              <w:t xml:space="preserve"> handelt, scheidet ein Ausweis unter den liquiden Mitteln aus. Nach herrschender Ansicht handelt es sich um einen </w:t>
            </w:r>
            <w:r w:rsidRPr="005813C4">
              <w:rPr>
                <w:b/>
              </w:rPr>
              <w:t>immateriellen Vermögensgegenstand</w:t>
            </w:r>
            <w:r>
              <w:t>, der je nach Verwendungsabsicht unter dem Anlagevermögen (§ 266 Abs. 2 A. I. Nr. 2 HGB) oder dem Umlaufvermögen (§ 266 Abs. 2 B. II. Nr. 4 HGB) als sonstiger Vermögensgegenstand auszuweisen ist.</w:t>
            </w:r>
          </w:p>
        </w:tc>
        <w:tc>
          <w:tcPr>
            <w:tcW w:w="624" w:type="dxa"/>
            <w:shd w:val="clear" w:color="auto" w:fill="auto"/>
            <w:vAlign w:val="center"/>
          </w:tcPr>
          <w:p w:rsidR="0091405A" w:rsidRDefault="0091405A" w:rsidP="0091405A">
            <w:pPr>
              <w:spacing w:before="0"/>
              <w:jc w:val="center"/>
              <w:rPr>
                <w:rFonts w:ascii="Wingdings" w:hAnsi="Wingdings" w:cs="Wingdings"/>
                <w:sz w:val="26"/>
                <w:szCs w:val="26"/>
              </w:rPr>
            </w:pPr>
          </w:p>
        </w:tc>
        <w:tc>
          <w:tcPr>
            <w:tcW w:w="656" w:type="dxa"/>
            <w:shd w:val="clear" w:color="auto" w:fill="auto"/>
            <w:vAlign w:val="center"/>
          </w:tcPr>
          <w:p w:rsidR="0091405A" w:rsidRDefault="0091405A" w:rsidP="0091405A">
            <w:pPr>
              <w:spacing w:before="0"/>
              <w:jc w:val="center"/>
              <w:rPr>
                <w:rFonts w:ascii="Wingdings" w:hAnsi="Wingdings" w:cs="Wingdings"/>
                <w:sz w:val="26"/>
                <w:szCs w:val="26"/>
              </w:rPr>
            </w:pPr>
          </w:p>
        </w:tc>
      </w:tr>
    </w:tbl>
    <w:p w:rsidR="00B929CA" w:rsidRDefault="00B929CA" w:rsidP="0067331C">
      <w:pPr>
        <w:rPr>
          <w:szCs w:val="28"/>
        </w:rPr>
      </w:pPr>
    </w:p>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5813C4" w:rsidRPr="00E65739" w:rsidTr="00C2478A">
        <w:tc>
          <w:tcPr>
            <w:tcW w:w="7767" w:type="dxa"/>
            <w:tcBorders>
              <w:top w:val="single" w:sz="4" w:space="0" w:color="auto"/>
              <w:right w:val="single" w:sz="4" w:space="0" w:color="FFFFFF"/>
            </w:tcBorders>
            <w:shd w:val="clear" w:color="auto" w:fill="D9D9D9" w:themeFill="background1" w:themeFillShade="D9"/>
          </w:tcPr>
          <w:p w:rsidR="005813C4" w:rsidRPr="00E65739" w:rsidRDefault="005813C4" w:rsidP="00C2478A">
            <w:pPr>
              <w:spacing w:before="0"/>
              <w:rPr>
                <w:b/>
                <w:sz w:val="24"/>
                <w:szCs w:val="28"/>
              </w:rPr>
            </w:pPr>
            <w:r>
              <w:rPr>
                <w:b/>
                <w:sz w:val="24"/>
                <w:szCs w:val="28"/>
              </w:rPr>
              <w:t>Frage 2</w:t>
            </w:r>
          </w:p>
        </w:tc>
        <w:tc>
          <w:tcPr>
            <w:tcW w:w="624" w:type="dxa"/>
            <w:tcBorders>
              <w:top w:val="single" w:sz="4" w:space="0" w:color="auto"/>
              <w:left w:val="single" w:sz="4" w:space="0" w:color="FFFFFF"/>
            </w:tcBorders>
            <w:shd w:val="clear" w:color="auto" w:fill="D9D9D9" w:themeFill="background1" w:themeFillShade="D9"/>
          </w:tcPr>
          <w:p w:rsidR="005813C4" w:rsidRPr="000773A3" w:rsidRDefault="005813C4" w:rsidP="00C2478A">
            <w:pPr>
              <w:spacing w:before="0"/>
              <w:jc w:val="center"/>
              <w:rPr>
                <w:sz w:val="20"/>
                <w:szCs w:val="28"/>
              </w:rPr>
            </w:pPr>
            <w:r w:rsidRPr="000773A3">
              <w:rPr>
                <w:sz w:val="20"/>
                <w:szCs w:val="28"/>
              </w:rPr>
              <w:t>Ja</w:t>
            </w:r>
          </w:p>
        </w:tc>
        <w:tc>
          <w:tcPr>
            <w:tcW w:w="656" w:type="dxa"/>
            <w:tcBorders>
              <w:top w:val="single" w:sz="4" w:space="0" w:color="auto"/>
            </w:tcBorders>
            <w:shd w:val="clear" w:color="auto" w:fill="D9D9D9" w:themeFill="background1" w:themeFillShade="D9"/>
          </w:tcPr>
          <w:p w:rsidR="005813C4" w:rsidRPr="000773A3" w:rsidRDefault="005813C4" w:rsidP="00C2478A">
            <w:pPr>
              <w:spacing w:before="0"/>
              <w:jc w:val="center"/>
              <w:rPr>
                <w:sz w:val="20"/>
                <w:szCs w:val="28"/>
              </w:rPr>
            </w:pPr>
            <w:r w:rsidRPr="000773A3">
              <w:rPr>
                <w:sz w:val="20"/>
                <w:szCs w:val="28"/>
              </w:rPr>
              <w:t>Nein</w:t>
            </w:r>
          </w:p>
        </w:tc>
      </w:tr>
      <w:tr w:rsidR="005813C4" w:rsidRPr="00E65739" w:rsidTr="00C2478A">
        <w:trPr>
          <w:gridAfter w:val="2"/>
          <w:wAfter w:w="1280" w:type="dxa"/>
        </w:trPr>
        <w:tc>
          <w:tcPr>
            <w:tcW w:w="7767" w:type="dxa"/>
            <w:shd w:val="clear" w:color="auto" w:fill="auto"/>
            <w:vAlign w:val="center"/>
          </w:tcPr>
          <w:p w:rsidR="005813C4" w:rsidRDefault="005813C4" w:rsidP="00C2478A">
            <w:pPr>
              <w:spacing w:before="0"/>
              <w:jc w:val="left"/>
              <w:rPr>
                <w:b/>
                <w:sz w:val="24"/>
                <w:szCs w:val="28"/>
              </w:rPr>
            </w:pPr>
            <w:r w:rsidRPr="005813C4">
              <w:rPr>
                <w:szCs w:val="22"/>
              </w:rPr>
              <w:t>Welche der folgenden Aussagen sind zutreffend?</w:t>
            </w:r>
          </w:p>
        </w:tc>
      </w:tr>
      <w:tr w:rsidR="005813C4" w:rsidRPr="00E65739" w:rsidTr="00C2478A">
        <w:tc>
          <w:tcPr>
            <w:tcW w:w="7767" w:type="dxa"/>
            <w:shd w:val="clear" w:color="auto" w:fill="auto"/>
            <w:vAlign w:val="center"/>
          </w:tcPr>
          <w:p w:rsidR="005813C4" w:rsidRPr="001F3BFE" w:rsidRDefault="005813C4" w:rsidP="005813C4">
            <w:pPr>
              <w:pStyle w:val="Listenabsatz"/>
              <w:numPr>
                <w:ilvl w:val="0"/>
                <w:numId w:val="29"/>
              </w:numPr>
              <w:spacing w:before="0"/>
              <w:ind w:left="454" w:hanging="425"/>
            </w:pPr>
            <w:r w:rsidRPr="005813C4">
              <w:t>Eingeräumte, aber noch nicht in Anspruch genommene Kredite sind bei dem Posten Liquide Mittel - Guthaben bei Kreditinstituten auszuweisen.</w:t>
            </w:r>
            <w:bookmarkStart w:id="1" w:name="_GoBack"/>
            <w:bookmarkEnd w:id="1"/>
          </w:p>
        </w:tc>
        <w:tc>
          <w:tcPr>
            <w:tcW w:w="624" w:type="dxa"/>
            <w:shd w:val="clear" w:color="auto" w:fill="auto"/>
            <w:vAlign w:val="center"/>
          </w:tcPr>
          <w:p w:rsidR="005813C4" w:rsidRDefault="005813C4"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5813C4" w:rsidRDefault="005813C4" w:rsidP="00C2478A">
            <w:pPr>
              <w:spacing w:before="0"/>
              <w:jc w:val="center"/>
              <w:rPr>
                <w:b/>
                <w:sz w:val="24"/>
                <w:szCs w:val="28"/>
              </w:rPr>
            </w:pPr>
            <w:r>
              <w:rPr>
                <w:rFonts w:ascii="Wingdings" w:hAnsi="Wingdings" w:cs="Wingdings"/>
                <w:sz w:val="26"/>
                <w:szCs w:val="26"/>
              </w:rPr>
              <w:t></w:t>
            </w:r>
          </w:p>
        </w:tc>
      </w:tr>
      <w:tr w:rsidR="005813C4" w:rsidRPr="00E65739" w:rsidTr="00C2478A">
        <w:tc>
          <w:tcPr>
            <w:tcW w:w="7767" w:type="dxa"/>
            <w:shd w:val="clear" w:color="auto" w:fill="auto"/>
            <w:vAlign w:val="center"/>
          </w:tcPr>
          <w:p w:rsidR="005813C4" w:rsidRDefault="005813C4" w:rsidP="005813C4">
            <w:pPr>
              <w:pStyle w:val="Listenabsatz"/>
              <w:numPr>
                <w:ilvl w:val="0"/>
                <w:numId w:val="29"/>
              </w:numPr>
              <w:spacing w:before="0"/>
              <w:ind w:left="454" w:hanging="425"/>
              <w:jc w:val="left"/>
            </w:pPr>
            <w:r w:rsidRPr="005813C4">
              <w:t>„Der Jahresabschluss ist in deutscher Sprache und in Euro aufzustellen (§ 244 HGB).“ Die Umrechnung und Bewertung von Guthaben bei Kreditinstituten in fremder Währung hat zum Bilanzstichtag mit dem Devisenkassamittelkurs zu erfolgen.</w:t>
            </w:r>
          </w:p>
        </w:tc>
        <w:tc>
          <w:tcPr>
            <w:tcW w:w="624" w:type="dxa"/>
            <w:shd w:val="clear" w:color="auto" w:fill="auto"/>
            <w:vAlign w:val="center"/>
          </w:tcPr>
          <w:p w:rsidR="005813C4" w:rsidRDefault="005813C4" w:rsidP="00C2478A">
            <w:pPr>
              <w:spacing w:before="0"/>
              <w:jc w:val="center"/>
              <w:rPr>
                <w:b/>
                <w:sz w:val="24"/>
                <w:szCs w:val="28"/>
              </w:rPr>
            </w:pPr>
            <w:r>
              <w:rPr>
                <w:rFonts w:ascii="Wingdings" w:hAnsi="Wingdings" w:cs="Wingdings"/>
                <w:sz w:val="26"/>
                <w:szCs w:val="26"/>
              </w:rPr>
              <w:t></w:t>
            </w:r>
          </w:p>
        </w:tc>
        <w:tc>
          <w:tcPr>
            <w:tcW w:w="656" w:type="dxa"/>
            <w:shd w:val="clear" w:color="auto" w:fill="auto"/>
            <w:vAlign w:val="center"/>
          </w:tcPr>
          <w:p w:rsidR="005813C4" w:rsidRDefault="005813C4" w:rsidP="00C2478A">
            <w:pPr>
              <w:spacing w:before="0"/>
              <w:jc w:val="center"/>
              <w:rPr>
                <w:b/>
                <w:sz w:val="24"/>
                <w:szCs w:val="28"/>
              </w:rPr>
            </w:pPr>
            <w:r>
              <w:rPr>
                <w:rFonts w:ascii="Wingdings" w:hAnsi="Wingdings" w:cs="Wingdings"/>
                <w:sz w:val="26"/>
                <w:szCs w:val="26"/>
              </w:rPr>
              <w:t></w:t>
            </w:r>
          </w:p>
        </w:tc>
      </w:tr>
      <w:tr w:rsidR="005813C4" w:rsidRPr="00E65739" w:rsidTr="00C2478A">
        <w:tc>
          <w:tcPr>
            <w:tcW w:w="7767" w:type="dxa"/>
            <w:shd w:val="clear" w:color="auto" w:fill="auto"/>
            <w:vAlign w:val="center"/>
          </w:tcPr>
          <w:p w:rsidR="005813C4" w:rsidRPr="001F3BFE" w:rsidRDefault="005813C4" w:rsidP="005813C4">
            <w:pPr>
              <w:pStyle w:val="Listenabsatz"/>
              <w:numPr>
                <w:ilvl w:val="0"/>
                <w:numId w:val="29"/>
              </w:numPr>
              <w:spacing w:before="0"/>
              <w:ind w:left="454" w:hanging="425"/>
              <w:jc w:val="left"/>
            </w:pPr>
            <w:r w:rsidRPr="005813C4">
              <w:t>Bei der Bewertung von Guthaben bei Kreditinstituten in fremder Währung zum Bilanzstichtag sind immer auch Informationen und Nachweise zur Restlaufzeit einzuholen.</w:t>
            </w:r>
          </w:p>
        </w:tc>
        <w:tc>
          <w:tcPr>
            <w:tcW w:w="624" w:type="dxa"/>
            <w:shd w:val="clear" w:color="auto" w:fill="auto"/>
            <w:vAlign w:val="center"/>
          </w:tcPr>
          <w:p w:rsidR="005813C4" w:rsidRDefault="005813C4" w:rsidP="00C2478A">
            <w:pPr>
              <w:spacing w:before="0"/>
              <w:jc w:val="center"/>
              <w:rPr>
                <w:rFonts w:ascii="Wingdings" w:hAnsi="Wingdings" w:cs="Wingdings"/>
                <w:sz w:val="26"/>
                <w:szCs w:val="26"/>
              </w:rPr>
            </w:pPr>
            <w:r>
              <w:rPr>
                <w:rFonts w:ascii="Wingdings" w:hAnsi="Wingdings" w:cs="Wingdings"/>
                <w:sz w:val="26"/>
                <w:szCs w:val="26"/>
              </w:rPr>
              <w:t></w:t>
            </w:r>
          </w:p>
        </w:tc>
        <w:tc>
          <w:tcPr>
            <w:tcW w:w="656" w:type="dxa"/>
            <w:shd w:val="clear" w:color="auto" w:fill="auto"/>
            <w:vAlign w:val="center"/>
          </w:tcPr>
          <w:p w:rsidR="005813C4" w:rsidRDefault="005813C4" w:rsidP="00C2478A">
            <w:pPr>
              <w:spacing w:before="0"/>
              <w:jc w:val="center"/>
              <w:rPr>
                <w:rFonts w:ascii="Wingdings" w:hAnsi="Wingdings" w:cs="Wingdings"/>
                <w:sz w:val="26"/>
                <w:szCs w:val="26"/>
              </w:rPr>
            </w:pPr>
            <w:r>
              <w:rPr>
                <w:rFonts w:ascii="Wingdings" w:hAnsi="Wingdings" w:cs="Wingdings"/>
                <w:sz w:val="26"/>
                <w:szCs w:val="26"/>
              </w:rPr>
              <w:t></w:t>
            </w:r>
          </w:p>
        </w:tc>
      </w:tr>
    </w:tbl>
    <w:p w:rsidR="005813C4" w:rsidRDefault="005813C4" w:rsidP="0067331C">
      <w:pPr>
        <w:rPr>
          <w:szCs w:val="28"/>
        </w:rPr>
      </w:pPr>
    </w:p>
    <w:tbl>
      <w:tblPr>
        <w:tblStyle w:val="Tabellenrast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767"/>
        <w:gridCol w:w="624"/>
        <w:gridCol w:w="656"/>
      </w:tblGrid>
      <w:tr w:rsidR="005813C4" w:rsidRPr="000773A3" w:rsidTr="00C2478A">
        <w:tc>
          <w:tcPr>
            <w:tcW w:w="7767" w:type="dxa"/>
            <w:shd w:val="clear" w:color="auto" w:fill="F2F2F2" w:themeFill="background1" w:themeFillShade="F2"/>
          </w:tcPr>
          <w:p w:rsidR="005813C4" w:rsidRPr="00E65739" w:rsidRDefault="005813C4" w:rsidP="00C2478A">
            <w:pPr>
              <w:spacing w:before="0"/>
              <w:rPr>
                <w:b/>
                <w:sz w:val="24"/>
                <w:szCs w:val="28"/>
              </w:rPr>
            </w:pPr>
            <w:r>
              <w:rPr>
                <w:b/>
                <w:sz w:val="24"/>
                <w:szCs w:val="28"/>
              </w:rPr>
              <w:lastRenderedPageBreak/>
              <w:t>Lösungshinweise zu Frage 2</w:t>
            </w:r>
          </w:p>
        </w:tc>
        <w:tc>
          <w:tcPr>
            <w:tcW w:w="624" w:type="dxa"/>
            <w:shd w:val="clear" w:color="auto" w:fill="F2F2F2" w:themeFill="background1" w:themeFillShade="F2"/>
          </w:tcPr>
          <w:p w:rsidR="005813C4" w:rsidRPr="000773A3" w:rsidRDefault="005813C4" w:rsidP="00C2478A">
            <w:pPr>
              <w:spacing w:before="0"/>
              <w:jc w:val="center"/>
              <w:rPr>
                <w:sz w:val="20"/>
                <w:szCs w:val="28"/>
              </w:rPr>
            </w:pPr>
          </w:p>
        </w:tc>
        <w:tc>
          <w:tcPr>
            <w:tcW w:w="656" w:type="dxa"/>
            <w:shd w:val="clear" w:color="auto" w:fill="F2F2F2" w:themeFill="background1" w:themeFillShade="F2"/>
          </w:tcPr>
          <w:p w:rsidR="005813C4" w:rsidRPr="000773A3" w:rsidRDefault="005813C4" w:rsidP="00C2478A">
            <w:pPr>
              <w:spacing w:before="0"/>
              <w:jc w:val="center"/>
              <w:rPr>
                <w:sz w:val="20"/>
                <w:szCs w:val="28"/>
              </w:rPr>
            </w:pPr>
          </w:p>
        </w:tc>
      </w:tr>
      <w:tr w:rsidR="005813C4" w:rsidRPr="00E65739" w:rsidTr="00C2478A">
        <w:tc>
          <w:tcPr>
            <w:tcW w:w="7767" w:type="dxa"/>
            <w:shd w:val="clear" w:color="auto" w:fill="auto"/>
          </w:tcPr>
          <w:p w:rsidR="005813C4" w:rsidRPr="002B6CD6" w:rsidRDefault="005813C4" w:rsidP="00C2478A">
            <w:pPr>
              <w:spacing w:before="0"/>
            </w:pPr>
            <w:r>
              <w:rPr>
                <w:b/>
              </w:rPr>
              <w:t>z</w:t>
            </w:r>
            <w:r w:rsidRPr="0091405A">
              <w:rPr>
                <w:b/>
              </w:rPr>
              <w:t>u a)</w:t>
            </w:r>
            <w:r w:rsidRPr="002B6CD6">
              <w:t xml:space="preserve"> </w:t>
            </w:r>
            <w:r w:rsidRPr="005813C4">
              <w:t>Eingeräumte, aber noch nicht in Anspruch genommene Kredite stellen keine Guthaben dar (Beck, 11. Aufl., Tz. 150 ff. zu § 266 HGB).</w:t>
            </w:r>
          </w:p>
        </w:tc>
        <w:tc>
          <w:tcPr>
            <w:tcW w:w="624" w:type="dxa"/>
            <w:shd w:val="clear" w:color="auto" w:fill="auto"/>
            <w:vAlign w:val="center"/>
          </w:tcPr>
          <w:p w:rsidR="005813C4" w:rsidRDefault="005813C4" w:rsidP="00C2478A">
            <w:pPr>
              <w:spacing w:before="0"/>
              <w:jc w:val="center"/>
              <w:rPr>
                <w:rFonts w:ascii="Wingdings" w:hAnsi="Wingdings" w:cs="Wingdings"/>
                <w:sz w:val="26"/>
                <w:szCs w:val="26"/>
              </w:rPr>
            </w:pPr>
          </w:p>
        </w:tc>
        <w:tc>
          <w:tcPr>
            <w:tcW w:w="656" w:type="dxa"/>
            <w:shd w:val="clear" w:color="auto" w:fill="auto"/>
            <w:vAlign w:val="center"/>
          </w:tcPr>
          <w:p w:rsidR="005813C4" w:rsidRDefault="005813C4" w:rsidP="00C2478A">
            <w:pPr>
              <w:spacing w:before="0"/>
              <w:jc w:val="center"/>
              <w:rPr>
                <w:rFonts w:ascii="Wingdings" w:hAnsi="Wingdings" w:cs="Wingdings"/>
                <w:sz w:val="26"/>
                <w:szCs w:val="26"/>
              </w:rPr>
            </w:pPr>
          </w:p>
        </w:tc>
      </w:tr>
      <w:tr w:rsidR="005813C4" w:rsidRPr="00E65739" w:rsidTr="00C2478A">
        <w:tc>
          <w:tcPr>
            <w:tcW w:w="7767" w:type="dxa"/>
            <w:shd w:val="clear" w:color="auto" w:fill="auto"/>
          </w:tcPr>
          <w:p w:rsidR="005813C4" w:rsidRPr="002B6CD6" w:rsidRDefault="005813C4" w:rsidP="00C2478A">
            <w:pPr>
              <w:spacing w:before="0"/>
            </w:pPr>
            <w:r>
              <w:rPr>
                <w:b/>
              </w:rPr>
              <w:t>z</w:t>
            </w:r>
            <w:r w:rsidRPr="0091405A">
              <w:rPr>
                <w:b/>
              </w:rPr>
              <w:t>u b)</w:t>
            </w:r>
            <w:r w:rsidRPr="002B6CD6">
              <w:t xml:space="preserve"> </w:t>
            </w:r>
            <w:r w:rsidRPr="005813C4">
              <w:t>Der Devisenkassamittelkurs ist das arithmetische Mittel aus Brief- und Geldkurs.</w:t>
            </w:r>
          </w:p>
        </w:tc>
        <w:tc>
          <w:tcPr>
            <w:tcW w:w="624" w:type="dxa"/>
            <w:shd w:val="clear" w:color="auto" w:fill="auto"/>
            <w:vAlign w:val="center"/>
          </w:tcPr>
          <w:p w:rsidR="005813C4" w:rsidRDefault="005813C4" w:rsidP="00C2478A">
            <w:pPr>
              <w:spacing w:before="0"/>
              <w:jc w:val="center"/>
              <w:rPr>
                <w:rFonts w:ascii="Wingdings" w:hAnsi="Wingdings" w:cs="Wingdings"/>
                <w:sz w:val="26"/>
                <w:szCs w:val="26"/>
              </w:rPr>
            </w:pPr>
          </w:p>
        </w:tc>
        <w:tc>
          <w:tcPr>
            <w:tcW w:w="656" w:type="dxa"/>
            <w:shd w:val="clear" w:color="auto" w:fill="auto"/>
            <w:vAlign w:val="center"/>
          </w:tcPr>
          <w:p w:rsidR="005813C4" w:rsidRDefault="005813C4" w:rsidP="00C2478A">
            <w:pPr>
              <w:spacing w:before="0"/>
              <w:jc w:val="center"/>
              <w:rPr>
                <w:rFonts w:ascii="Wingdings" w:hAnsi="Wingdings" w:cs="Wingdings"/>
                <w:sz w:val="26"/>
                <w:szCs w:val="26"/>
              </w:rPr>
            </w:pPr>
          </w:p>
        </w:tc>
      </w:tr>
      <w:tr w:rsidR="005813C4" w:rsidRPr="00E65739" w:rsidTr="00C2478A">
        <w:tc>
          <w:tcPr>
            <w:tcW w:w="7767" w:type="dxa"/>
            <w:shd w:val="clear" w:color="auto" w:fill="auto"/>
          </w:tcPr>
          <w:p w:rsidR="005813C4" w:rsidRDefault="005813C4" w:rsidP="00C2478A">
            <w:pPr>
              <w:spacing w:before="0"/>
            </w:pPr>
            <w:r w:rsidRPr="0091405A">
              <w:rPr>
                <w:b/>
              </w:rPr>
              <w:t>zu c)</w:t>
            </w:r>
            <w:r w:rsidRPr="002B6CD6">
              <w:t xml:space="preserve"> </w:t>
            </w:r>
            <w:r w:rsidRPr="005813C4">
              <w:t>Für den Posten Guthaben bei Kreditinstituten gilt zwar grundsätzlich das AK-/HK- und Realisationsprinzip. Daneben ist jedoch § 256a HGB zu beachten.</w:t>
            </w:r>
          </w:p>
          <w:p w:rsidR="005813C4" w:rsidRDefault="005813C4" w:rsidP="00C2478A">
            <w:pPr>
              <w:spacing w:before="0"/>
            </w:pPr>
          </w:p>
          <w:p w:rsidR="005813C4" w:rsidRDefault="005813C4" w:rsidP="00C2478A">
            <w:pPr>
              <w:spacing w:before="0"/>
            </w:pPr>
            <w:r w:rsidRPr="005813C4">
              <w:t xml:space="preserve">„Auf fremde Währung lautende Vermögensgegenstände und Verbindlichkeiten sind zum Devisenkassamittelkurs am Abschlussstichtag umzurechnen. </w:t>
            </w:r>
            <w:r w:rsidRPr="00DE6C31">
              <w:rPr>
                <w:b/>
              </w:rPr>
              <w:t>Bei einer Restlaufzeit von einem Jahr oder weniger sind § 253 Abs. 1 Satz 1 und § 252 Abs. 1 Nr. 4 Halbsatz 2 nicht anzuwenden.</w:t>
            </w:r>
            <w:r w:rsidRPr="005813C4">
              <w:t>“</w:t>
            </w:r>
          </w:p>
          <w:p w:rsidR="005813C4" w:rsidRDefault="005813C4" w:rsidP="00C2478A">
            <w:pPr>
              <w:spacing w:before="0"/>
            </w:pPr>
          </w:p>
          <w:p w:rsidR="005813C4" w:rsidRPr="005813C4" w:rsidRDefault="005813C4" w:rsidP="00C2478A">
            <w:pPr>
              <w:spacing w:before="0"/>
              <w:rPr>
                <w:u w:val="single"/>
              </w:rPr>
            </w:pPr>
            <w:r w:rsidRPr="005813C4">
              <w:rPr>
                <w:u w:val="single"/>
              </w:rPr>
              <w:t>§ 253 Abs. 1 S. 1 HGB</w:t>
            </w:r>
          </w:p>
          <w:p w:rsidR="005813C4" w:rsidRDefault="005813C4" w:rsidP="00C2478A">
            <w:pPr>
              <w:spacing w:before="0"/>
            </w:pPr>
            <w:r w:rsidRPr="005813C4">
              <w:t>„Vermögensgegenstände sind höchstens mit den Anschaffungs- oder Herstellungskosten, vermindert um die Abschreibungen nach den Absätzen 3 bis 5, anzusetzen.</w:t>
            </w:r>
          </w:p>
          <w:p w:rsidR="005813C4" w:rsidRDefault="005813C4" w:rsidP="00C2478A">
            <w:pPr>
              <w:spacing w:before="0"/>
            </w:pPr>
          </w:p>
          <w:p w:rsidR="005813C4" w:rsidRPr="005813C4" w:rsidRDefault="005813C4" w:rsidP="00C2478A">
            <w:pPr>
              <w:spacing w:before="0"/>
              <w:rPr>
                <w:u w:val="single"/>
              </w:rPr>
            </w:pPr>
            <w:r w:rsidRPr="005813C4">
              <w:rPr>
                <w:u w:val="single"/>
              </w:rPr>
              <w:t>252 Abs. 1 Nr. 4 HGB</w:t>
            </w:r>
          </w:p>
          <w:p w:rsidR="005813C4" w:rsidRPr="002B6CD6" w:rsidRDefault="005813C4" w:rsidP="00C2478A">
            <w:pPr>
              <w:spacing w:before="0"/>
            </w:pPr>
            <w:r w:rsidRPr="005813C4">
              <w:t>„Es ist vorsichtig zu bewerten, namentlich sind alle vorhersehbaren Risiken und Verluste, die bis zum Abschlussstichtag entstanden sind, zu berücksichtigen, selbst wenn diese erst zwischen dem Abschlussstichtag und dem Tag der Aufstellung des Jahresabschlusses bekanntgeworden sind; Gewinne sind nur zu berücksichtigen, wenn sie am Abschlussstichtag realisiert sind.“</w:t>
            </w:r>
          </w:p>
        </w:tc>
        <w:tc>
          <w:tcPr>
            <w:tcW w:w="624" w:type="dxa"/>
            <w:shd w:val="clear" w:color="auto" w:fill="auto"/>
            <w:vAlign w:val="center"/>
          </w:tcPr>
          <w:p w:rsidR="005813C4" w:rsidRDefault="005813C4" w:rsidP="00C2478A">
            <w:pPr>
              <w:spacing w:before="0"/>
              <w:jc w:val="center"/>
              <w:rPr>
                <w:rFonts w:ascii="Wingdings" w:hAnsi="Wingdings" w:cs="Wingdings"/>
                <w:sz w:val="26"/>
                <w:szCs w:val="26"/>
              </w:rPr>
            </w:pPr>
          </w:p>
        </w:tc>
        <w:tc>
          <w:tcPr>
            <w:tcW w:w="656" w:type="dxa"/>
            <w:shd w:val="clear" w:color="auto" w:fill="auto"/>
            <w:vAlign w:val="center"/>
          </w:tcPr>
          <w:p w:rsidR="005813C4" w:rsidRDefault="005813C4" w:rsidP="00C2478A">
            <w:pPr>
              <w:spacing w:before="0"/>
              <w:jc w:val="center"/>
              <w:rPr>
                <w:rFonts w:ascii="Wingdings" w:hAnsi="Wingdings" w:cs="Wingdings"/>
                <w:sz w:val="26"/>
                <w:szCs w:val="26"/>
              </w:rPr>
            </w:pPr>
          </w:p>
        </w:tc>
      </w:tr>
    </w:tbl>
    <w:p w:rsidR="005813C4" w:rsidRPr="00BC04E1" w:rsidRDefault="005813C4" w:rsidP="0067331C">
      <w:pPr>
        <w:rPr>
          <w:szCs w:val="28"/>
        </w:rPr>
      </w:pPr>
    </w:p>
    <w:sectPr w:rsidR="005813C4" w:rsidRPr="00BC04E1" w:rsidSect="00885CEC">
      <w:headerReference w:type="default" r:id="rId9"/>
      <w:footerReference w:type="default" r:id="rId10"/>
      <w:headerReference w:type="first" r:id="rId11"/>
      <w:footerReference w:type="first" r:id="rId12"/>
      <w:type w:val="continuous"/>
      <w:pgSz w:w="11907" w:h="16839" w:code="9"/>
      <w:pgMar w:top="1099" w:right="1701" w:bottom="1134" w:left="1134" w:header="113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E51" w:rsidRDefault="007F3E51">
      <w:pPr>
        <w:spacing w:before="0"/>
      </w:pPr>
      <w:r>
        <w:separator/>
      </w:r>
    </w:p>
  </w:endnote>
  <w:endnote w:type="continuationSeparator" w:id="0">
    <w:p w:rsidR="007F3E51" w:rsidRDefault="007F3E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E0" w:rsidRDefault="00DE6C31" w:rsidP="002062E0">
    <w:pPr>
      <w:tabs>
        <w:tab w:val="center" w:pos="4536"/>
        <w:tab w:val="right" w:pos="9072"/>
      </w:tabs>
      <w:spacing w:before="0"/>
      <w:rPr>
        <w:rFonts w:eastAsiaTheme="minorHAnsi"/>
        <w:noProof/>
        <w:sz w:val="20"/>
      </w:rPr>
    </w:pPr>
    <w:r>
      <w:rPr>
        <w:noProof/>
        <w:szCs w:val="22"/>
      </w:rPr>
      <w:drawing>
        <wp:anchor distT="0" distB="0" distL="114300" distR="114300" simplePos="0" relativeHeight="251659264" behindDoc="1" locked="0" layoutInCell="1" allowOverlap="1" wp14:anchorId="3430CA09" wp14:editId="4EC3787C">
          <wp:simplePos x="0" y="0"/>
          <wp:positionH relativeFrom="column">
            <wp:posOffset>1543050</wp:posOffset>
          </wp:positionH>
          <wp:positionV relativeFrom="page">
            <wp:posOffset>10020935</wp:posOffset>
          </wp:positionV>
          <wp:extent cx="2419350" cy="342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342900"/>
                  </a:xfrm>
                  <a:prstGeom prst="rect">
                    <a:avLst/>
                  </a:prstGeom>
                  <a:noFill/>
                  <a:ln>
                    <a:noFill/>
                  </a:ln>
                </pic:spPr>
              </pic:pic>
            </a:graphicData>
          </a:graphic>
        </wp:anchor>
      </w:drawing>
    </w:r>
    <w:r w:rsidR="002062E0" w:rsidRPr="006C672A">
      <w:rPr>
        <w:sz w:val="20"/>
      </w:rPr>
      <w:t xml:space="preserve">Seite: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PAGE   \* MERGEFORMAT</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r w:rsidR="002062E0"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002062E0" w:rsidRPr="006C672A">
          <w:rPr>
            <w:rFonts w:eastAsiaTheme="minorHAnsi" w:cstheme="minorBidi"/>
            <w:sz w:val="20"/>
            <w:lang w:eastAsia="en-US"/>
          </w:rPr>
          <w:t xml:space="preserve">von </w:t>
        </w:r>
        <w:r w:rsidR="002062E0" w:rsidRPr="006C672A">
          <w:rPr>
            <w:rFonts w:eastAsiaTheme="minorHAnsi" w:cstheme="minorBidi"/>
            <w:sz w:val="20"/>
            <w:lang w:eastAsia="en-US"/>
          </w:rPr>
          <w:fldChar w:fldCharType="begin"/>
        </w:r>
        <w:r w:rsidR="002062E0" w:rsidRPr="006C672A">
          <w:rPr>
            <w:rFonts w:eastAsiaTheme="minorHAnsi" w:cstheme="minorBidi"/>
            <w:sz w:val="20"/>
            <w:lang w:eastAsia="en-US"/>
          </w:rPr>
          <w:instrText xml:space="preserve"> NUMPAGES  \* Arabic  \* MERGEFORMAT </w:instrText>
        </w:r>
        <w:r w:rsidR="002062E0" w:rsidRPr="006C672A">
          <w:rPr>
            <w:rFonts w:eastAsiaTheme="minorHAnsi" w:cstheme="minorBidi"/>
            <w:sz w:val="20"/>
            <w:lang w:eastAsia="en-US"/>
          </w:rPr>
          <w:fldChar w:fldCharType="separate"/>
        </w:r>
        <w:r w:rsidR="002062E0">
          <w:rPr>
            <w:rFonts w:eastAsiaTheme="minorHAnsi"/>
            <w:sz w:val="20"/>
            <w:lang w:eastAsia="en-US"/>
          </w:rPr>
          <w:t>1</w:t>
        </w:r>
        <w:r w:rsidR="002062E0" w:rsidRPr="006C672A">
          <w:rPr>
            <w:rFonts w:eastAsiaTheme="minorHAnsi" w:cstheme="minorBidi"/>
            <w:sz w:val="20"/>
            <w:lang w:eastAsia="en-US"/>
          </w:rPr>
          <w:fldChar w:fldCharType="end"/>
        </w:r>
      </w:sdtContent>
    </w:sdt>
    <w:r w:rsidR="002062E0">
      <w:rPr>
        <w:rFonts w:eastAsiaTheme="minorHAnsi"/>
        <w:noProof/>
        <w:sz w:val="20"/>
      </w:rPr>
      <w:t xml:space="preserve"> </w:t>
    </w:r>
  </w:p>
  <w:p w:rsidR="007F3E51" w:rsidRPr="002062E0" w:rsidRDefault="002062E0" w:rsidP="002062E0">
    <w:pPr>
      <w:tabs>
        <w:tab w:val="center" w:pos="4536"/>
        <w:tab w:val="right" w:pos="9072"/>
      </w:tabs>
      <w:spacing w:before="0"/>
      <w:rPr>
        <w:rFonts w:eastAsiaTheme="minorHAnsi"/>
        <w:sz w:val="20"/>
        <w:lang w:eastAsia="en-US"/>
      </w:rPr>
    </w:pPr>
    <w:r w:rsidRPr="00A429AD">
      <w:rPr>
        <w:rFonts w:eastAsiaTheme="minorHAnsi"/>
        <w:b/>
        <w:noProof/>
        <w:color w:val="00B0F0"/>
        <w:sz w:val="20"/>
      </w:rPr>
      <w:t>JA</w:t>
    </w:r>
    <w:r w:rsidR="00E65773">
      <w:rPr>
        <w:rFonts w:eastAsiaTheme="minorHAnsi"/>
        <w:b/>
        <w:noProof/>
        <w:color w:val="00B0F0"/>
        <w:sz w:val="20"/>
      </w:rPr>
      <w:t>E</w:t>
    </w:r>
    <w:r w:rsidRPr="00A429AD">
      <w:rPr>
        <w:rFonts w:eastAsiaTheme="minorHAnsi"/>
        <w:b/>
        <w:noProof/>
        <w:color w:val="00B0F0"/>
        <w:sz w:val="20"/>
      </w:rPr>
      <w:t xml:space="preserve"> 1</w:t>
    </w:r>
    <w:r>
      <w:rPr>
        <w:rFonts w:eastAsiaTheme="minorHAnsi"/>
        <w:noProof/>
        <w:sz w:val="20"/>
      </w:rPr>
      <w:tab/>
    </w:r>
    <w:r>
      <w:rPr>
        <w:sz w:val="20"/>
      </w:rPr>
      <w:tab/>
    </w:r>
    <w:r w:rsidR="00E952AA">
      <w:rPr>
        <w:rFonts w:eastAsiaTheme="minorHAnsi" w:cstheme="minorBidi"/>
        <w:b/>
        <w:color w:val="00B0F0"/>
        <w:sz w:val="20"/>
        <w:lang w:eastAsia="en-US"/>
      </w:rPr>
      <w:t>Lösungen PF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E211D2" w:rsidRDefault="007F3E51" w:rsidP="000503CF">
    <w:pPr>
      <w:tabs>
        <w:tab w:val="center" w:pos="4536"/>
        <w:tab w:val="right" w:pos="9072"/>
        <w:tab w:val="left" w:pos="9781"/>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noProof/>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1877616359"/>
        <w:docPartObj>
          <w:docPartGallery w:val="Page Numbers (Top of Page)"/>
          <w:docPartUnique/>
        </w:docPartObj>
      </w:sdtPr>
      <w:sdtEnd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noProof/>
            <w:sz w:val="20"/>
            <w:lang w:eastAsia="en-US"/>
          </w:rPr>
          <w:t>2</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sidRPr="00E211D2">
      <w:rPr>
        <w:rFonts w:eastAsiaTheme="minorHAnsi" w:cstheme="minorBidi"/>
        <w:sz w:val="20"/>
        <w:lang w:eastAsia="en-US"/>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w:t>
    </w:r>
    <w:r w:rsidR="00885CEC">
      <w:rPr>
        <w:rFonts w:eastAsiaTheme="minorHAnsi" w:cstheme="minorBidi"/>
        <w:b/>
        <w:color w:val="00B0F0"/>
        <w:sz w:val="20"/>
        <w:lang w:eastAsia="en-US"/>
      </w:rPr>
      <w:t xml:space="preserve">Praxisfragen </w:t>
    </w:r>
    <w:r w:rsidR="00885CEC" w:rsidRPr="00885CEC">
      <w:rPr>
        <w:rFonts w:eastAsiaTheme="minorHAnsi" w:cstheme="minorBidi"/>
        <w:b/>
        <w:color w:val="00B0F0"/>
        <w:sz w:val="20"/>
        <w:highlight w:val="yellow"/>
        <w:lang w:eastAsia="en-US"/>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E51" w:rsidRDefault="007F3E51" w:rsidP="00EE217B">
      <w:pPr>
        <w:pStyle w:val="Fuzeile"/>
      </w:pPr>
    </w:p>
    <w:p w:rsidR="007F3E51" w:rsidRPr="00EE217B" w:rsidRDefault="007F3E51" w:rsidP="00EE217B">
      <w:pPr>
        <w:spacing w:before="0"/>
        <w:jc w:val="center"/>
      </w:pPr>
      <w:r w:rsidRPr="00027F72">
        <w:separator/>
      </w:r>
      <w:r w:rsidRPr="00027F72">
        <w:separator/>
      </w:r>
    </w:p>
  </w:footnote>
  <w:footnote w:type="continuationSeparator" w:id="0">
    <w:p w:rsidR="007F3E51" w:rsidRDefault="007F3E51" w:rsidP="00711AB6">
      <w:pPr>
        <w:spacing w:before="0"/>
        <w:jc w:val="center"/>
      </w:pPr>
    </w:p>
    <w:p w:rsidR="007F3E51" w:rsidRPr="00711AB6" w:rsidRDefault="007F3E51"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665F75" w:rsidRDefault="007F3E51" w:rsidP="00B73242">
    <w:pPr>
      <w:pStyle w:val="Kopfzeile"/>
      <w:pBdr>
        <w:bottom w:val="none" w:sz="0" w:space="0" w:color="auto"/>
      </w:pBdr>
      <w:spacing w:before="0"/>
      <w:rPr>
        <w:sz w:val="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51" w:rsidRPr="00354556" w:rsidRDefault="007F3E51"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92E6748"/>
    <w:multiLevelType w:val="hybridMultilevel"/>
    <w:tmpl w:val="E110E210"/>
    <w:lvl w:ilvl="0" w:tplc="3F56300C">
      <w:start w:val="1"/>
      <w:numFmt w:val="bullet"/>
      <w:lvlText w:val="•"/>
      <w:lvlJc w:val="left"/>
      <w:pPr>
        <w:tabs>
          <w:tab w:val="num" w:pos="720"/>
        </w:tabs>
        <w:ind w:left="720" w:hanging="360"/>
      </w:pPr>
      <w:rPr>
        <w:rFonts w:ascii="Arial" w:hAnsi="Arial" w:hint="default"/>
      </w:rPr>
    </w:lvl>
    <w:lvl w:ilvl="1" w:tplc="A7944AC6">
      <w:start w:val="1"/>
      <w:numFmt w:val="bullet"/>
      <w:lvlText w:val="•"/>
      <w:lvlJc w:val="left"/>
      <w:pPr>
        <w:tabs>
          <w:tab w:val="num" w:pos="1440"/>
        </w:tabs>
        <w:ind w:left="1440" w:hanging="360"/>
      </w:pPr>
      <w:rPr>
        <w:rFonts w:ascii="Arial" w:hAnsi="Arial" w:hint="default"/>
      </w:rPr>
    </w:lvl>
    <w:lvl w:ilvl="2" w:tplc="05169D4C" w:tentative="1">
      <w:start w:val="1"/>
      <w:numFmt w:val="bullet"/>
      <w:lvlText w:val="•"/>
      <w:lvlJc w:val="left"/>
      <w:pPr>
        <w:tabs>
          <w:tab w:val="num" w:pos="2160"/>
        </w:tabs>
        <w:ind w:left="2160" w:hanging="360"/>
      </w:pPr>
      <w:rPr>
        <w:rFonts w:ascii="Arial" w:hAnsi="Arial" w:hint="default"/>
      </w:rPr>
    </w:lvl>
    <w:lvl w:ilvl="3" w:tplc="EC04D538" w:tentative="1">
      <w:start w:val="1"/>
      <w:numFmt w:val="bullet"/>
      <w:lvlText w:val="•"/>
      <w:lvlJc w:val="left"/>
      <w:pPr>
        <w:tabs>
          <w:tab w:val="num" w:pos="2880"/>
        </w:tabs>
        <w:ind w:left="2880" w:hanging="360"/>
      </w:pPr>
      <w:rPr>
        <w:rFonts w:ascii="Arial" w:hAnsi="Arial" w:hint="default"/>
      </w:rPr>
    </w:lvl>
    <w:lvl w:ilvl="4" w:tplc="542A5860" w:tentative="1">
      <w:start w:val="1"/>
      <w:numFmt w:val="bullet"/>
      <w:lvlText w:val="•"/>
      <w:lvlJc w:val="left"/>
      <w:pPr>
        <w:tabs>
          <w:tab w:val="num" w:pos="3600"/>
        </w:tabs>
        <w:ind w:left="3600" w:hanging="360"/>
      </w:pPr>
      <w:rPr>
        <w:rFonts w:ascii="Arial" w:hAnsi="Arial" w:hint="default"/>
      </w:rPr>
    </w:lvl>
    <w:lvl w:ilvl="5" w:tplc="F7F64126" w:tentative="1">
      <w:start w:val="1"/>
      <w:numFmt w:val="bullet"/>
      <w:lvlText w:val="•"/>
      <w:lvlJc w:val="left"/>
      <w:pPr>
        <w:tabs>
          <w:tab w:val="num" w:pos="4320"/>
        </w:tabs>
        <w:ind w:left="4320" w:hanging="360"/>
      </w:pPr>
      <w:rPr>
        <w:rFonts w:ascii="Arial" w:hAnsi="Arial" w:hint="default"/>
      </w:rPr>
    </w:lvl>
    <w:lvl w:ilvl="6" w:tplc="BB96E286" w:tentative="1">
      <w:start w:val="1"/>
      <w:numFmt w:val="bullet"/>
      <w:lvlText w:val="•"/>
      <w:lvlJc w:val="left"/>
      <w:pPr>
        <w:tabs>
          <w:tab w:val="num" w:pos="5040"/>
        </w:tabs>
        <w:ind w:left="5040" w:hanging="360"/>
      </w:pPr>
      <w:rPr>
        <w:rFonts w:ascii="Arial" w:hAnsi="Arial" w:hint="default"/>
      </w:rPr>
    </w:lvl>
    <w:lvl w:ilvl="7" w:tplc="CD90CBDE" w:tentative="1">
      <w:start w:val="1"/>
      <w:numFmt w:val="bullet"/>
      <w:lvlText w:val="•"/>
      <w:lvlJc w:val="left"/>
      <w:pPr>
        <w:tabs>
          <w:tab w:val="num" w:pos="5760"/>
        </w:tabs>
        <w:ind w:left="5760" w:hanging="360"/>
      </w:pPr>
      <w:rPr>
        <w:rFonts w:ascii="Arial" w:hAnsi="Arial" w:hint="default"/>
      </w:rPr>
    </w:lvl>
    <w:lvl w:ilvl="8" w:tplc="BF9083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9429D3"/>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E3493"/>
    <w:multiLevelType w:val="hybridMultilevel"/>
    <w:tmpl w:val="5D7CF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675ABB"/>
    <w:multiLevelType w:val="hybridMultilevel"/>
    <w:tmpl w:val="AB8EF6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D9266B4"/>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1D00EF"/>
    <w:multiLevelType w:val="hybridMultilevel"/>
    <w:tmpl w:val="0F082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5D7F86"/>
    <w:multiLevelType w:val="hybridMultilevel"/>
    <w:tmpl w:val="67CC990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25" w15:restartNumberingAfterBreak="0">
    <w:nsid w:val="6F240297"/>
    <w:multiLevelType w:val="hybridMultilevel"/>
    <w:tmpl w:val="F67A5B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C8E2C3A"/>
    <w:multiLevelType w:val="hybridMultilevel"/>
    <w:tmpl w:val="D8469316"/>
    <w:lvl w:ilvl="0" w:tplc="0D140A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abstractNum w:abstractNumId="28" w15:restartNumberingAfterBreak="0">
    <w:nsid w:val="7F426428"/>
    <w:multiLevelType w:val="hybridMultilevel"/>
    <w:tmpl w:val="5134911C"/>
    <w:lvl w:ilvl="0" w:tplc="04070001">
      <w:start w:val="1"/>
      <w:numFmt w:val="bullet"/>
      <w:lvlText w:val=""/>
      <w:lvlJc w:val="left"/>
      <w:pPr>
        <w:ind w:left="1174" w:hanging="360"/>
      </w:pPr>
      <w:rPr>
        <w:rFonts w:ascii="Symbol" w:hAnsi="Symbol"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27"/>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4"/>
  </w:num>
  <w:num w:numId="12">
    <w:abstractNumId w:val="11"/>
  </w:num>
  <w:num w:numId="13">
    <w:abstractNumId w:val="13"/>
  </w:num>
  <w:num w:numId="14">
    <w:abstractNumId w:val="23"/>
  </w:num>
  <w:num w:numId="15">
    <w:abstractNumId w:val="16"/>
  </w:num>
  <w:num w:numId="16">
    <w:abstractNumId w:val="14"/>
  </w:num>
  <w:num w:numId="17">
    <w:abstractNumId w:val="18"/>
  </w:num>
  <w:num w:numId="18">
    <w:abstractNumId w:val="22"/>
  </w:num>
  <w:num w:numId="19">
    <w:abstractNumId w:val="12"/>
  </w:num>
  <w:num w:numId="20">
    <w:abstractNumId w:val="8"/>
  </w:num>
  <w:num w:numId="21">
    <w:abstractNumId w:val="20"/>
  </w:num>
  <w:num w:numId="22">
    <w:abstractNumId w:val="17"/>
  </w:num>
  <w:num w:numId="23">
    <w:abstractNumId w:val="25"/>
  </w:num>
  <w:num w:numId="24">
    <w:abstractNumId w:val="9"/>
  </w:num>
  <w:num w:numId="25">
    <w:abstractNumId w:val="26"/>
  </w:num>
  <w:num w:numId="26">
    <w:abstractNumId w:val="21"/>
  </w:num>
  <w:num w:numId="27">
    <w:abstractNumId w:val="28"/>
  </w:num>
  <w:num w:numId="28">
    <w:abstractNumId w:val="15"/>
  </w:num>
  <w:num w:numId="2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773A3"/>
    <w:rsid w:val="00080B9A"/>
    <w:rsid w:val="00086B8A"/>
    <w:rsid w:val="00090E49"/>
    <w:rsid w:val="0009344D"/>
    <w:rsid w:val="00097B2B"/>
    <w:rsid w:val="000B1337"/>
    <w:rsid w:val="000E26F7"/>
    <w:rsid w:val="000E57B4"/>
    <w:rsid w:val="00106BBE"/>
    <w:rsid w:val="00111AC6"/>
    <w:rsid w:val="001205E2"/>
    <w:rsid w:val="001374FD"/>
    <w:rsid w:val="00143F11"/>
    <w:rsid w:val="0015500F"/>
    <w:rsid w:val="00165A53"/>
    <w:rsid w:val="00180880"/>
    <w:rsid w:val="00182B83"/>
    <w:rsid w:val="00183ACA"/>
    <w:rsid w:val="00184E10"/>
    <w:rsid w:val="0019585B"/>
    <w:rsid w:val="001A1B58"/>
    <w:rsid w:val="001A6337"/>
    <w:rsid w:val="001B3F50"/>
    <w:rsid w:val="001B454A"/>
    <w:rsid w:val="001B7E25"/>
    <w:rsid w:val="001C0D6B"/>
    <w:rsid w:val="001C1789"/>
    <w:rsid w:val="001D22E2"/>
    <w:rsid w:val="001E1F96"/>
    <w:rsid w:val="001E38E2"/>
    <w:rsid w:val="001E7A82"/>
    <w:rsid w:val="001F04DD"/>
    <w:rsid w:val="002062E0"/>
    <w:rsid w:val="002065BE"/>
    <w:rsid w:val="0021047B"/>
    <w:rsid w:val="00213C34"/>
    <w:rsid w:val="00222629"/>
    <w:rsid w:val="00257647"/>
    <w:rsid w:val="002717FB"/>
    <w:rsid w:val="00280D52"/>
    <w:rsid w:val="00283F41"/>
    <w:rsid w:val="00284FA6"/>
    <w:rsid w:val="00285560"/>
    <w:rsid w:val="00285C0D"/>
    <w:rsid w:val="00290924"/>
    <w:rsid w:val="0029592F"/>
    <w:rsid w:val="002A064F"/>
    <w:rsid w:val="002A0C98"/>
    <w:rsid w:val="002A29CF"/>
    <w:rsid w:val="002B17CE"/>
    <w:rsid w:val="002B298F"/>
    <w:rsid w:val="002B37AC"/>
    <w:rsid w:val="002C1895"/>
    <w:rsid w:val="002C7903"/>
    <w:rsid w:val="002D0908"/>
    <w:rsid w:val="002D7E2D"/>
    <w:rsid w:val="002F09D8"/>
    <w:rsid w:val="002F6B99"/>
    <w:rsid w:val="002F771F"/>
    <w:rsid w:val="00304799"/>
    <w:rsid w:val="00340216"/>
    <w:rsid w:val="00342964"/>
    <w:rsid w:val="00352142"/>
    <w:rsid w:val="00354556"/>
    <w:rsid w:val="00360F3D"/>
    <w:rsid w:val="00364269"/>
    <w:rsid w:val="00376DCD"/>
    <w:rsid w:val="00382BCD"/>
    <w:rsid w:val="003932A1"/>
    <w:rsid w:val="003A6FEB"/>
    <w:rsid w:val="003A7861"/>
    <w:rsid w:val="003B420D"/>
    <w:rsid w:val="003E348F"/>
    <w:rsid w:val="003E5835"/>
    <w:rsid w:val="003F1B18"/>
    <w:rsid w:val="004076E9"/>
    <w:rsid w:val="0041402E"/>
    <w:rsid w:val="00414D05"/>
    <w:rsid w:val="00416098"/>
    <w:rsid w:val="00416270"/>
    <w:rsid w:val="004248A0"/>
    <w:rsid w:val="00433509"/>
    <w:rsid w:val="00440D21"/>
    <w:rsid w:val="00445BB8"/>
    <w:rsid w:val="0044742E"/>
    <w:rsid w:val="00454705"/>
    <w:rsid w:val="00465DB3"/>
    <w:rsid w:val="00480A8A"/>
    <w:rsid w:val="004867BC"/>
    <w:rsid w:val="0049126F"/>
    <w:rsid w:val="004B2234"/>
    <w:rsid w:val="004B5526"/>
    <w:rsid w:val="004B5A8E"/>
    <w:rsid w:val="004B6272"/>
    <w:rsid w:val="004B6415"/>
    <w:rsid w:val="004C0625"/>
    <w:rsid w:val="004C3F5D"/>
    <w:rsid w:val="004C60FF"/>
    <w:rsid w:val="004D43D5"/>
    <w:rsid w:val="004D6C91"/>
    <w:rsid w:val="004E699D"/>
    <w:rsid w:val="004F1C26"/>
    <w:rsid w:val="004F1E92"/>
    <w:rsid w:val="0050152B"/>
    <w:rsid w:val="005060F4"/>
    <w:rsid w:val="00516C43"/>
    <w:rsid w:val="0052103B"/>
    <w:rsid w:val="00523480"/>
    <w:rsid w:val="00525CDB"/>
    <w:rsid w:val="00527267"/>
    <w:rsid w:val="00534A4B"/>
    <w:rsid w:val="0054655A"/>
    <w:rsid w:val="005473EF"/>
    <w:rsid w:val="0055136F"/>
    <w:rsid w:val="0055156D"/>
    <w:rsid w:val="00567521"/>
    <w:rsid w:val="005813C4"/>
    <w:rsid w:val="00583AA1"/>
    <w:rsid w:val="0058527F"/>
    <w:rsid w:val="00585859"/>
    <w:rsid w:val="005913EC"/>
    <w:rsid w:val="005921A2"/>
    <w:rsid w:val="005967E6"/>
    <w:rsid w:val="005B024A"/>
    <w:rsid w:val="005B57D7"/>
    <w:rsid w:val="005B7F7F"/>
    <w:rsid w:val="005C1C85"/>
    <w:rsid w:val="005C5708"/>
    <w:rsid w:val="005D1825"/>
    <w:rsid w:val="005D26BD"/>
    <w:rsid w:val="005D2A74"/>
    <w:rsid w:val="005D7367"/>
    <w:rsid w:val="005E0577"/>
    <w:rsid w:val="005E07BD"/>
    <w:rsid w:val="005E7803"/>
    <w:rsid w:val="005F6F40"/>
    <w:rsid w:val="00632C1A"/>
    <w:rsid w:val="006454CF"/>
    <w:rsid w:val="0065198F"/>
    <w:rsid w:val="006521FF"/>
    <w:rsid w:val="00665F75"/>
    <w:rsid w:val="0066763B"/>
    <w:rsid w:val="0067331C"/>
    <w:rsid w:val="00684B37"/>
    <w:rsid w:val="006A27FA"/>
    <w:rsid w:val="006C4228"/>
    <w:rsid w:val="006D45A1"/>
    <w:rsid w:val="006D7242"/>
    <w:rsid w:val="006E24F6"/>
    <w:rsid w:val="006E2847"/>
    <w:rsid w:val="006E7126"/>
    <w:rsid w:val="006F281C"/>
    <w:rsid w:val="007026D1"/>
    <w:rsid w:val="00711AB6"/>
    <w:rsid w:val="00716DD5"/>
    <w:rsid w:val="00720E5C"/>
    <w:rsid w:val="00742EA1"/>
    <w:rsid w:val="00744772"/>
    <w:rsid w:val="00744C9A"/>
    <w:rsid w:val="007506E6"/>
    <w:rsid w:val="00761107"/>
    <w:rsid w:val="007626C5"/>
    <w:rsid w:val="00763FC1"/>
    <w:rsid w:val="007648E0"/>
    <w:rsid w:val="00765666"/>
    <w:rsid w:val="00772791"/>
    <w:rsid w:val="0078728B"/>
    <w:rsid w:val="00790130"/>
    <w:rsid w:val="00796513"/>
    <w:rsid w:val="007A060E"/>
    <w:rsid w:val="007A3E0C"/>
    <w:rsid w:val="007A407E"/>
    <w:rsid w:val="007B1945"/>
    <w:rsid w:val="007D3976"/>
    <w:rsid w:val="007D6927"/>
    <w:rsid w:val="007E0249"/>
    <w:rsid w:val="007F3A7C"/>
    <w:rsid w:val="007F3E51"/>
    <w:rsid w:val="00802ED4"/>
    <w:rsid w:val="00805892"/>
    <w:rsid w:val="0081072B"/>
    <w:rsid w:val="008248D3"/>
    <w:rsid w:val="00834FC0"/>
    <w:rsid w:val="008471C9"/>
    <w:rsid w:val="00855B99"/>
    <w:rsid w:val="00862DDF"/>
    <w:rsid w:val="00870FFE"/>
    <w:rsid w:val="00872C95"/>
    <w:rsid w:val="00872F5F"/>
    <w:rsid w:val="0087591D"/>
    <w:rsid w:val="0088020C"/>
    <w:rsid w:val="00884570"/>
    <w:rsid w:val="00885CEC"/>
    <w:rsid w:val="00891EEA"/>
    <w:rsid w:val="008976BA"/>
    <w:rsid w:val="008A5560"/>
    <w:rsid w:val="008C44B0"/>
    <w:rsid w:val="008D1A8E"/>
    <w:rsid w:val="008E0D82"/>
    <w:rsid w:val="008E0FC7"/>
    <w:rsid w:val="008F75E7"/>
    <w:rsid w:val="009075A9"/>
    <w:rsid w:val="0091405A"/>
    <w:rsid w:val="009212B4"/>
    <w:rsid w:val="009274B5"/>
    <w:rsid w:val="0095198B"/>
    <w:rsid w:val="00970211"/>
    <w:rsid w:val="009760D0"/>
    <w:rsid w:val="00977270"/>
    <w:rsid w:val="009773FE"/>
    <w:rsid w:val="0099236A"/>
    <w:rsid w:val="009A6E64"/>
    <w:rsid w:val="009C1E3E"/>
    <w:rsid w:val="009C2FF2"/>
    <w:rsid w:val="009C6EFB"/>
    <w:rsid w:val="009C7804"/>
    <w:rsid w:val="009D429E"/>
    <w:rsid w:val="009E1FB1"/>
    <w:rsid w:val="009E52C9"/>
    <w:rsid w:val="009F6E01"/>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E290A"/>
    <w:rsid w:val="00AE3EDC"/>
    <w:rsid w:val="00AF1983"/>
    <w:rsid w:val="00AF76A2"/>
    <w:rsid w:val="00B1324F"/>
    <w:rsid w:val="00B13741"/>
    <w:rsid w:val="00B15817"/>
    <w:rsid w:val="00B1680D"/>
    <w:rsid w:val="00B2286E"/>
    <w:rsid w:val="00B22993"/>
    <w:rsid w:val="00B261B2"/>
    <w:rsid w:val="00B34064"/>
    <w:rsid w:val="00B50770"/>
    <w:rsid w:val="00B6345C"/>
    <w:rsid w:val="00B66196"/>
    <w:rsid w:val="00B73242"/>
    <w:rsid w:val="00B760B6"/>
    <w:rsid w:val="00B77530"/>
    <w:rsid w:val="00B86895"/>
    <w:rsid w:val="00B91F5A"/>
    <w:rsid w:val="00B929CA"/>
    <w:rsid w:val="00BA02EC"/>
    <w:rsid w:val="00BA1533"/>
    <w:rsid w:val="00BA1564"/>
    <w:rsid w:val="00BA7590"/>
    <w:rsid w:val="00BB730F"/>
    <w:rsid w:val="00BC04E1"/>
    <w:rsid w:val="00BC6A51"/>
    <w:rsid w:val="00BD2864"/>
    <w:rsid w:val="00BD37FF"/>
    <w:rsid w:val="00BD62C0"/>
    <w:rsid w:val="00BE368B"/>
    <w:rsid w:val="00BF0354"/>
    <w:rsid w:val="00BF2B89"/>
    <w:rsid w:val="00BF7EB9"/>
    <w:rsid w:val="00C10F24"/>
    <w:rsid w:val="00C24E59"/>
    <w:rsid w:val="00C30D7D"/>
    <w:rsid w:val="00C407A8"/>
    <w:rsid w:val="00C43D74"/>
    <w:rsid w:val="00C470A2"/>
    <w:rsid w:val="00C61048"/>
    <w:rsid w:val="00C8522D"/>
    <w:rsid w:val="00C91AC1"/>
    <w:rsid w:val="00C929A0"/>
    <w:rsid w:val="00C940C7"/>
    <w:rsid w:val="00C9577E"/>
    <w:rsid w:val="00CA5FDE"/>
    <w:rsid w:val="00CA64ED"/>
    <w:rsid w:val="00CA6FFC"/>
    <w:rsid w:val="00CB24C7"/>
    <w:rsid w:val="00CB3640"/>
    <w:rsid w:val="00CC19EF"/>
    <w:rsid w:val="00CD1A9A"/>
    <w:rsid w:val="00CD4117"/>
    <w:rsid w:val="00CE73C2"/>
    <w:rsid w:val="00D13823"/>
    <w:rsid w:val="00D13BD1"/>
    <w:rsid w:val="00D3468F"/>
    <w:rsid w:val="00D45365"/>
    <w:rsid w:val="00D61222"/>
    <w:rsid w:val="00D65E04"/>
    <w:rsid w:val="00DA6374"/>
    <w:rsid w:val="00DB3534"/>
    <w:rsid w:val="00DB3B77"/>
    <w:rsid w:val="00DC5CF9"/>
    <w:rsid w:val="00DD3447"/>
    <w:rsid w:val="00DD5810"/>
    <w:rsid w:val="00DD6816"/>
    <w:rsid w:val="00DE10AB"/>
    <w:rsid w:val="00DE2B44"/>
    <w:rsid w:val="00DE6C31"/>
    <w:rsid w:val="00DF6B90"/>
    <w:rsid w:val="00E016C0"/>
    <w:rsid w:val="00E211D2"/>
    <w:rsid w:val="00E342CA"/>
    <w:rsid w:val="00E368C3"/>
    <w:rsid w:val="00E50734"/>
    <w:rsid w:val="00E54CF5"/>
    <w:rsid w:val="00E57522"/>
    <w:rsid w:val="00E57793"/>
    <w:rsid w:val="00E61BCD"/>
    <w:rsid w:val="00E65739"/>
    <w:rsid w:val="00E65773"/>
    <w:rsid w:val="00E76D20"/>
    <w:rsid w:val="00E77518"/>
    <w:rsid w:val="00E952AA"/>
    <w:rsid w:val="00EA0865"/>
    <w:rsid w:val="00EA2ACF"/>
    <w:rsid w:val="00EA74B3"/>
    <w:rsid w:val="00EC00F0"/>
    <w:rsid w:val="00EE217B"/>
    <w:rsid w:val="00EE2E51"/>
    <w:rsid w:val="00EF2558"/>
    <w:rsid w:val="00F01DD2"/>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7375"/>
    <w:rsid w:val="00F920AB"/>
    <w:rsid w:val="00FA1E5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8448">
      <w:bodyDiv w:val="1"/>
      <w:marLeft w:val="0"/>
      <w:marRight w:val="0"/>
      <w:marTop w:val="0"/>
      <w:marBottom w:val="0"/>
      <w:divBdr>
        <w:top w:val="none" w:sz="0" w:space="0" w:color="auto"/>
        <w:left w:val="none" w:sz="0" w:space="0" w:color="auto"/>
        <w:bottom w:val="none" w:sz="0" w:space="0" w:color="auto"/>
        <w:right w:val="none" w:sz="0" w:space="0" w:color="auto"/>
      </w:divBdr>
    </w:div>
    <w:div w:id="193857292">
      <w:bodyDiv w:val="1"/>
      <w:marLeft w:val="0"/>
      <w:marRight w:val="0"/>
      <w:marTop w:val="0"/>
      <w:marBottom w:val="0"/>
      <w:divBdr>
        <w:top w:val="none" w:sz="0" w:space="0" w:color="auto"/>
        <w:left w:val="none" w:sz="0" w:space="0" w:color="auto"/>
        <w:bottom w:val="none" w:sz="0" w:space="0" w:color="auto"/>
        <w:right w:val="none" w:sz="0" w:space="0" w:color="auto"/>
      </w:divBdr>
    </w:div>
    <w:div w:id="277689806">
      <w:bodyDiv w:val="1"/>
      <w:marLeft w:val="0"/>
      <w:marRight w:val="0"/>
      <w:marTop w:val="0"/>
      <w:marBottom w:val="0"/>
      <w:divBdr>
        <w:top w:val="none" w:sz="0" w:space="0" w:color="auto"/>
        <w:left w:val="none" w:sz="0" w:space="0" w:color="auto"/>
        <w:bottom w:val="none" w:sz="0" w:space="0" w:color="auto"/>
        <w:right w:val="none" w:sz="0" w:space="0" w:color="auto"/>
      </w:divBdr>
    </w:div>
    <w:div w:id="310525376">
      <w:bodyDiv w:val="1"/>
      <w:marLeft w:val="0"/>
      <w:marRight w:val="0"/>
      <w:marTop w:val="0"/>
      <w:marBottom w:val="0"/>
      <w:divBdr>
        <w:top w:val="none" w:sz="0" w:space="0" w:color="auto"/>
        <w:left w:val="none" w:sz="0" w:space="0" w:color="auto"/>
        <w:bottom w:val="none" w:sz="0" w:space="0" w:color="auto"/>
        <w:right w:val="none" w:sz="0" w:space="0" w:color="auto"/>
      </w:divBdr>
    </w:div>
    <w:div w:id="561986683">
      <w:bodyDiv w:val="1"/>
      <w:marLeft w:val="0"/>
      <w:marRight w:val="0"/>
      <w:marTop w:val="0"/>
      <w:marBottom w:val="0"/>
      <w:divBdr>
        <w:top w:val="none" w:sz="0" w:space="0" w:color="auto"/>
        <w:left w:val="none" w:sz="0" w:space="0" w:color="auto"/>
        <w:bottom w:val="none" w:sz="0" w:space="0" w:color="auto"/>
        <w:right w:val="none" w:sz="0" w:space="0" w:color="auto"/>
      </w:divBdr>
    </w:div>
    <w:div w:id="626280626">
      <w:bodyDiv w:val="1"/>
      <w:marLeft w:val="0"/>
      <w:marRight w:val="0"/>
      <w:marTop w:val="0"/>
      <w:marBottom w:val="0"/>
      <w:divBdr>
        <w:top w:val="none" w:sz="0" w:space="0" w:color="auto"/>
        <w:left w:val="none" w:sz="0" w:space="0" w:color="auto"/>
        <w:bottom w:val="none" w:sz="0" w:space="0" w:color="auto"/>
        <w:right w:val="none" w:sz="0" w:space="0" w:color="auto"/>
      </w:divBdr>
    </w:div>
    <w:div w:id="635572108">
      <w:bodyDiv w:val="1"/>
      <w:marLeft w:val="0"/>
      <w:marRight w:val="0"/>
      <w:marTop w:val="0"/>
      <w:marBottom w:val="0"/>
      <w:divBdr>
        <w:top w:val="none" w:sz="0" w:space="0" w:color="auto"/>
        <w:left w:val="none" w:sz="0" w:space="0" w:color="auto"/>
        <w:bottom w:val="none" w:sz="0" w:space="0" w:color="auto"/>
        <w:right w:val="none" w:sz="0" w:space="0" w:color="auto"/>
      </w:divBdr>
    </w:div>
    <w:div w:id="647563397">
      <w:bodyDiv w:val="1"/>
      <w:marLeft w:val="0"/>
      <w:marRight w:val="0"/>
      <w:marTop w:val="0"/>
      <w:marBottom w:val="0"/>
      <w:divBdr>
        <w:top w:val="none" w:sz="0" w:space="0" w:color="auto"/>
        <w:left w:val="none" w:sz="0" w:space="0" w:color="auto"/>
        <w:bottom w:val="none" w:sz="0" w:space="0" w:color="auto"/>
        <w:right w:val="none" w:sz="0" w:space="0" w:color="auto"/>
      </w:divBdr>
    </w:div>
    <w:div w:id="720908529">
      <w:bodyDiv w:val="1"/>
      <w:marLeft w:val="0"/>
      <w:marRight w:val="0"/>
      <w:marTop w:val="0"/>
      <w:marBottom w:val="0"/>
      <w:divBdr>
        <w:top w:val="none" w:sz="0" w:space="0" w:color="auto"/>
        <w:left w:val="none" w:sz="0" w:space="0" w:color="auto"/>
        <w:bottom w:val="none" w:sz="0" w:space="0" w:color="auto"/>
        <w:right w:val="none" w:sz="0" w:space="0" w:color="auto"/>
      </w:divBdr>
    </w:div>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251618758">
      <w:bodyDiv w:val="1"/>
      <w:marLeft w:val="0"/>
      <w:marRight w:val="0"/>
      <w:marTop w:val="0"/>
      <w:marBottom w:val="0"/>
      <w:divBdr>
        <w:top w:val="none" w:sz="0" w:space="0" w:color="auto"/>
        <w:left w:val="none" w:sz="0" w:space="0" w:color="auto"/>
        <w:bottom w:val="none" w:sz="0" w:space="0" w:color="auto"/>
        <w:right w:val="none" w:sz="0" w:space="0" w:color="auto"/>
      </w:divBdr>
      <w:divsChild>
        <w:div w:id="1144852883">
          <w:marLeft w:val="1008"/>
          <w:marRight w:val="0"/>
          <w:marTop w:val="0"/>
          <w:marBottom w:val="0"/>
          <w:divBdr>
            <w:top w:val="none" w:sz="0" w:space="0" w:color="auto"/>
            <w:left w:val="none" w:sz="0" w:space="0" w:color="auto"/>
            <w:bottom w:val="none" w:sz="0" w:space="0" w:color="auto"/>
            <w:right w:val="none" w:sz="0" w:space="0" w:color="auto"/>
          </w:divBdr>
        </w:div>
        <w:div w:id="1360468365">
          <w:marLeft w:val="1008"/>
          <w:marRight w:val="0"/>
          <w:marTop w:val="0"/>
          <w:marBottom w:val="0"/>
          <w:divBdr>
            <w:top w:val="none" w:sz="0" w:space="0" w:color="auto"/>
            <w:left w:val="none" w:sz="0" w:space="0" w:color="auto"/>
            <w:bottom w:val="none" w:sz="0" w:space="0" w:color="auto"/>
            <w:right w:val="none" w:sz="0" w:space="0" w:color="auto"/>
          </w:divBdr>
        </w:div>
      </w:divsChild>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428379387">
      <w:bodyDiv w:val="1"/>
      <w:marLeft w:val="0"/>
      <w:marRight w:val="0"/>
      <w:marTop w:val="0"/>
      <w:marBottom w:val="0"/>
      <w:divBdr>
        <w:top w:val="none" w:sz="0" w:space="0" w:color="auto"/>
        <w:left w:val="none" w:sz="0" w:space="0" w:color="auto"/>
        <w:bottom w:val="none" w:sz="0" w:space="0" w:color="auto"/>
        <w:right w:val="none" w:sz="0" w:space="0" w:color="auto"/>
      </w:divBdr>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51982421">
      <w:bodyDiv w:val="1"/>
      <w:marLeft w:val="0"/>
      <w:marRight w:val="0"/>
      <w:marTop w:val="0"/>
      <w:marBottom w:val="0"/>
      <w:divBdr>
        <w:top w:val="none" w:sz="0" w:space="0" w:color="auto"/>
        <w:left w:val="none" w:sz="0" w:space="0" w:color="auto"/>
        <w:bottom w:val="none" w:sz="0" w:space="0" w:color="auto"/>
        <w:right w:val="none" w:sz="0" w:space="0" w:color="auto"/>
      </w:divBdr>
    </w:div>
    <w:div w:id="1667972912">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35396289">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775398459">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884753020">
      <w:bodyDiv w:val="1"/>
      <w:marLeft w:val="0"/>
      <w:marRight w:val="0"/>
      <w:marTop w:val="0"/>
      <w:marBottom w:val="0"/>
      <w:divBdr>
        <w:top w:val="none" w:sz="0" w:space="0" w:color="auto"/>
        <w:left w:val="none" w:sz="0" w:space="0" w:color="auto"/>
        <w:bottom w:val="none" w:sz="0" w:space="0" w:color="auto"/>
        <w:right w:val="none" w:sz="0" w:space="0" w:color="auto"/>
      </w:divBdr>
    </w:div>
    <w:div w:id="1899515461">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119214">
      <w:bodyDiv w:val="1"/>
      <w:marLeft w:val="0"/>
      <w:marRight w:val="0"/>
      <w:marTop w:val="0"/>
      <w:marBottom w:val="0"/>
      <w:divBdr>
        <w:top w:val="none" w:sz="0" w:space="0" w:color="auto"/>
        <w:left w:val="none" w:sz="0" w:space="0" w:color="auto"/>
        <w:bottom w:val="none" w:sz="0" w:space="0" w:color="auto"/>
        <w:right w:val="none" w:sz="0" w:space="0" w:color="auto"/>
      </w:divBdr>
    </w:div>
    <w:div w:id="1959488113">
      <w:bodyDiv w:val="1"/>
      <w:marLeft w:val="0"/>
      <w:marRight w:val="0"/>
      <w:marTop w:val="0"/>
      <w:marBottom w:val="0"/>
      <w:divBdr>
        <w:top w:val="none" w:sz="0" w:space="0" w:color="auto"/>
        <w:left w:val="none" w:sz="0" w:space="0" w:color="auto"/>
        <w:bottom w:val="none" w:sz="0" w:space="0" w:color="auto"/>
        <w:right w:val="none" w:sz="0" w:space="0" w:color="auto"/>
      </w:divBdr>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97DF2709-70EA-4D47-BABA-10B58AEB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Template>
  <TotalTime>0</TotalTime>
  <Pages>2</Pages>
  <Words>421</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Zoller, Kevin - AUDfIT</cp:lastModifiedBy>
  <cp:revision>26</cp:revision>
  <cp:lastPrinted>2023-10-19T08:52:00Z</cp:lastPrinted>
  <dcterms:created xsi:type="dcterms:W3CDTF">2023-09-18T11:19:00Z</dcterms:created>
  <dcterms:modified xsi:type="dcterms:W3CDTF">2025-10-09T12:22:00Z</dcterms:modified>
</cp:coreProperties>
</file>