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2D6AC30A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2425B7D" w14:textId="77777777"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14:paraId="46BC6CCD" w14:textId="77777777"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E778A2">
              <w:rPr>
                <w:rFonts w:ascii="Century Gothic" w:hAnsi="Century Gothic"/>
                <w:color w:val="00B0F0"/>
                <w:sz w:val="28"/>
              </w:rPr>
              <w:t>7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Forderungen aus L</w:t>
            </w:r>
            <w:r w:rsidR="002A6889">
              <w:rPr>
                <w:rFonts w:ascii="Century Gothic" w:hAnsi="Century Gothic"/>
                <w:b w:val="0"/>
                <w:color w:val="00B0F0"/>
                <w:sz w:val="28"/>
              </w:rPr>
              <w:t xml:space="preserve">ieferungen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u</w:t>
            </w:r>
            <w:r w:rsidR="002A6889">
              <w:rPr>
                <w:rFonts w:ascii="Century Gothic" w:hAnsi="Century Gothic"/>
                <w:b w:val="0"/>
                <w:color w:val="00B0F0"/>
                <w:sz w:val="28"/>
              </w:rPr>
              <w:t xml:space="preserve">nd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L</w:t>
            </w:r>
            <w:r w:rsidR="002A6889">
              <w:rPr>
                <w:rFonts w:ascii="Century Gothic" w:hAnsi="Century Gothic"/>
                <w:b w:val="0"/>
                <w:color w:val="00B0F0"/>
                <w:sz w:val="28"/>
              </w:rPr>
              <w:t>eistungen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45A6DCA0" w14:textId="77777777"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14:paraId="73C91319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14:paraId="73F89BC4" w14:textId="77777777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14:paraId="03EE9654" w14:textId="77777777"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14:paraId="7309CBE3" w14:textId="77777777"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DFA638" w14:textId="77777777"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14:paraId="7EC05A2E" w14:textId="77777777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14:paraId="237C9DD9" w14:textId="77777777" w:rsidR="00885CEC" w:rsidRDefault="00E778A2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E778A2">
              <w:rPr>
                <w:szCs w:val="22"/>
              </w:rPr>
              <w:t>Welche Voraussetzungen müssen zur Saldierung von Forderungen und Verbindlichkeiten erfüllt sein?</w:t>
            </w:r>
          </w:p>
        </w:tc>
      </w:tr>
      <w:tr w:rsidR="000773A3" w:rsidRPr="00E65739" w14:paraId="24148B7C" w14:textId="77777777" w:rsidTr="000773A3">
        <w:tc>
          <w:tcPr>
            <w:tcW w:w="7767" w:type="dxa"/>
            <w:shd w:val="clear" w:color="auto" w:fill="auto"/>
            <w:vAlign w:val="center"/>
          </w:tcPr>
          <w:p w14:paraId="34509A70" w14:textId="77777777" w:rsidR="00885CEC" w:rsidRPr="001F3BFE" w:rsidRDefault="00E778A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Gleichartigkeit der Forderungen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417AC1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20EFD34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14:paraId="3029044C" w14:textId="77777777" w:rsidTr="000773A3">
        <w:tc>
          <w:tcPr>
            <w:tcW w:w="7767" w:type="dxa"/>
            <w:shd w:val="clear" w:color="auto" w:fill="auto"/>
            <w:vAlign w:val="center"/>
          </w:tcPr>
          <w:p w14:paraId="4337D47C" w14:textId="6AB00A31" w:rsidR="00885CEC" w:rsidRPr="001F3BFE" w:rsidRDefault="00E778A2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E778A2">
              <w:t>Gegenseitigkeit der Forderungen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DF7AFA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B7DB22B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14:paraId="06ADC119" w14:textId="77777777" w:rsidTr="000773A3">
        <w:tc>
          <w:tcPr>
            <w:tcW w:w="7767" w:type="dxa"/>
            <w:shd w:val="clear" w:color="auto" w:fill="auto"/>
            <w:vAlign w:val="center"/>
          </w:tcPr>
          <w:p w14:paraId="3096A7EF" w14:textId="2BF3A9B0" w:rsidR="00885CEC" w:rsidRDefault="00E778A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Fälligkeit der Hauptforderung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B54AE0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C063F0E" w14:textId="77777777"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E778A2" w:rsidRPr="00E65739" w14:paraId="3EC86F9B" w14:textId="77777777" w:rsidTr="000773A3">
        <w:tc>
          <w:tcPr>
            <w:tcW w:w="7767" w:type="dxa"/>
            <w:shd w:val="clear" w:color="auto" w:fill="auto"/>
            <w:vAlign w:val="center"/>
          </w:tcPr>
          <w:p w14:paraId="52D59AB9" w14:textId="46B8E184" w:rsidR="00E778A2" w:rsidRPr="00E778A2" w:rsidRDefault="00E778A2" w:rsidP="00E778A2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Fälligkeit der Gegenforderung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9D7F59" w14:textId="77777777" w:rsidR="00E778A2" w:rsidRDefault="00E778A2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02B78DD" w14:textId="77777777" w:rsidR="00E778A2" w:rsidRDefault="00E778A2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</w:tbl>
    <w:p w14:paraId="2A6E656D" w14:textId="7D181D8B"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23"/>
        <w:gridCol w:w="3244"/>
        <w:gridCol w:w="624"/>
        <w:gridCol w:w="656"/>
      </w:tblGrid>
      <w:tr w:rsidR="000773A3" w:rsidRPr="000773A3" w14:paraId="1F437550" w14:textId="77777777" w:rsidTr="000773A3">
        <w:tc>
          <w:tcPr>
            <w:tcW w:w="7767" w:type="dxa"/>
            <w:gridSpan w:val="2"/>
            <w:shd w:val="clear" w:color="auto" w:fill="F2F2F2" w:themeFill="background1" w:themeFillShade="F2"/>
          </w:tcPr>
          <w:p w14:paraId="6835D173" w14:textId="135AF3FF"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73B11439" w14:textId="77777777"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B61BAAD" w14:textId="77777777"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91405A" w:rsidRPr="00E65739" w14:paraId="4AAEFD92" w14:textId="77777777" w:rsidTr="00033F20">
        <w:tc>
          <w:tcPr>
            <w:tcW w:w="7767" w:type="dxa"/>
            <w:gridSpan w:val="2"/>
            <w:shd w:val="clear" w:color="auto" w:fill="auto"/>
          </w:tcPr>
          <w:p w14:paraId="79F83847" w14:textId="6AC12679" w:rsidR="00E778A2" w:rsidRPr="00E778A2" w:rsidRDefault="00E778A2" w:rsidP="00E778A2">
            <w:pPr>
              <w:spacing w:before="0"/>
              <w:rPr>
                <w:b/>
              </w:rPr>
            </w:pPr>
            <w:r w:rsidRPr="00E778A2">
              <w:rPr>
                <w:b/>
              </w:rPr>
              <w:t>§ 387 BGB</w:t>
            </w:r>
          </w:p>
          <w:p w14:paraId="4294012A" w14:textId="4A52599D" w:rsidR="0091405A" w:rsidRPr="002B6CD6" w:rsidRDefault="00E778A2" w:rsidP="00E778A2">
            <w:pPr>
              <w:spacing w:before="0"/>
            </w:pPr>
            <w:r w:rsidRPr="00E778A2">
              <w:t>„Schulden zwei Personen einander Leistungen („b)“), die ihrem Gegenstand nach gleichartig („a)“) sind,</w:t>
            </w:r>
            <w:r>
              <w:t xml:space="preserve"> </w:t>
            </w:r>
            <w:r w:rsidRPr="00E778A2">
              <w:t>so kann jeder Teil seine Forderung gegen die Forderung des anderen Teils aufrechnen, sobald er die ihm</w:t>
            </w:r>
            <w:r>
              <w:t xml:space="preserve"> </w:t>
            </w:r>
            <w:r w:rsidRPr="00E778A2">
              <w:t>gebührende Leistung fordern („c)“) und die ihm obliegende Leistung bewirken („d)“) kann.“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FD8E63" w14:textId="77777777"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44C358C" w14:textId="77777777"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0C912605" w14:textId="77777777" w:rsidTr="00033F20">
        <w:tc>
          <w:tcPr>
            <w:tcW w:w="7767" w:type="dxa"/>
            <w:gridSpan w:val="2"/>
            <w:shd w:val="clear" w:color="auto" w:fill="auto"/>
          </w:tcPr>
          <w:p w14:paraId="3642AF58" w14:textId="01BD3245"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 xml:space="preserve">zu a) </w:t>
            </w:r>
            <w:r w:rsidRPr="00743391">
              <w:t>Gleichartigkeit: Geldforderung und Geldverbindlichkeit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4D8CA0" w14:textId="5ADE6A04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5189ECE" w14:textId="0C8DC15B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33D86719" w14:textId="77777777" w:rsidTr="00033F20">
        <w:tc>
          <w:tcPr>
            <w:tcW w:w="7767" w:type="dxa"/>
            <w:gridSpan w:val="2"/>
            <w:shd w:val="clear" w:color="auto" w:fill="auto"/>
          </w:tcPr>
          <w:p w14:paraId="376C57D9" w14:textId="1E21CB16"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>zu b)</w:t>
            </w:r>
            <w:r w:rsidRPr="00743391">
              <w:t xml:space="preserve"> Gegenseitigkeit: Gläubiger Hauptforderung = Schuldner Gegenforderung (und umgekehrt)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72E4FD" w14:textId="2BCAF12A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CC7B0DA" w14:textId="3BCC1C84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37E5FF6A" w14:textId="77777777" w:rsidTr="00033F20">
        <w:tc>
          <w:tcPr>
            <w:tcW w:w="7767" w:type="dxa"/>
            <w:gridSpan w:val="2"/>
            <w:shd w:val="clear" w:color="auto" w:fill="auto"/>
          </w:tcPr>
          <w:p w14:paraId="0FF80400" w14:textId="19484CDD"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>zu c)</w:t>
            </w:r>
            <w:r w:rsidRPr="00743391">
              <w:t xml:space="preserve"> Fälligkeit der Hauptforderung: die Forderung des Gläubigers muss fällig sein.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BE2647" w14:textId="07362203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1CF470F" w14:textId="527F43A1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42DA50E4" w14:textId="77777777" w:rsidTr="00033F20">
        <w:tc>
          <w:tcPr>
            <w:tcW w:w="7767" w:type="dxa"/>
            <w:gridSpan w:val="2"/>
            <w:shd w:val="clear" w:color="auto" w:fill="auto"/>
          </w:tcPr>
          <w:p w14:paraId="0D844DD1" w14:textId="51617112" w:rsidR="00E778A2" w:rsidRDefault="00E778A2" w:rsidP="00E778A2">
            <w:pPr>
              <w:spacing w:before="0"/>
            </w:pPr>
            <w:r w:rsidRPr="00E778A2">
              <w:rPr>
                <w:b/>
              </w:rPr>
              <w:t>zu d)</w:t>
            </w:r>
            <w:r w:rsidRPr="00743391">
              <w:t xml:space="preserve"> Erfüllbarkeit der Gegenforderung: Die Verbindlichkeit muss zwar bereits erfüllbar, aber noch nicht fällig sein.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AA0945" w14:textId="02F3ED6C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1325456" w14:textId="53246076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46C4C6DB" w14:textId="77777777" w:rsidTr="00E778A2">
        <w:tc>
          <w:tcPr>
            <w:tcW w:w="4523" w:type="dxa"/>
            <w:shd w:val="clear" w:color="auto" w:fill="auto"/>
            <w:vAlign w:val="bottom"/>
          </w:tcPr>
          <w:p w14:paraId="122736B8" w14:textId="77777777" w:rsidR="00095BBC" w:rsidRDefault="00095BBC" w:rsidP="00A81B35">
            <w:pPr>
              <w:spacing w:before="0"/>
              <w:jc w:val="left"/>
              <w:rPr>
                <w:rFonts w:cs="Wingdings"/>
                <w:b/>
                <w:szCs w:val="22"/>
              </w:rPr>
            </w:pPr>
          </w:p>
          <w:p w14:paraId="72BFD8B2" w14:textId="77777777" w:rsidR="00095BBC" w:rsidRDefault="00095BBC" w:rsidP="00A81B35">
            <w:pPr>
              <w:spacing w:before="0"/>
              <w:jc w:val="left"/>
              <w:rPr>
                <w:rFonts w:cs="Wingdings"/>
                <w:b/>
                <w:szCs w:val="22"/>
              </w:rPr>
            </w:pPr>
          </w:p>
          <w:p w14:paraId="3491FE56" w14:textId="77777777" w:rsidR="00095BBC" w:rsidRDefault="00095BBC" w:rsidP="00A81B35">
            <w:pPr>
              <w:spacing w:before="0"/>
              <w:jc w:val="left"/>
              <w:rPr>
                <w:rFonts w:cs="Wingdings"/>
                <w:b/>
                <w:szCs w:val="22"/>
              </w:rPr>
            </w:pPr>
          </w:p>
          <w:p w14:paraId="4C5E1903" w14:textId="55565D0B" w:rsidR="00A81B35" w:rsidRPr="00A81B35" w:rsidRDefault="00E778A2" w:rsidP="00A81B35">
            <w:pPr>
              <w:spacing w:before="0"/>
              <w:jc w:val="left"/>
              <w:rPr>
                <w:rFonts w:cs="Wingdings"/>
                <w:b/>
                <w:szCs w:val="22"/>
              </w:rPr>
            </w:pPr>
            <w:r w:rsidRPr="00A81B35">
              <w:rPr>
                <w:rFonts w:cs="Wingdings"/>
                <w:b/>
                <w:szCs w:val="22"/>
              </w:rPr>
              <w:t>Bei A:</w:t>
            </w:r>
            <w:r w:rsidR="00095BBC">
              <w:rPr>
                <w:rFonts w:cs="Wingdings"/>
                <w:b/>
                <w:szCs w:val="22"/>
              </w:rPr>
              <w:br/>
            </w:r>
            <w:r w:rsidR="00095BBC">
              <w:rPr>
                <w:rFonts w:cs="Wingdings"/>
                <w:b/>
                <w:szCs w:val="22"/>
              </w:rPr>
              <w:br/>
            </w:r>
          </w:p>
          <w:p w14:paraId="50F26E4B" w14:textId="77777777" w:rsidR="00A81B35" w:rsidRPr="00A81B35" w:rsidRDefault="00E778A2" w:rsidP="00A81B35">
            <w:pPr>
              <w:pStyle w:val="Listenabsatz"/>
              <w:numPr>
                <w:ilvl w:val="0"/>
                <w:numId w:val="31"/>
              </w:numPr>
              <w:spacing w:before="0"/>
              <w:ind w:left="463" w:hanging="425"/>
              <w:jc w:val="left"/>
              <w:rPr>
                <w:rFonts w:cs="Wingdings"/>
                <w:szCs w:val="22"/>
              </w:rPr>
            </w:pPr>
            <w:r w:rsidRPr="00A81B35">
              <w:rPr>
                <w:rFonts w:cs="Wingdings"/>
                <w:szCs w:val="22"/>
              </w:rPr>
              <w:t xml:space="preserve">Ford. gg. B </w:t>
            </w:r>
            <w:r w:rsidRPr="00E778A2">
              <w:sym w:font="Wingdings" w:char="F0E0"/>
            </w:r>
            <w:r w:rsidRPr="00A81B35">
              <w:rPr>
                <w:rFonts w:cs="Wingdings"/>
                <w:szCs w:val="22"/>
              </w:rPr>
              <w:t xml:space="preserve"> bereits fällig</w:t>
            </w:r>
          </w:p>
          <w:p w14:paraId="7F7E03CA" w14:textId="1F6C2036" w:rsidR="00E778A2" w:rsidRPr="00A81B35" w:rsidRDefault="00E778A2" w:rsidP="00A81B35">
            <w:pPr>
              <w:pStyle w:val="Listenabsatz"/>
              <w:numPr>
                <w:ilvl w:val="0"/>
                <w:numId w:val="31"/>
              </w:numPr>
              <w:spacing w:before="0"/>
              <w:ind w:left="463" w:hanging="425"/>
              <w:jc w:val="left"/>
              <w:rPr>
                <w:rFonts w:cs="Wingdings"/>
                <w:szCs w:val="22"/>
              </w:rPr>
            </w:pPr>
            <w:r w:rsidRPr="00A81B35">
              <w:rPr>
                <w:rFonts w:cs="Wingdings"/>
                <w:szCs w:val="22"/>
              </w:rPr>
              <w:t xml:space="preserve">Verb. ggü. B </w:t>
            </w:r>
            <w:r w:rsidRPr="00E778A2">
              <w:sym w:font="Wingdings" w:char="F0E0"/>
            </w:r>
            <w:r w:rsidRPr="00A81B35">
              <w:rPr>
                <w:rFonts w:cs="Wingdings"/>
                <w:szCs w:val="22"/>
              </w:rPr>
              <w:t xml:space="preserve"> in 10 Tagen fällig</w:t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206466B4" w14:textId="223BA9CA" w:rsidR="00E778A2" w:rsidRDefault="00095BBC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E15DCE2" wp14:editId="57E69F15">
                      <wp:simplePos x="0" y="0"/>
                      <wp:positionH relativeFrom="column">
                        <wp:posOffset>-253289</wp:posOffset>
                      </wp:positionH>
                      <wp:positionV relativeFrom="paragraph">
                        <wp:posOffset>193703</wp:posOffset>
                      </wp:positionV>
                      <wp:extent cx="2052219" cy="1177544"/>
                      <wp:effectExtent l="0" t="0" r="5715" b="3810"/>
                      <wp:wrapNone/>
                      <wp:docPr id="11" name="Gruppieren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219" cy="1177544"/>
                                <a:chOff x="0" y="0"/>
                                <a:chExt cx="2052219" cy="1177544"/>
                              </a:xfrm>
                            </wpg:grpSpPr>
                            <wps:wsp>
                              <wps:cNvPr id="6" name="Ellipse 6"/>
                              <wps:cNvSpPr/>
                              <wps:spPr>
                                <a:xfrm>
                                  <a:off x="263347" y="226772"/>
                                  <a:ext cx="1550035" cy="694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" name="Gruppieren 9"/>
                              <wpg:cNvGrpSpPr/>
                              <wpg:grpSpPr>
                                <a:xfrm>
                                  <a:off x="1404519" y="358445"/>
                                  <a:ext cx="647700" cy="383260"/>
                                  <a:chOff x="0" y="0"/>
                                  <a:chExt cx="647700" cy="383260"/>
                                </a:xfrm>
                              </wpg:grpSpPr>
                              <wps:wsp>
                                <wps:cNvPr id="4" name="Rechteck: abgerundete Ecken 4"/>
                                <wps:cNvSpPr/>
                                <wps:spPr>
                                  <a:xfrm>
                                    <a:off x="0" y="21945"/>
                                    <a:ext cx="647700" cy="36131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feld 5"/>
                                <wps:cNvSpPr txBox="1"/>
                                <wps:spPr>
                                  <a:xfrm>
                                    <a:off x="0" y="0"/>
                                    <a:ext cx="64770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6F4E62" w14:textId="447DADE0" w:rsidR="006E6C7B" w:rsidRPr="006E6C7B" w:rsidRDefault="006E6C7B" w:rsidP="006E6C7B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" name="Textfeld 7"/>
                              <wps:cNvSpPr txBox="1"/>
                              <wps:spPr>
                                <a:xfrm>
                                  <a:off x="592531" y="877824"/>
                                  <a:ext cx="106045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67616B" w14:textId="2E70A6E9" w:rsidR="007E0BA2" w:rsidRPr="007E0BA2" w:rsidRDefault="007E0BA2" w:rsidP="007E0BA2">
                                    <w:pPr>
                                      <w:jc w:val="center"/>
                                      <w:rPr>
                                        <w:b/>
                                        <w:color w:val="00B050"/>
                                        <w:sz w:val="16"/>
                                      </w:rPr>
                                    </w:pPr>
                                    <w:r w:rsidRPr="007E0BA2">
                                      <w:rPr>
                                        <w:b/>
                                        <w:sz w:val="16"/>
                                      </w:rPr>
                                      <w:t xml:space="preserve">Ware geliefert </w:t>
                                    </w:r>
                                    <w:r w:rsidRPr="007E0BA2">
                                      <w:rPr>
                                        <w:b/>
                                        <w:color w:val="00B050"/>
                                        <w:sz w:val="16"/>
                                      </w:rPr>
                                      <w:sym w:font="Webdings" w:char="F061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feld 8"/>
                              <wps:cNvSpPr txBox="1"/>
                              <wps:spPr>
                                <a:xfrm>
                                  <a:off x="592531" y="0"/>
                                  <a:ext cx="1060704" cy="299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30F2AD" w14:textId="77777777" w:rsidR="007E0BA2" w:rsidRPr="007E0BA2" w:rsidRDefault="007E0BA2" w:rsidP="007E0BA2">
                                    <w:pPr>
                                      <w:jc w:val="center"/>
                                      <w:rPr>
                                        <w:b/>
                                        <w:color w:val="00B050"/>
                                        <w:sz w:val="16"/>
                                      </w:rPr>
                                    </w:pPr>
                                    <w:r w:rsidRPr="007E0BA2">
                                      <w:rPr>
                                        <w:b/>
                                        <w:sz w:val="16"/>
                                      </w:rPr>
                                      <w:t xml:space="preserve">Ware geliefert </w:t>
                                    </w:r>
                                    <w:r w:rsidRPr="007E0BA2">
                                      <w:rPr>
                                        <w:b/>
                                        <w:color w:val="00B050"/>
                                        <w:sz w:val="16"/>
                                      </w:rPr>
                                      <w:sym w:font="Webdings" w:char="F061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uppieren 10"/>
                              <wpg:cNvGrpSpPr/>
                              <wpg:grpSpPr>
                                <a:xfrm>
                                  <a:off x="0" y="358445"/>
                                  <a:ext cx="647065" cy="389890"/>
                                  <a:chOff x="-5" y="-14638"/>
                                  <a:chExt cx="647705" cy="390584"/>
                                </a:xfrm>
                              </wpg:grpSpPr>
                              <wps:wsp>
                                <wps:cNvPr id="2" name="Rechteck: abgerundete Ecken 2"/>
                                <wps:cNvSpPr/>
                                <wps:spPr>
                                  <a:xfrm>
                                    <a:off x="0" y="14631"/>
                                    <a:ext cx="647700" cy="36131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feld 3"/>
                                <wps:cNvSpPr txBox="1"/>
                                <wps:spPr>
                                  <a:xfrm>
                                    <a:off x="-5" y="-14638"/>
                                    <a:ext cx="64770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843C1D" w14:textId="77777777" w:rsidR="006E6C7B" w:rsidRPr="006E6C7B" w:rsidRDefault="006E6C7B" w:rsidP="006E6C7B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6E6C7B">
                                        <w:rPr>
                                          <w:b/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5DCE2" id="Gruppieren 11" o:spid="_x0000_s1026" style="position:absolute;left:0;text-align:left;margin-left:-19.95pt;margin-top:15.25pt;width:161.6pt;height:92.7pt;z-index:251672576;mso-width-relative:margin;mso-height-relative:margin" coordsize="20522,1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">
                      <v:oval id="Ellipse 6" o:spid="_x0000_s1027" style="position:absolute;left:2633;top:2267;width:15500;height:6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" filled="f" strokecolor="black [3213]"/>
                      <v:group id="Gruppieren 9" o:spid="_x0000_s1028" style="position:absolute;left:14045;top:3584;width:6477;height:3833" coordsize="6477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echteck: abgerundete Ecken 4" o:spid="_x0000_s1029" style="position:absolute;top:219;width:6477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" fillcolor="#d8d8d8 [2732]" stroked="f" strokeweight="2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5" o:spid="_x0000_s1030" type="#_x0000_t202" style="position:absolute;width:647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" filled="f" stroked="f" strokeweight=".5pt">
                          <v:textbox inset=",0,,0">
                            <w:txbxContent>
                              <w:p w14:paraId="416F4E62" w14:textId="447DADE0" w:rsidR="006E6C7B" w:rsidRPr="006E6C7B" w:rsidRDefault="006E6C7B" w:rsidP="006E6C7B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Textfeld 7" o:spid="_x0000_s1031" type="#_x0000_t202" style="position:absolute;left:5925;top:8778;width:1060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" filled="f" stroked="f" strokeweight=".5pt">
                        <v:textbox inset=",0,,0">
                          <w:txbxContent>
                            <w:p w14:paraId="0967616B" w14:textId="2E70A6E9" w:rsidR="007E0BA2" w:rsidRPr="007E0BA2" w:rsidRDefault="007E0BA2" w:rsidP="007E0BA2">
                              <w:pPr>
                                <w:jc w:val="center"/>
                                <w:rPr>
                                  <w:b/>
                                  <w:color w:val="00B050"/>
                                  <w:sz w:val="16"/>
                                </w:rPr>
                              </w:pPr>
                              <w:r w:rsidRPr="007E0BA2">
                                <w:rPr>
                                  <w:b/>
                                  <w:sz w:val="16"/>
                                </w:rPr>
                                <w:t xml:space="preserve">Ware geliefert </w:t>
                              </w:r>
                              <w:r w:rsidRPr="007E0BA2">
                                <w:rPr>
                                  <w:b/>
                                  <w:color w:val="00B050"/>
                                  <w:sz w:val="16"/>
                                </w:rPr>
                                <w:sym w:font="Webdings" w:char="F061"/>
                              </w:r>
                            </w:p>
                          </w:txbxContent>
                        </v:textbox>
                      </v:shape>
                      <v:shape id="Textfeld 8" o:spid="_x0000_s1032" type="#_x0000_t202" style="position:absolute;left:5925;width:10607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" filled="f" stroked="f" strokeweight=".5pt">
                        <v:textbox inset=",0,,0">
                          <w:txbxContent>
                            <w:p w14:paraId="3B30F2AD" w14:textId="77777777" w:rsidR="007E0BA2" w:rsidRPr="007E0BA2" w:rsidRDefault="007E0BA2" w:rsidP="007E0BA2">
                              <w:pPr>
                                <w:jc w:val="center"/>
                                <w:rPr>
                                  <w:b/>
                                  <w:color w:val="00B050"/>
                                  <w:sz w:val="16"/>
                                </w:rPr>
                              </w:pPr>
                              <w:r w:rsidRPr="007E0BA2">
                                <w:rPr>
                                  <w:b/>
                                  <w:sz w:val="16"/>
                                </w:rPr>
                                <w:t xml:space="preserve">Ware geliefert </w:t>
                              </w:r>
                              <w:r w:rsidRPr="007E0BA2">
                                <w:rPr>
                                  <w:b/>
                                  <w:color w:val="00B050"/>
                                  <w:sz w:val="16"/>
                                </w:rPr>
                                <w:sym w:font="Webdings" w:char="F061"/>
                              </w:r>
                            </w:p>
                          </w:txbxContent>
                        </v:textbox>
                      </v:shape>
                      <v:group id="Gruppieren 10" o:spid="_x0000_s1033" style="position:absolute;top:3584;width:6470;height:3899" coordorigin=",-146" coordsize="6477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echteck: abgerundete Ecken 2" o:spid="_x0000_s1034" style="position:absolute;top:146;width:6477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" fillcolor="#d8d8d8 [2732]" stroked="f" strokeweight="2pt"/>
                        <v:shape id="Textfeld 3" o:spid="_x0000_s1035" type="#_x0000_t202" style="position:absolute;top:-146;width:6476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" filled="f" stroked="f" strokeweight=".5pt">
                          <v:textbox inset=",0,,0">
                            <w:txbxContent>
                              <w:p w14:paraId="24843C1D" w14:textId="77777777" w:rsidR="006E6C7B" w:rsidRPr="006E6C7B" w:rsidRDefault="006E6C7B" w:rsidP="006E6C7B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6E6C7B">
                                  <w:rPr>
                                    <w:b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E778A2" w:rsidRPr="00E65739" w14:paraId="4D66CAFB" w14:textId="77777777" w:rsidTr="00033F20">
        <w:tc>
          <w:tcPr>
            <w:tcW w:w="7767" w:type="dxa"/>
            <w:gridSpan w:val="2"/>
            <w:shd w:val="clear" w:color="auto" w:fill="auto"/>
          </w:tcPr>
          <w:p w14:paraId="060D93A2" w14:textId="77777777" w:rsidR="00E778A2" w:rsidRPr="00765544" w:rsidRDefault="00E778A2" w:rsidP="00E778A2">
            <w:pPr>
              <w:pStyle w:val="Listenabsatz"/>
              <w:numPr>
                <w:ilvl w:val="0"/>
                <w:numId w:val="30"/>
              </w:numPr>
              <w:spacing w:before="0"/>
              <w:ind w:left="463" w:hanging="425"/>
            </w:pPr>
            <w:r w:rsidRPr="00765544">
              <w:t>Eine am Bilanzstichtag fällige Forderung des Unternehmens A gegen Unternehmen B kann mit einer 10 Tage später fälligen Verbindlichkeit des Unternehmens A gegenüber B saldiert werden.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E559AF" w14:textId="77777777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6AE7260" w14:textId="77777777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14:paraId="00B01992" w14:textId="77777777" w:rsidTr="00033F20">
        <w:tc>
          <w:tcPr>
            <w:tcW w:w="7767" w:type="dxa"/>
            <w:gridSpan w:val="2"/>
            <w:shd w:val="clear" w:color="auto" w:fill="auto"/>
          </w:tcPr>
          <w:p w14:paraId="7B85CD8E" w14:textId="77777777" w:rsidR="00E778A2" w:rsidRDefault="00E778A2" w:rsidP="00E778A2">
            <w:pPr>
              <w:pStyle w:val="Listenabsatz"/>
              <w:numPr>
                <w:ilvl w:val="0"/>
                <w:numId w:val="30"/>
              </w:numPr>
              <w:spacing w:before="0"/>
              <w:ind w:left="463" w:hanging="425"/>
            </w:pPr>
            <w:r w:rsidRPr="00765544">
              <w:t>Für die Verrechnung von Forderungen und Verbindlichkeiten muss lediglich eine Aufrechnungslage nach § 387 BGB gegeben sein.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2BC0A3" w14:textId="77777777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48A1763" w14:textId="77777777"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14:paraId="7ED19907" w14:textId="77777777" w:rsidR="00A81B35" w:rsidRDefault="00A81B35" w:rsidP="00E8473F">
      <w:pPr>
        <w:rPr>
          <w:szCs w:val="28"/>
        </w:rPr>
      </w:pPr>
    </w:p>
    <w:p w14:paraId="49E89B14" w14:textId="77777777" w:rsidR="00A81B35" w:rsidRDefault="00A81B35">
      <w:pPr>
        <w:spacing w:befor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E65739" w14:paraId="3DB753C2" w14:textId="77777777" w:rsidTr="00C2478A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14:paraId="7B92251B" w14:textId="77777777"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Frage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14:paraId="30A66AA8" w14:textId="77777777"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566D98" w14:textId="77777777"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tr w:rsidR="00A81B35" w:rsidRPr="00E65739" w14:paraId="6D1CD5E3" w14:textId="77777777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14:paraId="3D1516EA" w14:textId="77777777" w:rsidR="00A81B35" w:rsidRDefault="00A81B35" w:rsidP="00C2478A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A81B35">
              <w:rPr>
                <w:szCs w:val="22"/>
              </w:rPr>
              <w:t>A verkauft an B am 11.12.01 Ware EXW in Höhe von TEUR 100. In der Rechnung ist als Zahlungsziel vereinbart: „2 % Skonto bei Zahlung innerhalb von 14 Tagen oder 30 Tage ohne Abzug“. Die Ware wird am 12.12.01 verpackt und ins Versandlager gestellt. B wird noch am selben Tag hierüber informiert. B beauftragt am 14.12.01 den Spediteur X die Ware bei A abzuholen. Die Abholung der Ware erfolgt am 31.12.01.</w:t>
            </w:r>
          </w:p>
        </w:tc>
      </w:tr>
      <w:tr w:rsidR="00A81B35" w:rsidRPr="00E65739" w14:paraId="54BFEDFD" w14:textId="77777777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14:paraId="06465F3A" w14:textId="77777777"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B hat A wiederum am 12.12.01 auf Lager befindliche Ware XYZ in Höhe von TEUR 100 verkauft. Ein Zahlungsziel wurde nicht vereinbart. A holt die Ware bei Bereitstellung am 15.12.01 ab.</w:t>
            </w:r>
          </w:p>
        </w:tc>
      </w:tr>
      <w:tr w:rsidR="00A81B35" w:rsidRPr="00E65739" w14:paraId="178F4865" w14:textId="77777777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14:paraId="6219EC68" w14:textId="77777777"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Eine Zahlung bis zum 31.12.01 ist weder durch A noch durch B erfolgt.</w:t>
            </w:r>
          </w:p>
        </w:tc>
      </w:tr>
      <w:tr w:rsidR="00A81B35" w:rsidRPr="00E65739" w14:paraId="18B205BB" w14:textId="77777777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14:paraId="6ED912C5" w14:textId="77777777"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Wer darf seine Forderungen mit seinen Verbindlichkeiten ab wann saldieren?</w:t>
            </w:r>
          </w:p>
        </w:tc>
      </w:tr>
      <w:tr w:rsidR="00A81B35" w:rsidRPr="00E65739" w14:paraId="4C4711CA" w14:textId="77777777" w:rsidTr="00C2478A">
        <w:tc>
          <w:tcPr>
            <w:tcW w:w="7767" w:type="dxa"/>
            <w:shd w:val="clear" w:color="auto" w:fill="auto"/>
            <w:vAlign w:val="center"/>
          </w:tcPr>
          <w:p w14:paraId="00929BA6" w14:textId="77777777" w:rsidR="00A81B35" w:rsidRPr="001F3BFE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63" w:hanging="425"/>
              <w:jc w:val="left"/>
            </w:pPr>
            <w:r w:rsidRPr="00A81B35">
              <w:t>A mit B am 14.12.01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69D213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DACE12B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A81B35" w:rsidRPr="00E65739" w14:paraId="4C0C465F" w14:textId="77777777" w:rsidTr="00C2478A">
        <w:tc>
          <w:tcPr>
            <w:tcW w:w="7767" w:type="dxa"/>
            <w:shd w:val="clear" w:color="auto" w:fill="auto"/>
            <w:vAlign w:val="center"/>
          </w:tcPr>
          <w:p w14:paraId="5D824866" w14:textId="77777777" w:rsidR="00A81B35" w:rsidRPr="001F3BFE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</w:pPr>
            <w:r w:rsidRPr="00A81B35">
              <w:t>A mit B am 31.12.01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205EF9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6E86233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A81B35" w:rsidRPr="00E65739" w14:paraId="07D2E249" w14:textId="77777777" w:rsidTr="00C2478A">
        <w:tc>
          <w:tcPr>
            <w:tcW w:w="7767" w:type="dxa"/>
            <w:shd w:val="clear" w:color="auto" w:fill="auto"/>
            <w:vAlign w:val="center"/>
          </w:tcPr>
          <w:p w14:paraId="0DF4907E" w14:textId="77777777" w:rsidR="00A81B35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A81B35">
              <w:t>B mit A am 14.12.01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57ED6A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A3BEBD4" w14:textId="77777777"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A81B35" w:rsidRPr="00E65739" w14:paraId="116313B4" w14:textId="77777777" w:rsidTr="00C2478A">
        <w:tc>
          <w:tcPr>
            <w:tcW w:w="7767" w:type="dxa"/>
            <w:shd w:val="clear" w:color="auto" w:fill="auto"/>
            <w:vAlign w:val="center"/>
          </w:tcPr>
          <w:p w14:paraId="403FBBD3" w14:textId="77777777" w:rsidR="00A81B35" w:rsidRPr="00E778A2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A81B35">
              <w:t>B mit A am 31.12.01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15550F" w14:textId="77777777"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56CFE43" w14:textId="77777777"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14:paraId="20F79F2F" w14:textId="77777777" w:rsidR="00A81B35" w:rsidRDefault="00A81B35" w:rsidP="00E8473F">
      <w:pPr>
        <w:rPr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0773A3" w14:paraId="4A9161A8" w14:textId="77777777" w:rsidTr="00C2478A">
        <w:tc>
          <w:tcPr>
            <w:tcW w:w="7767" w:type="dxa"/>
            <w:shd w:val="clear" w:color="auto" w:fill="F2F2F2" w:themeFill="background1" w:themeFillShade="F2"/>
          </w:tcPr>
          <w:p w14:paraId="56A289CA" w14:textId="77777777"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2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348D01AB" w14:textId="77777777"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2085DD8E" w14:textId="77777777"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A81B35" w:rsidRPr="00E65739" w14:paraId="377B9E84" w14:textId="77777777" w:rsidTr="00C2478A">
        <w:tc>
          <w:tcPr>
            <w:tcW w:w="7767" w:type="dxa"/>
            <w:shd w:val="clear" w:color="auto" w:fill="auto"/>
          </w:tcPr>
          <w:p w14:paraId="465C5867" w14:textId="77777777" w:rsidR="00A81B35" w:rsidRPr="00743391" w:rsidRDefault="00A81B35" w:rsidP="00C2478A">
            <w:pPr>
              <w:spacing w:before="0"/>
            </w:pPr>
            <w:r w:rsidRPr="00E778A2">
              <w:rPr>
                <w:b/>
              </w:rPr>
              <w:t xml:space="preserve">zu a) </w:t>
            </w:r>
            <w:r w:rsidRPr="00A81B35">
              <w:t>Die Lieferung der Ware erfolgte am 12.12.01 mit Bereitstellung der Ware auf dem Lager. Hiernach ist die Zahlung 30 Tage später (11.01.02) fällig. B kann, muss aber nicht vorher zahlen.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B8303F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81FD002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14:paraId="15BAA4A2" w14:textId="77777777" w:rsidTr="00C2478A">
        <w:tc>
          <w:tcPr>
            <w:tcW w:w="7767" w:type="dxa"/>
            <w:shd w:val="clear" w:color="auto" w:fill="auto"/>
          </w:tcPr>
          <w:p w14:paraId="1C7CF3DD" w14:textId="77777777" w:rsidR="00A81B35" w:rsidRPr="00743391" w:rsidRDefault="00A81B35" w:rsidP="00C2478A">
            <w:pPr>
              <w:spacing w:before="0"/>
            </w:pPr>
            <w:r w:rsidRPr="00E778A2">
              <w:rPr>
                <w:b/>
              </w:rPr>
              <w:t>zu b)</w:t>
            </w:r>
            <w:r w:rsidRPr="00743391">
              <w:t xml:space="preserve"> </w:t>
            </w:r>
            <w:r w:rsidRPr="00A81B35">
              <w:t>siehe „a)“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A42AD3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50B8358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14:paraId="6A11DFA3" w14:textId="77777777" w:rsidTr="00C2478A">
        <w:tc>
          <w:tcPr>
            <w:tcW w:w="7767" w:type="dxa"/>
            <w:shd w:val="clear" w:color="auto" w:fill="auto"/>
          </w:tcPr>
          <w:p w14:paraId="344A9BC7" w14:textId="77777777" w:rsidR="00A81B35" w:rsidRPr="00743391" w:rsidRDefault="00A81B35" w:rsidP="00C2478A">
            <w:pPr>
              <w:spacing w:before="0"/>
            </w:pPr>
            <w:r w:rsidRPr="00E778A2">
              <w:rPr>
                <w:b/>
              </w:rPr>
              <w:t>zu c)</w:t>
            </w:r>
            <w:r w:rsidRPr="00743391">
              <w:t xml:space="preserve"> </w:t>
            </w:r>
            <w:r w:rsidRPr="00A81B35">
              <w:t>B hat am 14.12. seine Leistung noch nicht bewirkt, die Ware befindet sich zwar im Lager, ist aber noch nicht zur Abholung bereitgestellt. Er besitzt noch keine fällige Forderung.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46F6FA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67D9034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14:paraId="5C9ABAF0" w14:textId="77777777" w:rsidTr="00C2478A">
        <w:tc>
          <w:tcPr>
            <w:tcW w:w="7767" w:type="dxa"/>
            <w:shd w:val="clear" w:color="auto" w:fill="auto"/>
          </w:tcPr>
          <w:p w14:paraId="4ABD5003" w14:textId="77777777" w:rsidR="00A81B35" w:rsidRDefault="00A81B35" w:rsidP="00C2478A">
            <w:pPr>
              <w:spacing w:before="0"/>
            </w:pPr>
            <w:r w:rsidRPr="00E778A2">
              <w:rPr>
                <w:b/>
              </w:rPr>
              <w:t>zu d)</w:t>
            </w:r>
            <w:r w:rsidRPr="00743391">
              <w:t xml:space="preserve"> </w:t>
            </w:r>
            <w:r w:rsidRPr="00A81B35">
              <w:t>Erst am 15.12.01 mit Leistungserbringung wird seine Forderung (sofort) fällig. Ab diesem Zeitpunkt kann B einseitig seine Forderungen gegen A mit seinen Verbindlichkeiten aufrechnen.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B35283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09715A1D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14:paraId="773A2617" w14:textId="77777777" w:rsidTr="00C2478A">
        <w:tc>
          <w:tcPr>
            <w:tcW w:w="7767" w:type="dxa"/>
            <w:shd w:val="clear" w:color="auto" w:fill="auto"/>
          </w:tcPr>
          <w:p w14:paraId="37027011" w14:textId="77777777" w:rsidR="00A81B35" w:rsidRDefault="00A81B35" w:rsidP="00C2478A">
            <w:pPr>
              <w:pStyle w:val="Listenabsatz"/>
              <w:numPr>
                <w:ilvl w:val="0"/>
                <w:numId w:val="30"/>
              </w:numPr>
              <w:spacing w:before="0"/>
              <w:ind w:left="463" w:hanging="425"/>
            </w:pPr>
            <w:r w:rsidRPr="00A81B35">
              <w:t>Bewirken der ihm obliegenden Leistung“ im Sinne des § 387 BGB ist auf die gleichartige Leistung im Sinne von Geld gerichtet, nicht auf die Lieferung der Ware.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91FEB6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2E57158" w14:textId="77777777"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14:paraId="0CD43A7E" w14:textId="77777777" w:rsidR="00A81B35" w:rsidRPr="00BC04E1" w:rsidRDefault="00A81B35" w:rsidP="00E8473F">
      <w:pPr>
        <w:rPr>
          <w:szCs w:val="28"/>
        </w:rPr>
      </w:pPr>
    </w:p>
    <w:sectPr w:rsidR="00A81B3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76A66" w14:textId="77777777" w:rsidR="007F3E51" w:rsidRDefault="007F3E51">
      <w:pPr>
        <w:spacing w:before="0"/>
      </w:pPr>
      <w:r>
        <w:separator/>
      </w:r>
    </w:p>
  </w:endnote>
  <w:endnote w:type="continuationSeparator" w:id="0">
    <w:p w14:paraId="7C38FC3C" w14:textId="77777777"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410B" w14:textId="77777777" w:rsidR="002062E0" w:rsidRDefault="002A6889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4EF86BE5" wp14:editId="2B5005C3">
          <wp:simplePos x="0" y="0"/>
          <wp:positionH relativeFrom="column">
            <wp:posOffset>1504950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14:paraId="68FA45F8" w14:textId="77777777"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783ACA">
      <w:rPr>
        <w:rFonts w:eastAsiaTheme="minorHAnsi" w:cstheme="minorBidi"/>
        <w:b/>
        <w:color w:val="00B0F0"/>
        <w:sz w:val="20"/>
        <w:lang w:eastAsia="en-US"/>
      </w:rPr>
      <w:t>Lösungen PF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DD0FD" w14:textId="77777777"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0EC0" w14:textId="77777777" w:rsidR="007F3E51" w:rsidRDefault="007F3E51" w:rsidP="00EE217B">
      <w:pPr>
        <w:pStyle w:val="Fuzeile"/>
      </w:pPr>
    </w:p>
    <w:p w14:paraId="2406A9C1" w14:textId="77777777"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25D40B4" w14:textId="77777777" w:rsidR="007F3E51" w:rsidRDefault="007F3E51" w:rsidP="00711AB6">
      <w:pPr>
        <w:spacing w:before="0"/>
        <w:jc w:val="center"/>
      </w:pPr>
    </w:p>
    <w:p w14:paraId="7E883F82" w14:textId="77777777"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79" w14:textId="77777777"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A44E0" w14:textId="77777777"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6D18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3A45AAB"/>
    <w:multiLevelType w:val="hybridMultilevel"/>
    <w:tmpl w:val="2110A8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0" w15:restartNumberingAfterBreak="0">
    <w:nsid w:val="7DFB4BC2"/>
    <w:multiLevelType w:val="hybridMultilevel"/>
    <w:tmpl w:val="159A0C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5"/>
  </w:num>
  <w:num w:numId="12">
    <w:abstractNumId w:val="11"/>
  </w:num>
  <w:num w:numId="13">
    <w:abstractNumId w:val="13"/>
  </w:num>
  <w:num w:numId="14">
    <w:abstractNumId w:val="24"/>
  </w:num>
  <w:num w:numId="15">
    <w:abstractNumId w:val="17"/>
  </w:num>
  <w:num w:numId="16">
    <w:abstractNumId w:val="14"/>
  </w:num>
  <w:num w:numId="17">
    <w:abstractNumId w:val="19"/>
  </w:num>
  <w:num w:numId="18">
    <w:abstractNumId w:val="23"/>
  </w:num>
  <w:num w:numId="19">
    <w:abstractNumId w:val="12"/>
  </w:num>
  <w:num w:numId="20">
    <w:abstractNumId w:val="8"/>
  </w:num>
  <w:num w:numId="21">
    <w:abstractNumId w:val="21"/>
  </w:num>
  <w:num w:numId="22">
    <w:abstractNumId w:val="18"/>
  </w:num>
  <w:num w:numId="23">
    <w:abstractNumId w:val="27"/>
  </w:num>
  <w:num w:numId="24">
    <w:abstractNumId w:val="9"/>
  </w:num>
  <w:num w:numId="25">
    <w:abstractNumId w:val="28"/>
  </w:num>
  <w:num w:numId="26">
    <w:abstractNumId w:val="22"/>
  </w:num>
  <w:num w:numId="27">
    <w:abstractNumId w:val="31"/>
  </w:num>
  <w:num w:numId="28">
    <w:abstractNumId w:val="15"/>
  </w:num>
  <w:num w:numId="29">
    <w:abstractNumId w:val="20"/>
  </w:num>
  <w:num w:numId="30">
    <w:abstractNumId w:val="26"/>
  </w:num>
  <w:num w:numId="31">
    <w:abstractNumId w:val="30"/>
  </w:num>
  <w:num w:numId="3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5BBC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0D62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A6889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6C7B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540BC"/>
    <w:rsid w:val="00761107"/>
    <w:rsid w:val="007626C5"/>
    <w:rsid w:val="00763FC1"/>
    <w:rsid w:val="007648E0"/>
    <w:rsid w:val="00765666"/>
    <w:rsid w:val="00772791"/>
    <w:rsid w:val="00783ACA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E0BA2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1B35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778A2"/>
    <w:rsid w:val="00E8473F"/>
    <w:rsid w:val="00EA0865"/>
    <w:rsid w:val="00EA2ACF"/>
    <w:rsid w:val="00EA74B3"/>
    <w:rsid w:val="00EC00F0"/>
    <w:rsid w:val="00EE217B"/>
    <w:rsid w:val="00EE2E51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55EC164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04A7ACC-DAF2-4458-ACA1-6C89F491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485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Geisler, Marc</cp:lastModifiedBy>
  <cp:revision>31</cp:revision>
  <cp:lastPrinted>2025-10-10T09:04:00Z</cp:lastPrinted>
  <dcterms:created xsi:type="dcterms:W3CDTF">2023-09-18T11:19:00Z</dcterms:created>
  <dcterms:modified xsi:type="dcterms:W3CDTF">2025-10-10T09:29:00Z</dcterms:modified>
</cp:coreProperties>
</file>