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8"/>
        <w:gridCol w:w="424"/>
      </w:tblGrid>
      <w:tr w:rsidR="00AF76A2" w:rsidRPr="000503CF" w:rsidTr="00CA64ED">
        <w:trPr>
          <w:cantSplit/>
          <w:trHeight w:val="830"/>
        </w:trPr>
        <w:tc>
          <w:tcPr>
            <w:tcW w:w="8648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:rsidR="000773A3" w:rsidRDefault="009274B5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color w:val="00B0F0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 xml:space="preserve">Lösungshinweise zu </w:t>
            </w:r>
            <w:r w:rsidR="00885CEC">
              <w:rPr>
                <w:rFonts w:ascii="Century Gothic" w:hAnsi="Century Gothic"/>
                <w:color w:val="00B0F0"/>
                <w:sz w:val="28"/>
              </w:rPr>
              <w:t>Praxisfragen</w:t>
            </w:r>
          </w:p>
          <w:p w:rsidR="00AF76A2" w:rsidRPr="007D6927" w:rsidRDefault="00885CEC" w:rsidP="001A6337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color w:val="00B0F0"/>
                <w:sz w:val="28"/>
              </w:rPr>
              <w:t>Themenbereich</w:t>
            </w:r>
            <w:r w:rsidR="00B50770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B8248A">
              <w:rPr>
                <w:rFonts w:ascii="Century Gothic" w:hAnsi="Century Gothic"/>
                <w:color w:val="00B0F0"/>
                <w:sz w:val="28"/>
              </w:rPr>
              <w:t>8</w:t>
            </w:r>
            <w:r w:rsidR="003A7861" w:rsidRPr="00280D52">
              <w:rPr>
                <w:rFonts w:ascii="Century Gothic" w:hAnsi="Century Gothic"/>
                <w:color w:val="00B0F0"/>
                <w:sz w:val="28"/>
              </w:rPr>
              <w:t>:</w:t>
            </w:r>
            <w:r w:rsidR="005E0577" w:rsidRPr="00280D52">
              <w:rPr>
                <w:rFonts w:ascii="Century Gothic" w:hAnsi="Century Gothic"/>
                <w:color w:val="00B0F0"/>
                <w:sz w:val="28"/>
              </w:rPr>
              <w:t xml:space="preserve"> </w:t>
            </w:r>
            <w:r w:rsidR="00480A8A">
              <w:rPr>
                <w:rFonts w:ascii="Century Gothic" w:hAnsi="Century Gothic"/>
                <w:b w:val="0"/>
                <w:color w:val="00B0F0"/>
                <w:sz w:val="28"/>
              </w:rPr>
              <w:t xml:space="preserve">Bilanzierung </w:t>
            </w:r>
            <w:r w:rsidR="00B8248A">
              <w:rPr>
                <w:rFonts w:ascii="Century Gothic" w:hAnsi="Century Gothic"/>
                <w:b w:val="0"/>
                <w:color w:val="00B0F0"/>
                <w:sz w:val="28"/>
              </w:rPr>
              <w:t>sonstige Vermögensgegenstände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:rsidR="00AF76A2" w:rsidRPr="00B34064" w:rsidRDefault="00B50770" w:rsidP="00AF76A2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sz w:val="28"/>
              </w:rPr>
            </w:pPr>
            <w:r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0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7</w:t>
            </w:r>
            <w:r w:rsidR="00AF76A2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/202</w:t>
            </w:r>
            <w:r w:rsidR="00885CEC" w:rsidRPr="00885CEC">
              <w:rPr>
                <w:rFonts w:ascii="Century Gothic" w:hAnsi="Century Gothic"/>
                <w:b w:val="0"/>
                <w:color w:val="00B0F0"/>
                <w:sz w:val="12"/>
                <w:shd w:val="clear" w:color="auto" w:fill="00B0F0"/>
              </w:rPr>
              <w:t>5</w:t>
            </w:r>
          </w:p>
        </w:tc>
      </w:tr>
    </w:tbl>
    <w:p w:rsidR="00F3121A" w:rsidRPr="00354556" w:rsidRDefault="00F3121A" w:rsidP="008A5560">
      <w:pPr>
        <w:spacing w:before="0"/>
        <w:rPr>
          <w:sz w:val="24"/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E65739" w:rsidTr="001374FD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885CEC" w:rsidRPr="00E65739" w:rsidRDefault="00885CEC" w:rsidP="00885CEC">
            <w:pPr>
              <w:spacing w:before="0"/>
              <w:rPr>
                <w:b/>
                <w:sz w:val="24"/>
                <w:szCs w:val="28"/>
              </w:rPr>
            </w:pPr>
            <w:bookmarkStart w:id="0" w:name="_Hlk203041342"/>
            <w:r>
              <w:rPr>
                <w:b/>
                <w:sz w:val="24"/>
                <w:szCs w:val="28"/>
              </w:rPr>
              <w:t>Frage 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85CEC" w:rsidRPr="000773A3" w:rsidRDefault="00885CEC" w:rsidP="00885CEC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bookmarkEnd w:id="0"/>
      <w:tr w:rsidR="000773A3" w:rsidRPr="00E65739" w:rsidTr="000773A3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left"/>
              <w:rPr>
                <w:b/>
                <w:sz w:val="24"/>
                <w:szCs w:val="28"/>
              </w:rPr>
            </w:pPr>
            <w:r w:rsidRPr="00B8248A">
              <w:rPr>
                <w:szCs w:val="22"/>
              </w:rPr>
              <w:t>Welche der folgenden Aussagen sind zutreffend?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248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Kreditorenkonto am Ende des Geschäftsjahres einen Sollsaldo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E778A2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Pr="001F3BFE" w:rsidRDefault="00B8248A" w:rsidP="0067331C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</w:pPr>
            <w:r w:rsidRPr="00B8248A">
              <w:t>Ein „Debitorischer Kreditor“ liegt vor, wenn ein Debitorenkonto am Ende des Geschäftsjahres einen Sollsaldo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4B730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0773A3" w:rsidRPr="00E65739" w:rsidTr="000773A3">
        <w:tc>
          <w:tcPr>
            <w:tcW w:w="7767" w:type="dxa"/>
            <w:shd w:val="clear" w:color="auto" w:fill="auto"/>
            <w:vAlign w:val="center"/>
          </w:tcPr>
          <w:p w:rsidR="00885CEC" w:rsidRDefault="00B8248A" w:rsidP="000773A3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Kreditorenkonto am Ende des Geschäftsjahres einen Habensaldo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885CEC" w:rsidRDefault="00B8248A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885CEC" w:rsidRDefault="004B730C" w:rsidP="00885CEC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E778A2" w:rsidRPr="00E65739" w:rsidTr="000773A3">
        <w:tc>
          <w:tcPr>
            <w:tcW w:w="7767" w:type="dxa"/>
            <w:shd w:val="clear" w:color="auto" w:fill="auto"/>
            <w:vAlign w:val="center"/>
          </w:tcPr>
          <w:p w:rsidR="00E778A2" w:rsidRPr="00E778A2" w:rsidRDefault="00B8248A" w:rsidP="00E778A2">
            <w:pPr>
              <w:pStyle w:val="Listenabsatz"/>
              <w:numPr>
                <w:ilvl w:val="0"/>
                <w:numId w:val="24"/>
              </w:numPr>
              <w:spacing w:before="0"/>
              <w:ind w:left="454" w:hanging="425"/>
              <w:jc w:val="left"/>
            </w:pPr>
            <w:r w:rsidRPr="00B8248A">
              <w:t>Ein „Debitorischer Kreditor“ liegt vor, wenn ein Debitorenkonto am Ende des Geschäftsjahres einen Habensaldo aufweist.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B8248A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B8248A" w:rsidP="00E778A2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</w:tbl>
    <w:p w:rsidR="002C1895" w:rsidRDefault="002C1895"/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0773A3" w:rsidRPr="000773A3" w:rsidTr="000773A3">
        <w:tc>
          <w:tcPr>
            <w:tcW w:w="7767" w:type="dxa"/>
            <w:shd w:val="clear" w:color="auto" w:fill="F2F2F2" w:themeFill="background1" w:themeFillShade="F2"/>
          </w:tcPr>
          <w:p w:rsidR="000773A3" w:rsidRPr="00E65739" w:rsidRDefault="000773A3" w:rsidP="00855C54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Lösungshinweise zu Frage 1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0773A3" w:rsidRPr="000773A3" w:rsidRDefault="000773A3" w:rsidP="00855C54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E778A2" w:rsidRPr="00E65739" w:rsidTr="00033F20">
        <w:tc>
          <w:tcPr>
            <w:tcW w:w="7767" w:type="dxa"/>
            <w:shd w:val="clear" w:color="auto" w:fill="auto"/>
          </w:tcPr>
          <w:p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 xml:space="preserve">zu a) </w:t>
            </w:r>
            <w:r w:rsidR="00B8248A" w:rsidRPr="00B8248A">
              <w:t>Wenn ein Kreditorenkonto am Ende des Geschäftsjahres einen Sollsaldo aufweist, liegt ein debitorischer Kreditor vor.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:rsidTr="00033F20">
        <w:tc>
          <w:tcPr>
            <w:tcW w:w="7767" w:type="dxa"/>
            <w:shd w:val="clear" w:color="auto" w:fill="auto"/>
          </w:tcPr>
          <w:p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>zu b)</w:t>
            </w:r>
            <w:r w:rsidRPr="00743391">
              <w:t xml:space="preserve"> </w:t>
            </w:r>
            <w:r w:rsidR="00B8248A" w:rsidRPr="00B8248A">
              <w:t>Wenn ein Debitorenkonto am Ende des Geschäftsjahres einen Sollsaldo aufweist, liegt ein Debitor vor.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:rsidTr="00033F20">
        <w:tc>
          <w:tcPr>
            <w:tcW w:w="7767" w:type="dxa"/>
            <w:shd w:val="clear" w:color="auto" w:fill="auto"/>
          </w:tcPr>
          <w:p w:rsidR="00E778A2" w:rsidRPr="00743391" w:rsidRDefault="00E778A2" w:rsidP="00E778A2">
            <w:pPr>
              <w:spacing w:before="0"/>
            </w:pPr>
            <w:r w:rsidRPr="00E778A2">
              <w:rPr>
                <w:b/>
              </w:rPr>
              <w:t>zu c)</w:t>
            </w:r>
            <w:r w:rsidRPr="00743391">
              <w:t xml:space="preserve"> </w:t>
            </w:r>
            <w:r w:rsidR="00B8248A" w:rsidRPr="00B8248A">
              <w:t>Wenn ein Kreditorenkonto am Ende des Geschäftsjahres einen Habensaldo aufweist, liegt ein Kreditor vor.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E778A2" w:rsidRPr="00E65739" w:rsidTr="00033F20">
        <w:tc>
          <w:tcPr>
            <w:tcW w:w="7767" w:type="dxa"/>
            <w:shd w:val="clear" w:color="auto" w:fill="auto"/>
          </w:tcPr>
          <w:p w:rsidR="00E778A2" w:rsidRDefault="00E778A2" w:rsidP="00E778A2">
            <w:pPr>
              <w:spacing w:before="0"/>
            </w:pPr>
            <w:r w:rsidRPr="00E778A2">
              <w:rPr>
                <w:b/>
              </w:rPr>
              <w:t>zu d)</w:t>
            </w:r>
            <w:r w:rsidRPr="00743391">
              <w:t xml:space="preserve"> </w:t>
            </w:r>
            <w:r w:rsidR="00B8248A" w:rsidRPr="00B8248A">
              <w:t>Wenn ein Debitorenkonto am Ende des Geschäftsjahres einen Habensaldo aufweist, liegt ein kreditorischer Debitor vor.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E778A2" w:rsidRDefault="00E778A2" w:rsidP="00E778A2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A81B35" w:rsidRDefault="00A81B35" w:rsidP="00E8473F">
      <w:pPr>
        <w:rPr>
          <w:szCs w:val="28"/>
        </w:rPr>
      </w:pP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E65739" w:rsidTr="00C2478A">
        <w:tc>
          <w:tcPr>
            <w:tcW w:w="7767" w:type="dxa"/>
            <w:tcBorders>
              <w:top w:val="single" w:sz="4" w:space="0" w:color="auto"/>
              <w:right w:val="single" w:sz="4" w:space="0" w:color="FFFFFF"/>
            </w:tcBorders>
            <w:shd w:val="clear" w:color="auto" w:fill="D9D9D9" w:themeFill="background1" w:themeFillShade="D9"/>
          </w:tcPr>
          <w:p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Frage 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FFFFFF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Ja</w:t>
            </w:r>
          </w:p>
        </w:tc>
        <w:tc>
          <w:tcPr>
            <w:tcW w:w="656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  <w:r w:rsidRPr="000773A3">
              <w:rPr>
                <w:sz w:val="20"/>
                <w:szCs w:val="28"/>
              </w:rPr>
              <w:t>Nein</w:t>
            </w:r>
          </w:p>
        </w:tc>
      </w:tr>
      <w:tr w:rsidR="00A81B35" w:rsidRPr="00E65739" w:rsidTr="00C2478A">
        <w:trPr>
          <w:gridAfter w:val="2"/>
          <w:wAfter w:w="1280" w:type="dxa"/>
        </w:trPr>
        <w:tc>
          <w:tcPr>
            <w:tcW w:w="7767" w:type="dxa"/>
            <w:shd w:val="clear" w:color="auto" w:fill="auto"/>
            <w:vAlign w:val="center"/>
          </w:tcPr>
          <w:p w:rsidR="00A81B35" w:rsidRPr="00E778A2" w:rsidRDefault="00B8248A" w:rsidP="00C2478A">
            <w:pPr>
              <w:spacing w:before="0"/>
              <w:jc w:val="left"/>
              <w:rPr>
                <w:szCs w:val="22"/>
              </w:rPr>
            </w:pPr>
            <w:r w:rsidRPr="00B8248A">
              <w:rPr>
                <w:szCs w:val="22"/>
              </w:rPr>
              <w:t>Unter dem Bilanzposten „sonstige Vermögensgegenstände“ werden bspw. erfasst: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63" w:hanging="425"/>
              <w:jc w:val="left"/>
            </w:pPr>
            <w:r w:rsidRPr="00B8248A">
              <w:t>Gehaltsvorschüsse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1F3BFE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</w:pPr>
            <w:r w:rsidRPr="00B8248A">
              <w:t>Kautionen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B8248A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Geleistete Anzahlungen</w:t>
            </w:r>
            <w:bookmarkStart w:id="1" w:name="_GoBack"/>
            <w:bookmarkEnd w:id="1"/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A81B35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  <w:tr w:rsidR="00A81B35" w:rsidRPr="00E65739" w:rsidTr="00C2478A">
        <w:tc>
          <w:tcPr>
            <w:tcW w:w="7767" w:type="dxa"/>
            <w:shd w:val="clear" w:color="auto" w:fill="auto"/>
            <w:vAlign w:val="center"/>
          </w:tcPr>
          <w:p w:rsidR="00A81B35" w:rsidRPr="00E778A2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Schadensersatzansprüche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b/>
                <w:sz w:val="24"/>
                <w:szCs w:val="28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</w:tr>
      <w:tr w:rsidR="00B8248A" w:rsidRPr="00E65739" w:rsidTr="00C2478A">
        <w:tc>
          <w:tcPr>
            <w:tcW w:w="7767" w:type="dxa"/>
            <w:shd w:val="clear" w:color="auto" w:fill="auto"/>
            <w:vAlign w:val="center"/>
          </w:tcPr>
          <w:p w:rsidR="00B8248A" w:rsidRPr="00A81B35" w:rsidRDefault="00B8248A" w:rsidP="00A81B35">
            <w:pPr>
              <w:pStyle w:val="Listenabsatz"/>
              <w:numPr>
                <w:ilvl w:val="0"/>
                <w:numId w:val="32"/>
              </w:numPr>
              <w:spacing w:before="0"/>
              <w:ind w:left="454" w:hanging="425"/>
              <w:jc w:val="left"/>
            </w:pPr>
            <w:r w:rsidRPr="00B8248A">
              <w:t>kreditorische Debitoren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B8248A" w:rsidRDefault="00B8248A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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8248A" w:rsidRDefault="00B8248A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  <w:r>
              <w:rPr>
                <w:rFonts w:ascii="Wingdings" w:hAnsi="Wingdings" w:cs="Wingdings"/>
                <w:sz w:val="26"/>
                <w:szCs w:val="26"/>
              </w:rPr>
              <w:t></w:t>
            </w:r>
          </w:p>
        </w:tc>
      </w:tr>
    </w:tbl>
    <w:p w:rsidR="00B8248A" w:rsidRDefault="00B8248A" w:rsidP="00E8473F">
      <w:pPr>
        <w:rPr>
          <w:szCs w:val="28"/>
        </w:rPr>
      </w:pPr>
    </w:p>
    <w:p w:rsidR="00B8248A" w:rsidRDefault="00B8248A" w:rsidP="00B8248A">
      <w:pPr>
        <w:pStyle w:val="Standardeinzug"/>
      </w:pPr>
      <w:r>
        <w:br w:type="page"/>
      </w:r>
    </w:p>
    <w:tbl>
      <w:tblPr>
        <w:tblStyle w:val="Tabellenraster"/>
        <w:tblW w:w="9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767"/>
        <w:gridCol w:w="624"/>
        <w:gridCol w:w="656"/>
      </w:tblGrid>
      <w:tr w:rsidR="00A81B35" w:rsidRPr="000773A3" w:rsidTr="00C2478A">
        <w:tc>
          <w:tcPr>
            <w:tcW w:w="7767" w:type="dxa"/>
            <w:shd w:val="clear" w:color="auto" w:fill="F2F2F2" w:themeFill="background1" w:themeFillShade="F2"/>
          </w:tcPr>
          <w:p w:rsidR="00A81B35" w:rsidRPr="00E65739" w:rsidRDefault="00A81B35" w:rsidP="00C2478A">
            <w:pPr>
              <w:spacing w:before="0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lastRenderedPageBreak/>
              <w:t>Lösungshinweise zu Frage 2</w:t>
            </w:r>
          </w:p>
        </w:tc>
        <w:tc>
          <w:tcPr>
            <w:tcW w:w="624" w:type="dxa"/>
            <w:shd w:val="clear" w:color="auto" w:fill="F2F2F2" w:themeFill="background1" w:themeFillShade="F2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</w:p>
        </w:tc>
        <w:tc>
          <w:tcPr>
            <w:tcW w:w="656" w:type="dxa"/>
            <w:shd w:val="clear" w:color="auto" w:fill="F2F2F2" w:themeFill="background1" w:themeFillShade="F2"/>
          </w:tcPr>
          <w:p w:rsidR="00A81B35" w:rsidRPr="000773A3" w:rsidRDefault="00A81B35" w:rsidP="00C2478A">
            <w:pPr>
              <w:spacing w:before="0"/>
              <w:jc w:val="center"/>
              <w:rPr>
                <w:sz w:val="20"/>
                <w:szCs w:val="28"/>
              </w:rPr>
            </w:pPr>
          </w:p>
        </w:tc>
      </w:tr>
      <w:tr w:rsidR="004B730C" w:rsidRPr="00E65739" w:rsidTr="004B730C">
        <w:trPr>
          <w:trHeight w:val="665"/>
        </w:trPr>
        <w:tc>
          <w:tcPr>
            <w:tcW w:w="7767" w:type="dxa"/>
            <w:shd w:val="clear" w:color="auto" w:fill="auto"/>
          </w:tcPr>
          <w:p w:rsidR="004B730C" w:rsidRPr="00743391" w:rsidRDefault="004B730C" w:rsidP="004B730C">
            <w:pPr>
              <w:spacing w:before="0"/>
            </w:pPr>
            <w:r>
              <w:t>Unter dem Bilanzposten „sonstige Vermögensgegenstände“ werden alle nicht an einer anderen Stelle auszuweisenden Vermögensgegenstände (Auffangposten - Rechtsquelle: vgl. Beck, 11. Aufl., Tz. 124 zu § 247 HGB) aufgenommen.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4B730C" w:rsidRDefault="004B730C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:rsidR="004B730C" w:rsidRDefault="004B730C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4B730C" w:rsidRPr="00E65739" w:rsidTr="00C2478A">
        <w:trPr>
          <w:trHeight w:val="1755"/>
        </w:trPr>
        <w:tc>
          <w:tcPr>
            <w:tcW w:w="7767" w:type="dxa"/>
            <w:shd w:val="clear" w:color="auto" w:fill="auto"/>
          </w:tcPr>
          <w:p w:rsidR="004B730C" w:rsidRDefault="004B730C" w:rsidP="004B730C">
            <w:pPr>
              <w:spacing w:before="0"/>
            </w:pPr>
            <w:r>
              <w:t xml:space="preserve">Hierzu zählen bspw. 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Darlehen, die nicht an anderer Stelle auszuweisen sind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Gehaltsvorschüsse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Kautionen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Steuererstattungsansprüche (</w:t>
            </w:r>
            <w:proofErr w:type="spellStart"/>
            <w:r>
              <w:t>KSt</w:t>
            </w:r>
            <w:proofErr w:type="spellEnd"/>
            <w:r>
              <w:t xml:space="preserve">, </w:t>
            </w:r>
            <w:proofErr w:type="spellStart"/>
            <w:r>
              <w:t>SolZ</w:t>
            </w:r>
            <w:proofErr w:type="spellEnd"/>
            <w:r>
              <w:t xml:space="preserve">, </w:t>
            </w:r>
            <w:proofErr w:type="spellStart"/>
            <w:r>
              <w:t>USt</w:t>
            </w:r>
            <w:proofErr w:type="spellEnd"/>
            <w:r>
              <w:t>)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Schadensersatzansprüche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Reisekostenvorschüsse</w:t>
            </w:r>
          </w:p>
          <w:p w:rsidR="004B730C" w:rsidRDefault="004B730C" w:rsidP="004B730C">
            <w:pPr>
              <w:pStyle w:val="Listenabsatz"/>
              <w:numPr>
                <w:ilvl w:val="0"/>
                <w:numId w:val="33"/>
              </w:numPr>
              <w:spacing w:before="0"/>
              <w:ind w:left="463" w:hanging="425"/>
            </w:pPr>
            <w:r>
              <w:t>debitorische Kreditoren (Verbindlichkeitskonten, die am Bilanzstichtag eine Forderung ausweisen, z. B. durch Überzahlung)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4B730C" w:rsidRDefault="004B730C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vMerge/>
            <w:shd w:val="clear" w:color="auto" w:fill="auto"/>
            <w:vAlign w:val="center"/>
          </w:tcPr>
          <w:p w:rsidR="004B730C" w:rsidRDefault="004B730C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:rsidTr="00C2478A">
        <w:tc>
          <w:tcPr>
            <w:tcW w:w="7767" w:type="dxa"/>
            <w:shd w:val="clear" w:color="auto" w:fill="auto"/>
          </w:tcPr>
          <w:p w:rsidR="00A81B35" w:rsidRPr="00743391" w:rsidRDefault="00B8248A" w:rsidP="00C2478A">
            <w:pPr>
              <w:spacing w:before="0"/>
            </w:pPr>
            <w:r w:rsidRPr="00B8248A">
              <w:t>Geleistete Anzahlungen sind unter dem gleichnamigen Bilanzposten zu erfassen.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  <w:tr w:rsidR="00A81B35" w:rsidRPr="00E65739" w:rsidTr="00C2478A">
        <w:tc>
          <w:tcPr>
            <w:tcW w:w="7767" w:type="dxa"/>
            <w:shd w:val="clear" w:color="auto" w:fill="auto"/>
          </w:tcPr>
          <w:p w:rsidR="00A81B35" w:rsidRPr="00743391" w:rsidRDefault="00B8248A" w:rsidP="00C2478A">
            <w:pPr>
              <w:spacing w:before="0"/>
            </w:pPr>
            <w:r w:rsidRPr="00B8248A">
              <w:t>Kreditorische Debitoren sind unter dem Bilanzposten „sonstige Verbindlichkeiten“ auszuweisen.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 w:rsidR="00A81B35" w:rsidRDefault="00A81B35" w:rsidP="00C2478A">
            <w:pPr>
              <w:spacing w:before="0"/>
              <w:jc w:val="center"/>
              <w:rPr>
                <w:rFonts w:ascii="Wingdings" w:hAnsi="Wingdings" w:cs="Wingdings"/>
                <w:sz w:val="26"/>
                <w:szCs w:val="26"/>
              </w:rPr>
            </w:pPr>
          </w:p>
        </w:tc>
      </w:tr>
    </w:tbl>
    <w:p w:rsidR="00A81B35" w:rsidRPr="00BC04E1" w:rsidRDefault="00A81B35" w:rsidP="00E8473F">
      <w:pPr>
        <w:rPr>
          <w:szCs w:val="28"/>
        </w:rPr>
      </w:pPr>
    </w:p>
    <w:sectPr w:rsidR="00A81B35" w:rsidRPr="00BC04E1" w:rsidSect="00885CE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1099" w:right="1701" w:bottom="1134" w:left="1134" w:header="113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3E51" w:rsidRDefault="007F3E51">
      <w:pPr>
        <w:spacing w:before="0"/>
      </w:pPr>
      <w:r>
        <w:separator/>
      </w:r>
    </w:p>
  </w:endnote>
  <w:endnote w:type="continuationSeparator" w:id="0">
    <w:p w:rsidR="007F3E51" w:rsidRDefault="007F3E5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2E0" w:rsidRDefault="004B730C" w:rsidP="002062E0">
    <w:pPr>
      <w:tabs>
        <w:tab w:val="center" w:pos="4536"/>
        <w:tab w:val="right" w:pos="9072"/>
      </w:tabs>
      <w:spacing w:before="0"/>
      <w:rPr>
        <w:rFonts w:eastAsiaTheme="minorHAnsi"/>
        <w:noProof/>
        <w:sz w:val="20"/>
      </w:rPr>
    </w:pPr>
    <w:r>
      <w:rPr>
        <w:noProof/>
        <w:szCs w:val="22"/>
      </w:rPr>
      <w:drawing>
        <wp:anchor distT="0" distB="0" distL="114300" distR="114300" simplePos="0" relativeHeight="251659264" behindDoc="1" locked="0" layoutInCell="1" allowOverlap="1" wp14:anchorId="258D5156" wp14:editId="3976079D">
          <wp:simplePos x="0" y="0"/>
          <wp:positionH relativeFrom="column">
            <wp:posOffset>1495425</wp:posOffset>
          </wp:positionH>
          <wp:positionV relativeFrom="page">
            <wp:posOffset>10020935</wp:posOffset>
          </wp:positionV>
          <wp:extent cx="2419350" cy="3429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62E0" w:rsidRPr="006C672A">
      <w:rPr>
        <w:sz w:val="20"/>
      </w:rPr>
      <w:t xml:space="preserve">Seite: </w:t>
    </w:r>
    <w:r w:rsidR="002062E0" w:rsidRPr="006C672A">
      <w:rPr>
        <w:rFonts w:eastAsiaTheme="minorHAnsi" w:cstheme="minorBidi"/>
        <w:sz w:val="20"/>
        <w:lang w:eastAsia="en-US"/>
      </w:rPr>
      <w:fldChar w:fldCharType="begin"/>
    </w:r>
    <w:r w:rsidR="002062E0" w:rsidRPr="006C672A">
      <w:rPr>
        <w:rFonts w:eastAsiaTheme="minorHAnsi" w:cstheme="minorBidi"/>
        <w:sz w:val="20"/>
        <w:lang w:eastAsia="en-US"/>
      </w:rPr>
      <w:instrText>PAGE   \* MERGEFORMAT</w:instrText>
    </w:r>
    <w:r w:rsidR="002062E0" w:rsidRPr="006C672A">
      <w:rPr>
        <w:rFonts w:eastAsiaTheme="minorHAnsi" w:cstheme="minorBidi"/>
        <w:sz w:val="20"/>
        <w:lang w:eastAsia="en-US"/>
      </w:rPr>
      <w:fldChar w:fldCharType="separate"/>
    </w:r>
    <w:r w:rsidR="002062E0">
      <w:rPr>
        <w:rFonts w:eastAsiaTheme="minorHAnsi"/>
        <w:sz w:val="20"/>
        <w:lang w:eastAsia="en-US"/>
      </w:rPr>
      <w:t>1</w:t>
    </w:r>
    <w:r w:rsidR="002062E0" w:rsidRPr="006C672A">
      <w:rPr>
        <w:rFonts w:eastAsiaTheme="minorHAnsi" w:cstheme="minorBidi"/>
        <w:sz w:val="20"/>
        <w:lang w:eastAsia="en-US"/>
      </w:rPr>
      <w:fldChar w:fldCharType="end"/>
    </w:r>
    <w:r w:rsidR="002062E0"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-1121296208"/>
        <w:docPartObj>
          <w:docPartGallery w:val="Page Numbers (Top of Page)"/>
          <w:docPartUnique/>
        </w:docPartObj>
      </w:sdtPr>
      <w:sdtEndPr/>
      <w:sdtContent>
        <w:r w:rsidR="002062E0"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="002062E0"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 w:rsidR="002062E0">
          <w:rPr>
            <w:rFonts w:eastAsiaTheme="minorHAnsi"/>
            <w:sz w:val="20"/>
            <w:lang w:eastAsia="en-US"/>
          </w:rPr>
          <w:t>1</w:t>
        </w:r>
        <w:r w:rsidR="002062E0"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="002062E0">
      <w:rPr>
        <w:rFonts w:eastAsiaTheme="minorHAnsi"/>
        <w:noProof/>
        <w:sz w:val="20"/>
      </w:rPr>
      <w:t xml:space="preserve"> </w:t>
    </w:r>
  </w:p>
  <w:p w:rsidR="007F3E51" w:rsidRPr="002062E0" w:rsidRDefault="002062E0" w:rsidP="002062E0">
    <w:pPr>
      <w:tabs>
        <w:tab w:val="center" w:pos="4536"/>
        <w:tab w:val="right" w:pos="9072"/>
      </w:tabs>
      <w:spacing w:before="0"/>
      <w:rPr>
        <w:rFonts w:eastAsiaTheme="minorHAnsi"/>
        <w:sz w:val="20"/>
        <w:lang w:eastAsia="en-US"/>
      </w:rPr>
    </w:pPr>
    <w:r w:rsidRPr="00A429AD">
      <w:rPr>
        <w:rFonts w:eastAsiaTheme="minorHAnsi"/>
        <w:b/>
        <w:noProof/>
        <w:color w:val="00B0F0"/>
        <w:sz w:val="20"/>
      </w:rPr>
      <w:t>JA</w:t>
    </w:r>
    <w:r w:rsidR="00E65773">
      <w:rPr>
        <w:rFonts w:eastAsiaTheme="minorHAnsi"/>
        <w:b/>
        <w:noProof/>
        <w:color w:val="00B0F0"/>
        <w:sz w:val="20"/>
      </w:rPr>
      <w:t>E</w:t>
    </w:r>
    <w:r w:rsidRPr="00A429AD">
      <w:rPr>
        <w:rFonts w:eastAsiaTheme="minorHAnsi"/>
        <w:b/>
        <w:noProof/>
        <w:color w:val="00B0F0"/>
        <w:sz w:val="20"/>
      </w:rPr>
      <w:t xml:space="preserve"> 1</w:t>
    </w:r>
    <w:r>
      <w:rPr>
        <w:rFonts w:eastAsiaTheme="minorHAnsi"/>
        <w:noProof/>
        <w:sz w:val="20"/>
      </w:rPr>
      <w:tab/>
    </w:r>
    <w:r>
      <w:rPr>
        <w:sz w:val="20"/>
      </w:rPr>
      <w:tab/>
    </w:r>
    <w:r w:rsidR="000955B4">
      <w:rPr>
        <w:rFonts w:eastAsiaTheme="minorHAnsi" w:cstheme="minorBidi"/>
        <w:b/>
        <w:color w:val="00B0F0"/>
        <w:sz w:val="20"/>
        <w:lang w:eastAsia="en-US"/>
      </w:rPr>
      <w:t>Lösungen PF 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E211D2" w:rsidRDefault="007F3E51" w:rsidP="000503CF">
    <w:pPr>
      <w:tabs>
        <w:tab w:val="center" w:pos="4536"/>
        <w:tab w:val="right" w:pos="9072"/>
        <w:tab w:val="left" w:pos="9781"/>
      </w:tabs>
      <w:spacing w:before="520" w:after="120"/>
      <w:rPr>
        <w:rFonts w:eastAsiaTheme="minorHAnsi"/>
        <w:sz w:val="20"/>
        <w:lang w:eastAsia="en-US"/>
      </w:rPr>
    </w:pPr>
    <w:r w:rsidRPr="00E211D2">
      <w:rPr>
        <w:sz w:val="20"/>
      </w:rPr>
      <w:t xml:space="preserve">Seite </w:t>
    </w:r>
    <w:r w:rsidRPr="00E211D2">
      <w:rPr>
        <w:rFonts w:eastAsiaTheme="minorHAnsi" w:cstheme="minorBidi"/>
        <w:sz w:val="20"/>
        <w:lang w:eastAsia="en-US"/>
      </w:rPr>
      <w:fldChar w:fldCharType="begin"/>
    </w:r>
    <w:r w:rsidRPr="00E211D2">
      <w:rPr>
        <w:rFonts w:eastAsiaTheme="minorHAnsi" w:cstheme="minorBidi"/>
        <w:sz w:val="20"/>
        <w:lang w:eastAsia="en-US"/>
      </w:rPr>
      <w:instrText>PAGE   \* MERGEFORMAT</w:instrText>
    </w:r>
    <w:r w:rsidRPr="00E211D2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noProof/>
        <w:sz w:val="20"/>
        <w:lang w:eastAsia="en-US"/>
      </w:rPr>
      <w:t>1</w:t>
    </w:r>
    <w:r w:rsidRPr="00E211D2">
      <w:rPr>
        <w:rFonts w:eastAsiaTheme="minorHAnsi" w:cstheme="minorBidi"/>
        <w:sz w:val="20"/>
        <w:lang w:eastAsia="en-US"/>
      </w:rPr>
      <w:fldChar w:fldCharType="end"/>
    </w:r>
    <w:r w:rsidRPr="00E211D2">
      <w:rPr>
        <w:rFonts w:eastAsiaTheme="minorHAnsi" w:cstheme="minorBidi"/>
        <w:sz w:val="20"/>
        <w:lang w:eastAsia="en-US"/>
      </w:rPr>
      <w:t xml:space="preserve"> </w:t>
    </w:r>
    <w:sdt>
      <w:sdtPr>
        <w:rPr>
          <w:rFonts w:eastAsiaTheme="minorHAnsi" w:cstheme="minorBidi"/>
          <w:sz w:val="20"/>
          <w:lang w:eastAsia="en-US"/>
        </w:rPr>
        <w:id w:val="-1877616359"/>
        <w:docPartObj>
          <w:docPartGallery w:val="Page Numbers (Top of Page)"/>
          <w:docPartUnique/>
        </w:docPartObj>
      </w:sdtPr>
      <w:sdtEndPr/>
      <w:sdtContent>
        <w:r w:rsidRPr="00E211D2">
          <w:rPr>
            <w:rFonts w:eastAsiaTheme="minorHAnsi" w:cstheme="minorBidi"/>
            <w:sz w:val="20"/>
            <w:lang w:eastAsia="en-US"/>
          </w:rPr>
          <w:t xml:space="preserve">von </w:t>
        </w:r>
        <w:r w:rsidRPr="00E211D2">
          <w:rPr>
            <w:rFonts w:eastAsiaTheme="minorHAnsi" w:cstheme="minorBidi"/>
            <w:sz w:val="20"/>
            <w:lang w:eastAsia="en-US"/>
          </w:rPr>
          <w:fldChar w:fldCharType="begin"/>
        </w:r>
        <w:r w:rsidRPr="00E211D2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E211D2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noProof/>
            <w:sz w:val="20"/>
            <w:lang w:eastAsia="en-US"/>
          </w:rPr>
          <w:t>2</w:t>
        </w:r>
        <w:r w:rsidRPr="00E211D2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sz w:val="20"/>
        <w:lang w:eastAsia="en-US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>-</w:t>
    </w:r>
    <w:r w:rsidR="00885CEC">
      <w:rPr>
        <w:rFonts w:eastAsiaTheme="minorHAnsi" w:cstheme="minorBidi"/>
        <w:b/>
        <w:color w:val="00B0F0"/>
        <w:sz w:val="20"/>
        <w:lang w:eastAsia="en-US"/>
      </w:rPr>
      <w:t xml:space="preserve">Praxisfragen </w:t>
    </w:r>
    <w:r w:rsidR="00885CEC" w:rsidRPr="00885CEC">
      <w:rPr>
        <w:rFonts w:eastAsiaTheme="minorHAnsi" w:cstheme="minorBidi"/>
        <w:b/>
        <w:color w:val="00B0F0"/>
        <w:sz w:val="20"/>
        <w:highlight w:val="yellow"/>
        <w:lang w:eastAsia="en-US"/>
      </w:rPr>
      <w:t>X/X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3E51" w:rsidRDefault="007F3E51" w:rsidP="00EE217B">
      <w:pPr>
        <w:pStyle w:val="Fuzeile"/>
      </w:pPr>
    </w:p>
    <w:p w:rsidR="007F3E51" w:rsidRPr="00EE217B" w:rsidRDefault="007F3E51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:rsidR="007F3E51" w:rsidRDefault="007F3E51" w:rsidP="00711AB6">
      <w:pPr>
        <w:spacing w:before="0"/>
        <w:jc w:val="center"/>
      </w:pPr>
    </w:p>
    <w:p w:rsidR="007F3E51" w:rsidRPr="00711AB6" w:rsidRDefault="007F3E51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665F75" w:rsidRDefault="007F3E51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3E51" w:rsidRPr="00354556" w:rsidRDefault="007F3E51" w:rsidP="00354556">
    <w:pPr>
      <w:pStyle w:val="Kopfzeile"/>
      <w:pBdr>
        <w:bottom w:val="none" w:sz="0" w:space="0" w:color="auto"/>
      </w:pBdr>
      <w:spacing w:before="0"/>
      <w:rPr>
        <w:sz w:val="2"/>
      </w:rPr>
    </w:pPr>
    <w:r w:rsidRPr="00354556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92E6748"/>
    <w:multiLevelType w:val="hybridMultilevel"/>
    <w:tmpl w:val="E110E210"/>
    <w:lvl w:ilvl="0" w:tplc="3F5630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944A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169D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04D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2A5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F64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96E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0CB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908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09429D3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81A5A00"/>
    <w:multiLevelType w:val="hybridMultilevel"/>
    <w:tmpl w:val="725818A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E3493"/>
    <w:multiLevelType w:val="hybridMultilevel"/>
    <w:tmpl w:val="5D7CF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606242"/>
    <w:multiLevelType w:val="hybridMultilevel"/>
    <w:tmpl w:val="88BE7F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4A6D18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675ABB"/>
    <w:multiLevelType w:val="hybridMultilevel"/>
    <w:tmpl w:val="AB8EF62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8335716"/>
    <w:multiLevelType w:val="hybridMultilevel"/>
    <w:tmpl w:val="54EC632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266B4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D00EF"/>
    <w:multiLevelType w:val="hybridMultilevel"/>
    <w:tmpl w:val="0F08259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25D7F86"/>
    <w:multiLevelType w:val="hybridMultilevel"/>
    <w:tmpl w:val="67CC990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C20A2"/>
    <w:multiLevelType w:val="hybridMultilevel"/>
    <w:tmpl w:val="DC3C898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63A45AAB"/>
    <w:multiLevelType w:val="hybridMultilevel"/>
    <w:tmpl w:val="2110A8D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240297"/>
    <w:multiLevelType w:val="hybridMultilevel"/>
    <w:tmpl w:val="F67A5B6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8E2C3A"/>
    <w:multiLevelType w:val="hybridMultilevel"/>
    <w:tmpl w:val="D8469316"/>
    <w:lvl w:ilvl="0" w:tplc="0D140A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abstractNum w:abstractNumId="31" w15:restartNumberingAfterBreak="0">
    <w:nsid w:val="7DFB4BC2"/>
    <w:multiLevelType w:val="hybridMultilevel"/>
    <w:tmpl w:val="159A0C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26428"/>
    <w:multiLevelType w:val="hybridMultilevel"/>
    <w:tmpl w:val="5134911C"/>
    <w:lvl w:ilvl="0" w:tplc="0407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26"/>
  </w:num>
  <w:num w:numId="12">
    <w:abstractNumId w:val="11"/>
  </w:num>
  <w:num w:numId="13">
    <w:abstractNumId w:val="13"/>
  </w:num>
  <w:num w:numId="14">
    <w:abstractNumId w:val="25"/>
  </w:num>
  <w:num w:numId="15">
    <w:abstractNumId w:val="18"/>
  </w:num>
  <w:num w:numId="16">
    <w:abstractNumId w:val="14"/>
  </w:num>
  <w:num w:numId="17">
    <w:abstractNumId w:val="20"/>
  </w:num>
  <w:num w:numId="18">
    <w:abstractNumId w:val="24"/>
  </w:num>
  <w:num w:numId="19">
    <w:abstractNumId w:val="12"/>
  </w:num>
  <w:num w:numId="20">
    <w:abstractNumId w:val="8"/>
  </w:num>
  <w:num w:numId="21">
    <w:abstractNumId w:val="22"/>
  </w:num>
  <w:num w:numId="22">
    <w:abstractNumId w:val="19"/>
  </w:num>
  <w:num w:numId="23">
    <w:abstractNumId w:val="28"/>
  </w:num>
  <w:num w:numId="24">
    <w:abstractNumId w:val="9"/>
  </w:num>
  <w:num w:numId="25">
    <w:abstractNumId w:val="29"/>
  </w:num>
  <w:num w:numId="26">
    <w:abstractNumId w:val="23"/>
  </w:num>
  <w:num w:numId="27">
    <w:abstractNumId w:val="32"/>
  </w:num>
  <w:num w:numId="28">
    <w:abstractNumId w:val="15"/>
  </w:num>
  <w:num w:numId="29">
    <w:abstractNumId w:val="21"/>
  </w:num>
  <w:num w:numId="30">
    <w:abstractNumId w:val="27"/>
  </w:num>
  <w:num w:numId="31">
    <w:abstractNumId w:val="31"/>
  </w:num>
  <w:num w:numId="32">
    <w:abstractNumId w:val="17"/>
  </w:num>
  <w:num w:numId="33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3FE"/>
    <w:rsid w:val="00002230"/>
    <w:rsid w:val="00002EED"/>
    <w:rsid w:val="000030A9"/>
    <w:rsid w:val="000054E6"/>
    <w:rsid w:val="0001477C"/>
    <w:rsid w:val="0002748A"/>
    <w:rsid w:val="0003242D"/>
    <w:rsid w:val="0004061E"/>
    <w:rsid w:val="000503CF"/>
    <w:rsid w:val="0005326E"/>
    <w:rsid w:val="000616B8"/>
    <w:rsid w:val="00064F40"/>
    <w:rsid w:val="00075E7C"/>
    <w:rsid w:val="000773A3"/>
    <w:rsid w:val="00080B9A"/>
    <w:rsid w:val="00086B8A"/>
    <w:rsid w:val="00090E49"/>
    <w:rsid w:val="0009344D"/>
    <w:rsid w:val="000955B4"/>
    <w:rsid w:val="00097B2B"/>
    <w:rsid w:val="000B1337"/>
    <w:rsid w:val="000E26F7"/>
    <w:rsid w:val="000E57B4"/>
    <w:rsid w:val="00106BBE"/>
    <w:rsid w:val="00111AC6"/>
    <w:rsid w:val="001205E2"/>
    <w:rsid w:val="001374FD"/>
    <w:rsid w:val="00143F11"/>
    <w:rsid w:val="0015500F"/>
    <w:rsid w:val="00165A53"/>
    <w:rsid w:val="00180880"/>
    <w:rsid w:val="00182B83"/>
    <w:rsid w:val="00183ACA"/>
    <w:rsid w:val="00184E10"/>
    <w:rsid w:val="0019585B"/>
    <w:rsid w:val="001A1B58"/>
    <w:rsid w:val="001A6337"/>
    <w:rsid w:val="001B3F50"/>
    <w:rsid w:val="001B454A"/>
    <w:rsid w:val="001B7E25"/>
    <w:rsid w:val="001C0D6B"/>
    <w:rsid w:val="001C1789"/>
    <w:rsid w:val="001D22E2"/>
    <w:rsid w:val="001E1F96"/>
    <w:rsid w:val="001E38E2"/>
    <w:rsid w:val="001E7A82"/>
    <w:rsid w:val="001F04DD"/>
    <w:rsid w:val="002062E0"/>
    <w:rsid w:val="002065BE"/>
    <w:rsid w:val="0021047B"/>
    <w:rsid w:val="00213C34"/>
    <w:rsid w:val="00222629"/>
    <w:rsid w:val="00257647"/>
    <w:rsid w:val="002717FB"/>
    <w:rsid w:val="00280D52"/>
    <w:rsid w:val="00283F41"/>
    <w:rsid w:val="00284FA6"/>
    <w:rsid w:val="00285560"/>
    <w:rsid w:val="00285C0D"/>
    <w:rsid w:val="00290924"/>
    <w:rsid w:val="0029592F"/>
    <w:rsid w:val="002A064F"/>
    <w:rsid w:val="002A0C98"/>
    <w:rsid w:val="002A29CF"/>
    <w:rsid w:val="002B17CE"/>
    <w:rsid w:val="002B298F"/>
    <w:rsid w:val="002B37AC"/>
    <w:rsid w:val="002C1895"/>
    <w:rsid w:val="002C7903"/>
    <w:rsid w:val="002D0908"/>
    <w:rsid w:val="002D7E2D"/>
    <w:rsid w:val="002F09D8"/>
    <w:rsid w:val="002F6B99"/>
    <w:rsid w:val="002F771F"/>
    <w:rsid w:val="00304799"/>
    <w:rsid w:val="00340216"/>
    <w:rsid w:val="00342964"/>
    <w:rsid w:val="00352142"/>
    <w:rsid w:val="00354556"/>
    <w:rsid w:val="00360F3D"/>
    <w:rsid w:val="00364269"/>
    <w:rsid w:val="00376DCD"/>
    <w:rsid w:val="00382BCD"/>
    <w:rsid w:val="003932A1"/>
    <w:rsid w:val="003A6FEB"/>
    <w:rsid w:val="003A7861"/>
    <w:rsid w:val="003B420D"/>
    <w:rsid w:val="003E348F"/>
    <w:rsid w:val="003E5835"/>
    <w:rsid w:val="003F1B18"/>
    <w:rsid w:val="004076E9"/>
    <w:rsid w:val="0041402E"/>
    <w:rsid w:val="00414D05"/>
    <w:rsid w:val="00416098"/>
    <w:rsid w:val="00416270"/>
    <w:rsid w:val="004248A0"/>
    <w:rsid w:val="00433509"/>
    <w:rsid w:val="00440D21"/>
    <w:rsid w:val="00445BB8"/>
    <w:rsid w:val="0044742E"/>
    <w:rsid w:val="00454705"/>
    <w:rsid w:val="00465DB3"/>
    <w:rsid w:val="00480A8A"/>
    <w:rsid w:val="004867BC"/>
    <w:rsid w:val="0049126F"/>
    <w:rsid w:val="004B2234"/>
    <w:rsid w:val="004B5526"/>
    <w:rsid w:val="004B5A8E"/>
    <w:rsid w:val="004B6272"/>
    <w:rsid w:val="004B6415"/>
    <w:rsid w:val="004B730C"/>
    <w:rsid w:val="004C062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3480"/>
    <w:rsid w:val="00525CDB"/>
    <w:rsid w:val="00527267"/>
    <w:rsid w:val="00534A4B"/>
    <w:rsid w:val="0054655A"/>
    <w:rsid w:val="005473EF"/>
    <w:rsid w:val="0055136F"/>
    <w:rsid w:val="0055156D"/>
    <w:rsid w:val="00567521"/>
    <w:rsid w:val="005813C4"/>
    <w:rsid w:val="00583AA1"/>
    <w:rsid w:val="0058527F"/>
    <w:rsid w:val="00585859"/>
    <w:rsid w:val="005913EC"/>
    <w:rsid w:val="005921A2"/>
    <w:rsid w:val="005967E6"/>
    <w:rsid w:val="005B024A"/>
    <w:rsid w:val="005B57D7"/>
    <w:rsid w:val="005B7F7F"/>
    <w:rsid w:val="005C1C85"/>
    <w:rsid w:val="005C5708"/>
    <w:rsid w:val="005D1825"/>
    <w:rsid w:val="005D26BD"/>
    <w:rsid w:val="005D2A74"/>
    <w:rsid w:val="005D7367"/>
    <w:rsid w:val="005E0577"/>
    <w:rsid w:val="005E07BD"/>
    <w:rsid w:val="005E7803"/>
    <w:rsid w:val="005F6F40"/>
    <w:rsid w:val="00632C1A"/>
    <w:rsid w:val="006454CF"/>
    <w:rsid w:val="0065198F"/>
    <w:rsid w:val="006521FF"/>
    <w:rsid w:val="00665F75"/>
    <w:rsid w:val="0066763B"/>
    <w:rsid w:val="0067331C"/>
    <w:rsid w:val="00684B37"/>
    <w:rsid w:val="006A27FA"/>
    <w:rsid w:val="006C4228"/>
    <w:rsid w:val="006D45A1"/>
    <w:rsid w:val="006D7242"/>
    <w:rsid w:val="006E24F6"/>
    <w:rsid w:val="006E2847"/>
    <w:rsid w:val="006E7126"/>
    <w:rsid w:val="006F281C"/>
    <w:rsid w:val="007026D1"/>
    <w:rsid w:val="00711AB6"/>
    <w:rsid w:val="00716DD5"/>
    <w:rsid w:val="00720E5C"/>
    <w:rsid w:val="00742EA1"/>
    <w:rsid w:val="00744772"/>
    <w:rsid w:val="00744C9A"/>
    <w:rsid w:val="007506E6"/>
    <w:rsid w:val="00761107"/>
    <w:rsid w:val="007626C5"/>
    <w:rsid w:val="00763FC1"/>
    <w:rsid w:val="007648E0"/>
    <w:rsid w:val="00765666"/>
    <w:rsid w:val="00772791"/>
    <w:rsid w:val="0078728B"/>
    <w:rsid w:val="00790130"/>
    <w:rsid w:val="00796513"/>
    <w:rsid w:val="007A060E"/>
    <w:rsid w:val="007A3E0C"/>
    <w:rsid w:val="007A407E"/>
    <w:rsid w:val="007B1945"/>
    <w:rsid w:val="007D3976"/>
    <w:rsid w:val="007D6927"/>
    <w:rsid w:val="007E0249"/>
    <w:rsid w:val="007F3A7C"/>
    <w:rsid w:val="007F3E51"/>
    <w:rsid w:val="00802ED4"/>
    <w:rsid w:val="00805892"/>
    <w:rsid w:val="0081072B"/>
    <w:rsid w:val="008248D3"/>
    <w:rsid w:val="00834FC0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85CEC"/>
    <w:rsid w:val="00891EEA"/>
    <w:rsid w:val="008976BA"/>
    <w:rsid w:val="008A5560"/>
    <w:rsid w:val="008C44B0"/>
    <w:rsid w:val="008D1A8E"/>
    <w:rsid w:val="008E0D82"/>
    <w:rsid w:val="008E0FC7"/>
    <w:rsid w:val="008F75E7"/>
    <w:rsid w:val="009075A9"/>
    <w:rsid w:val="0091405A"/>
    <w:rsid w:val="009212B4"/>
    <w:rsid w:val="009274B5"/>
    <w:rsid w:val="0095198B"/>
    <w:rsid w:val="00970211"/>
    <w:rsid w:val="009760D0"/>
    <w:rsid w:val="00977270"/>
    <w:rsid w:val="009773FE"/>
    <w:rsid w:val="0099236A"/>
    <w:rsid w:val="009A6E64"/>
    <w:rsid w:val="009C1E3E"/>
    <w:rsid w:val="009C2FF2"/>
    <w:rsid w:val="009C6EFB"/>
    <w:rsid w:val="009C7804"/>
    <w:rsid w:val="009D429E"/>
    <w:rsid w:val="009E1FB1"/>
    <w:rsid w:val="009E52C9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1B35"/>
    <w:rsid w:val="00A8486F"/>
    <w:rsid w:val="00A87FE5"/>
    <w:rsid w:val="00A946ED"/>
    <w:rsid w:val="00AA65D6"/>
    <w:rsid w:val="00AC17EE"/>
    <w:rsid w:val="00AC3CBC"/>
    <w:rsid w:val="00AE290A"/>
    <w:rsid w:val="00AE3EDC"/>
    <w:rsid w:val="00AF1983"/>
    <w:rsid w:val="00AF76A2"/>
    <w:rsid w:val="00B1324F"/>
    <w:rsid w:val="00B13741"/>
    <w:rsid w:val="00B15817"/>
    <w:rsid w:val="00B1680D"/>
    <w:rsid w:val="00B2286E"/>
    <w:rsid w:val="00B22993"/>
    <w:rsid w:val="00B261B2"/>
    <w:rsid w:val="00B34064"/>
    <w:rsid w:val="00B50770"/>
    <w:rsid w:val="00B6345C"/>
    <w:rsid w:val="00B66196"/>
    <w:rsid w:val="00B73242"/>
    <w:rsid w:val="00B760B6"/>
    <w:rsid w:val="00B77530"/>
    <w:rsid w:val="00B8248A"/>
    <w:rsid w:val="00B86895"/>
    <w:rsid w:val="00B91F5A"/>
    <w:rsid w:val="00B929CA"/>
    <w:rsid w:val="00BA02EC"/>
    <w:rsid w:val="00BA1533"/>
    <w:rsid w:val="00BA1564"/>
    <w:rsid w:val="00BA7590"/>
    <w:rsid w:val="00BB730F"/>
    <w:rsid w:val="00BC04E1"/>
    <w:rsid w:val="00BC6A51"/>
    <w:rsid w:val="00BD2864"/>
    <w:rsid w:val="00BD37FF"/>
    <w:rsid w:val="00BD62C0"/>
    <w:rsid w:val="00BE368B"/>
    <w:rsid w:val="00BF0354"/>
    <w:rsid w:val="00BF2B89"/>
    <w:rsid w:val="00BF7EB9"/>
    <w:rsid w:val="00C10F24"/>
    <w:rsid w:val="00C24E59"/>
    <w:rsid w:val="00C30D7D"/>
    <w:rsid w:val="00C407A8"/>
    <w:rsid w:val="00C43D74"/>
    <w:rsid w:val="00C470A2"/>
    <w:rsid w:val="00C61048"/>
    <w:rsid w:val="00C8522D"/>
    <w:rsid w:val="00C91AC1"/>
    <w:rsid w:val="00C929A0"/>
    <w:rsid w:val="00C940C7"/>
    <w:rsid w:val="00C9577E"/>
    <w:rsid w:val="00CA5FDE"/>
    <w:rsid w:val="00CA64ED"/>
    <w:rsid w:val="00CA6FFC"/>
    <w:rsid w:val="00CB24C7"/>
    <w:rsid w:val="00CB3640"/>
    <w:rsid w:val="00CC19EF"/>
    <w:rsid w:val="00CD1A9A"/>
    <w:rsid w:val="00CD4117"/>
    <w:rsid w:val="00CE73C2"/>
    <w:rsid w:val="00D13823"/>
    <w:rsid w:val="00D13BD1"/>
    <w:rsid w:val="00D3468F"/>
    <w:rsid w:val="00D45365"/>
    <w:rsid w:val="00D61222"/>
    <w:rsid w:val="00D65E04"/>
    <w:rsid w:val="00DA6374"/>
    <w:rsid w:val="00DB3534"/>
    <w:rsid w:val="00DB3B77"/>
    <w:rsid w:val="00DC5CF9"/>
    <w:rsid w:val="00DD3447"/>
    <w:rsid w:val="00DD5810"/>
    <w:rsid w:val="00DD6816"/>
    <w:rsid w:val="00DE10AB"/>
    <w:rsid w:val="00DE2B44"/>
    <w:rsid w:val="00DF6B90"/>
    <w:rsid w:val="00E016C0"/>
    <w:rsid w:val="00E211D2"/>
    <w:rsid w:val="00E342CA"/>
    <w:rsid w:val="00E368C3"/>
    <w:rsid w:val="00E50734"/>
    <w:rsid w:val="00E54CF5"/>
    <w:rsid w:val="00E57522"/>
    <w:rsid w:val="00E57793"/>
    <w:rsid w:val="00E61BCD"/>
    <w:rsid w:val="00E65739"/>
    <w:rsid w:val="00E65773"/>
    <w:rsid w:val="00E76D20"/>
    <w:rsid w:val="00E77518"/>
    <w:rsid w:val="00E778A2"/>
    <w:rsid w:val="00E8473F"/>
    <w:rsid w:val="00EA0865"/>
    <w:rsid w:val="00EA2ACF"/>
    <w:rsid w:val="00EA74B3"/>
    <w:rsid w:val="00EC00F0"/>
    <w:rsid w:val="00EE217B"/>
    <w:rsid w:val="00EE2E51"/>
    <w:rsid w:val="00EF2558"/>
    <w:rsid w:val="00F01DD2"/>
    <w:rsid w:val="00F029CC"/>
    <w:rsid w:val="00F02A61"/>
    <w:rsid w:val="00F16438"/>
    <w:rsid w:val="00F16D23"/>
    <w:rsid w:val="00F2421E"/>
    <w:rsid w:val="00F3121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C2BD6"/>
    <w:rsid w:val="00FD0600"/>
    <w:rsid w:val="00FD6CCC"/>
    <w:rsid w:val="00FE5374"/>
    <w:rsid w:val="00FE65A7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7BF13873"/>
  <w15:docId w15:val="{3BD57837-B969-43FC-9CEA-2971495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  <w:style w:type="paragraph" w:styleId="StandardWeb">
    <w:name w:val="Normal (Web)"/>
    <w:basedOn w:val="Standard"/>
    <w:uiPriority w:val="99"/>
    <w:semiHidden/>
    <w:unhideWhenUsed/>
    <w:rsid w:val="0077279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2883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68365">
          <w:marLeft w:val="10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1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2K19SRV\AUDfIT_Redaktion\AUD_61_Ablauforganisation\AUD_QMA_61_G_Redaktionsarbeit\_1%20Handbuch\AUD_61_G_Redaktionsarbeit%20FORTLAUFEND\G_4._Skriptentwicklung\G_4._ANLAGENBAND\_320_Muster_JAE-JAP_Sachverhalt,%20Frage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243B430-BF85-431D-A96A-63972EDA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_320_Muster_JAE-JAP_Sachverhalt, Frage</Template>
  <TotalTime>0</TotalTime>
  <Pages>2</Pages>
  <Words>268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Klein, Paula - LÖSLE</dc:creator>
  <cp:lastModifiedBy>Zoller, Kevin - AUDfIT</cp:lastModifiedBy>
  <cp:revision>29</cp:revision>
  <cp:lastPrinted>2025-10-09T12:25:00Z</cp:lastPrinted>
  <dcterms:created xsi:type="dcterms:W3CDTF">2023-09-18T11:19:00Z</dcterms:created>
  <dcterms:modified xsi:type="dcterms:W3CDTF">2025-10-09T12:25:00Z</dcterms:modified>
</cp:coreProperties>
</file>